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39F38002">
      <w:pPr>
        <w:spacing w:line="760" w:lineRule="exact"/>
        <w:ind w:left="0" w:firstLine="0" w:firstLineChars="0"/>
        <w:jc w:val="both"/>
        <w:rPr>
          <w:rFonts w:ascii="宋体" w:hAnsi="宋体" w:cs="宋体"/>
          <w:b/>
          <w:bCs/>
          <w:color w:val="auto"/>
          <w:sz w:val="48"/>
          <w:szCs w:val="48"/>
          <w:highlight w:val="none"/>
        </w:rPr>
      </w:pPr>
    </w:p>
    <w:p w14:paraId="37EB5A71">
      <w:pPr>
        <w:spacing w:line="240" w:lineRule="auto"/>
        <w:ind w:firstLine="0" w:firstLineChars="0"/>
        <w:jc w:val="center"/>
        <w:rPr>
          <w:rFonts w:hint="eastAsia" w:ascii="宋体" w:hAnsi="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寺街S13、西南营X07地块室外配套工程</w:t>
      </w:r>
      <w:r>
        <w:rPr>
          <w:rFonts w:hint="eastAsia" w:ascii="宋体" w:hAnsi="宋体" w:cs="宋体"/>
          <w:b/>
          <w:bCs/>
          <w:color w:val="auto"/>
          <w:sz w:val="36"/>
          <w:szCs w:val="36"/>
          <w:highlight w:val="none"/>
          <w:lang w:eastAsia="zh-CN"/>
        </w:rPr>
        <w:t>监理</w:t>
      </w:r>
    </w:p>
    <w:p w14:paraId="656453AC">
      <w:pPr>
        <w:pStyle w:val="33"/>
        <w:ind w:left="0" w:leftChars="0" w:firstLine="0" w:firstLineChars="0"/>
        <w:rPr>
          <w:rFonts w:ascii="宋体" w:hAnsi="宋体" w:cs="宋体"/>
          <w:color w:val="auto"/>
          <w:highlight w:val="none"/>
        </w:rPr>
      </w:pPr>
    </w:p>
    <w:p w14:paraId="458EFB8B">
      <w:pPr>
        <w:ind w:left="1928" w:hanging="1928" w:hangingChars="200"/>
        <w:jc w:val="center"/>
        <w:rPr>
          <w:rFonts w:ascii="宋体" w:hAnsi="宋体" w:cs="宋体"/>
          <w:b/>
          <w:bCs/>
          <w:color w:val="auto"/>
          <w:sz w:val="96"/>
          <w:szCs w:val="96"/>
          <w:highlight w:val="none"/>
        </w:rPr>
      </w:pPr>
    </w:p>
    <w:p w14:paraId="0F2148D1">
      <w:pPr>
        <w:jc w:val="center"/>
        <w:rPr>
          <w:rFonts w:hint="eastAsia" w:ascii="宋体" w:hAnsi="宋体"/>
          <w:color w:val="auto"/>
          <w:sz w:val="72"/>
          <w:szCs w:val="72"/>
          <w:highlight w:val="none"/>
        </w:rPr>
      </w:pPr>
    </w:p>
    <w:p w14:paraId="595B3C8D">
      <w:pPr>
        <w:jc w:val="center"/>
        <w:rPr>
          <w:rFonts w:hint="eastAsia" w:ascii="宋体" w:hAnsi="宋体"/>
          <w:color w:val="auto"/>
          <w:sz w:val="72"/>
          <w:szCs w:val="72"/>
          <w:highlight w:val="none"/>
        </w:rPr>
      </w:pPr>
      <w:r>
        <w:rPr>
          <w:rFonts w:hint="eastAsia" w:ascii="宋体" w:hAnsi="宋体"/>
          <w:color w:val="auto"/>
          <w:sz w:val="72"/>
          <w:szCs w:val="72"/>
          <w:highlight w:val="none"/>
        </w:rPr>
        <w:t>招标文件</w:t>
      </w:r>
    </w:p>
    <w:p w14:paraId="73037FC6">
      <w:pPr>
        <w:jc w:val="center"/>
        <w:rPr>
          <w:rFonts w:hint="eastAsia" w:ascii="宋体" w:hAnsi="宋体"/>
          <w:color w:val="auto"/>
          <w:sz w:val="24"/>
          <w:highlight w:val="none"/>
        </w:rPr>
      </w:pPr>
      <w:r>
        <w:rPr>
          <w:rFonts w:hint="eastAsia" w:ascii="宋体" w:hAnsi="宋体"/>
          <w:color w:val="auto"/>
          <w:sz w:val="44"/>
          <w:szCs w:val="44"/>
          <w:highlight w:val="none"/>
        </w:rPr>
        <w:t>（资格后审）</w:t>
      </w:r>
    </w:p>
    <w:p w14:paraId="4E1E3DCE">
      <w:pPr>
        <w:spacing w:line="240" w:lineRule="auto"/>
        <w:ind w:firstLine="0" w:firstLineChars="0"/>
        <w:jc w:val="center"/>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项目编号：ZRNT20260078</w:t>
      </w:r>
    </w:p>
    <w:p w14:paraId="0F9168C0">
      <w:pPr>
        <w:spacing w:line="400" w:lineRule="exact"/>
        <w:ind w:firstLine="593" w:firstLineChars="246"/>
        <w:rPr>
          <w:rFonts w:hint="eastAsia" w:ascii="宋体" w:hAnsi="宋体"/>
          <w:b/>
          <w:bCs/>
          <w:color w:val="auto"/>
          <w:sz w:val="24"/>
          <w:highlight w:val="none"/>
        </w:rPr>
      </w:pPr>
    </w:p>
    <w:p w14:paraId="48E20D57">
      <w:pPr>
        <w:spacing w:line="400" w:lineRule="exact"/>
        <w:ind w:firstLine="593" w:firstLineChars="246"/>
        <w:rPr>
          <w:rFonts w:hint="eastAsia" w:ascii="宋体" w:hAnsi="宋体"/>
          <w:b/>
          <w:bCs/>
          <w:color w:val="auto"/>
          <w:sz w:val="24"/>
          <w:highlight w:val="none"/>
        </w:rPr>
      </w:pPr>
    </w:p>
    <w:p w14:paraId="4006DE07">
      <w:pPr>
        <w:spacing w:line="400" w:lineRule="exact"/>
        <w:ind w:firstLine="593" w:firstLineChars="246"/>
        <w:rPr>
          <w:rFonts w:hint="eastAsia" w:ascii="宋体" w:hAnsi="宋体"/>
          <w:b/>
          <w:bCs/>
          <w:color w:val="auto"/>
          <w:sz w:val="24"/>
          <w:highlight w:val="none"/>
        </w:rPr>
      </w:pPr>
    </w:p>
    <w:p w14:paraId="1C606E67">
      <w:pPr>
        <w:spacing w:line="400" w:lineRule="exact"/>
        <w:ind w:firstLine="593" w:firstLineChars="246"/>
        <w:rPr>
          <w:rFonts w:hint="eastAsia" w:ascii="宋体" w:hAnsi="宋体"/>
          <w:b/>
          <w:bCs/>
          <w:color w:val="auto"/>
          <w:sz w:val="24"/>
          <w:highlight w:val="none"/>
        </w:rPr>
      </w:pPr>
    </w:p>
    <w:p w14:paraId="35689692">
      <w:pPr>
        <w:spacing w:line="400" w:lineRule="exact"/>
        <w:ind w:firstLine="593" w:firstLineChars="246"/>
        <w:rPr>
          <w:rFonts w:hint="eastAsia" w:ascii="宋体" w:hAnsi="宋体"/>
          <w:b/>
          <w:bCs/>
          <w:color w:val="auto"/>
          <w:sz w:val="24"/>
          <w:highlight w:val="none"/>
        </w:rPr>
      </w:pPr>
    </w:p>
    <w:p w14:paraId="0B2873A8">
      <w:pPr>
        <w:spacing w:line="400" w:lineRule="exact"/>
        <w:ind w:firstLine="593" w:firstLineChars="246"/>
        <w:rPr>
          <w:rFonts w:hint="eastAsia" w:ascii="宋体" w:hAnsi="宋体"/>
          <w:b/>
          <w:bCs/>
          <w:color w:val="auto"/>
          <w:sz w:val="24"/>
          <w:highlight w:val="none"/>
        </w:rPr>
      </w:pPr>
    </w:p>
    <w:p w14:paraId="04266214">
      <w:pPr>
        <w:spacing w:line="400" w:lineRule="exact"/>
        <w:ind w:firstLine="593" w:firstLineChars="246"/>
        <w:rPr>
          <w:rFonts w:hint="eastAsia" w:ascii="宋体" w:hAnsi="宋体"/>
          <w:b/>
          <w:bCs/>
          <w:color w:val="auto"/>
          <w:sz w:val="24"/>
          <w:highlight w:val="none"/>
        </w:rPr>
      </w:pPr>
    </w:p>
    <w:p w14:paraId="79C121EC">
      <w:pPr>
        <w:spacing w:line="400" w:lineRule="exact"/>
        <w:ind w:firstLine="593" w:firstLineChars="246"/>
        <w:rPr>
          <w:rFonts w:hint="eastAsia" w:ascii="宋体" w:hAnsi="宋体"/>
          <w:b/>
          <w:bCs/>
          <w:color w:val="auto"/>
          <w:sz w:val="24"/>
          <w:highlight w:val="none"/>
        </w:rPr>
      </w:pPr>
    </w:p>
    <w:p w14:paraId="10707A30">
      <w:pPr>
        <w:spacing w:line="400" w:lineRule="exact"/>
        <w:ind w:firstLine="593" w:firstLineChars="246"/>
        <w:rPr>
          <w:rFonts w:hint="eastAsia" w:ascii="宋体" w:hAnsi="宋体"/>
          <w:b/>
          <w:bCs/>
          <w:color w:val="auto"/>
          <w:sz w:val="24"/>
          <w:highlight w:val="none"/>
        </w:rPr>
      </w:pPr>
    </w:p>
    <w:p w14:paraId="4E57FB6A">
      <w:pPr>
        <w:spacing w:line="400" w:lineRule="exact"/>
        <w:ind w:firstLine="593" w:firstLineChars="246"/>
        <w:rPr>
          <w:rFonts w:hint="eastAsia" w:ascii="宋体" w:hAnsi="宋体"/>
          <w:b/>
          <w:bCs/>
          <w:color w:val="auto"/>
          <w:sz w:val="24"/>
          <w:highlight w:val="none"/>
        </w:rPr>
      </w:pPr>
    </w:p>
    <w:p w14:paraId="058C47CE">
      <w:pPr>
        <w:spacing w:line="400" w:lineRule="exact"/>
        <w:ind w:firstLine="593" w:firstLineChars="246"/>
        <w:rPr>
          <w:rFonts w:hint="eastAsia" w:ascii="宋体" w:hAnsi="宋体"/>
          <w:b/>
          <w:bCs/>
          <w:color w:val="auto"/>
          <w:sz w:val="24"/>
          <w:highlight w:val="none"/>
        </w:rPr>
      </w:pPr>
    </w:p>
    <w:p w14:paraId="55476EDC">
      <w:pPr>
        <w:spacing w:line="480" w:lineRule="auto"/>
        <w:ind w:firstLine="593" w:firstLineChars="246"/>
        <w:rPr>
          <w:rFonts w:hint="eastAsia" w:ascii="宋体" w:hAnsi="宋体"/>
          <w:b/>
          <w:bCs/>
          <w:color w:val="auto"/>
          <w:sz w:val="24"/>
          <w:highlight w:val="none"/>
        </w:rPr>
      </w:pPr>
    </w:p>
    <w:p w14:paraId="4865F9E4">
      <w:pPr>
        <w:spacing w:line="240" w:lineRule="auto"/>
        <w:ind w:firstLine="0" w:firstLineChars="0"/>
        <w:jc w:val="center"/>
        <w:rPr>
          <w:rFonts w:hint="default" w:ascii="宋体" w:hAnsi="宋体" w:eastAsia="宋体"/>
          <w:color w:val="auto"/>
          <w:sz w:val="32"/>
          <w:szCs w:val="32"/>
          <w:highlight w:val="none"/>
          <w:lang w:val="en-US" w:eastAsia="zh-CN"/>
        </w:rPr>
      </w:pPr>
      <w:r>
        <w:rPr>
          <w:rFonts w:ascii="宋体" w:hAnsi="宋体"/>
          <w:color w:val="auto"/>
          <w:sz w:val="32"/>
          <w:szCs w:val="32"/>
          <w:highlight w:val="none"/>
        </w:rPr>
        <w:t>招标</w:t>
      </w:r>
      <w:r>
        <w:rPr>
          <w:rFonts w:hint="eastAsia" w:ascii="宋体" w:hAnsi="宋体"/>
          <w:color w:val="auto"/>
          <w:sz w:val="32"/>
          <w:szCs w:val="32"/>
          <w:highlight w:val="none"/>
        </w:rPr>
        <w:t>单位</w:t>
      </w:r>
      <w:r>
        <w:rPr>
          <w:rFonts w:ascii="宋体" w:hAnsi="宋体"/>
          <w:color w:val="auto"/>
          <w:sz w:val="32"/>
          <w:szCs w:val="32"/>
          <w:highlight w:val="none"/>
        </w:rPr>
        <w:t>：</w:t>
      </w:r>
      <w:r>
        <w:rPr>
          <w:rFonts w:hint="eastAsia" w:ascii="宋体" w:hAnsi="宋体"/>
          <w:color w:val="auto"/>
          <w:sz w:val="32"/>
          <w:szCs w:val="32"/>
          <w:highlight w:val="none"/>
          <w:lang w:val="en-US" w:eastAsia="zh-CN"/>
        </w:rPr>
        <w:t>南通市崇川历史文化街区保护发展有限公司</w:t>
      </w:r>
    </w:p>
    <w:p w14:paraId="7729E243">
      <w:pPr>
        <w:spacing w:line="240" w:lineRule="auto"/>
        <w:ind w:firstLine="0" w:firstLineChars="0"/>
        <w:jc w:val="center"/>
        <w:rPr>
          <w:rFonts w:hint="eastAsia" w:ascii="宋体" w:hAnsi="宋体" w:eastAsia="宋体"/>
          <w:color w:val="auto"/>
          <w:sz w:val="32"/>
          <w:szCs w:val="32"/>
          <w:highlight w:val="none"/>
          <w:lang w:eastAsia="zh-CN"/>
        </w:rPr>
      </w:pPr>
      <w:r>
        <w:rPr>
          <w:rFonts w:ascii="宋体" w:hAnsi="宋体"/>
          <w:color w:val="auto"/>
          <w:sz w:val="32"/>
          <w:szCs w:val="32"/>
          <w:highlight w:val="none"/>
        </w:rPr>
        <w:t>招标代理</w:t>
      </w:r>
      <w:r>
        <w:rPr>
          <w:rFonts w:hint="eastAsia" w:ascii="宋体" w:hAnsi="宋体"/>
          <w:color w:val="auto"/>
          <w:sz w:val="32"/>
          <w:szCs w:val="32"/>
          <w:highlight w:val="none"/>
        </w:rPr>
        <w:t>机构</w:t>
      </w:r>
      <w:r>
        <w:rPr>
          <w:rFonts w:ascii="宋体" w:hAnsi="宋体"/>
          <w:color w:val="auto"/>
          <w:sz w:val="32"/>
          <w:szCs w:val="32"/>
          <w:highlight w:val="none"/>
        </w:rPr>
        <w:t>：</w:t>
      </w:r>
      <w:r>
        <w:rPr>
          <w:rFonts w:hint="eastAsia" w:ascii="宋体" w:hAnsi="宋体"/>
          <w:color w:val="auto"/>
          <w:sz w:val="32"/>
          <w:szCs w:val="32"/>
          <w:highlight w:val="none"/>
          <w:lang w:eastAsia="zh-CN"/>
        </w:rPr>
        <w:t>江苏中润工程建设咨询有限公司</w:t>
      </w:r>
    </w:p>
    <w:p w14:paraId="7CBBC922">
      <w:pPr>
        <w:spacing w:line="240" w:lineRule="auto"/>
        <w:ind w:firstLine="0" w:firstLineChars="0"/>
        <w:jc w:val="center"/>
        <w:rPr>
          <w:rFonts w:hint="eastAsia" w:ascii="宋体" w:hAnsi="宋体"/>
          <w:color w:val="auto"/>
          <w:sz w:val="32"/>
          <w:szCs w:val="32"/>
          <w:highlight w:val="none"/>
        </w:rPr>
      </w:pPr>
      <w:r>
        <w:rPr>
          <w:rFonts w:ascii="宋体" w:hAnsi="宋体"/>
          <w:color w:val="auto"/>
          <w:sz w:val="32"/>
          <w:szCs w:val="32"/>
          <w:highlight w:val="none"/>
        </w:rPr>
        <w:t>二</w:t>
      </w:r>
      <w:r>
        <w:rPr>
          <w:rFonts w:hint="eastAsia" w:ascii="宋体" w:hAnsi="宋体"/>
          <w:color w:val="auto"/>
          <w:sz w:val="32"/>
          <w:szCs w:val="32"/>
          <w:highlight w:val="none"/>
        </w:rPr>
        <w:t>〇</w:t>
      </w:r>
      <w:r>
        <w:rPr>
          <w:rFonts w:ascii="宋体" w:hAnsi="宋体"/>
          <w:color w:val="auto"/>
          <w:sz w:val="32"/>
          <w:szCs w:val="32"/>
          <w:highlight w:val="none"/>
        </w:rPr>
        <w:t>二</w:t>
      </w:r>
      <w:r>
        <w:rPr>
          <w:rFonts w:hint="eastAsia" w:ascii="宋体" w:hAnsi="宋体"/>
          <w:color w:val="auto"/>
          <w:sz w:val="32"/>
          <w:szCs w:val="32"/>
          <w:highlight w:val="none"/>
          <w:lang w:val="en-US" w:eastAsia="zh-CN"/>
        </w:rPr>
        <w:t>六年五</w:t>
      </w:r>
      <w:r>
        <w:rPr>
          <w:rFonts w:hint="eastAsia" w:ascii="宋体" w:hAnsi="宋体"/>
          <w:color w:val="auto"/>
          <w:sz w:val="32"/>
          <w:szCs w:val="32"/>
          <w:highlight w:val="none"/>
        </w:rPr>
        <w:t>月</w:t>
      </w:r>
    </w:p>
    <w:p w14:paraId="3EA177E4">
      <w:pPr>
        <w:spacing w:line="240" w:lineRule="auto"/>
        <w:ind w:firstLine="0" w:firstLineChars="0"/>
        <w:jc w:val="center"/>
        <w:rPr>
          <w:rFonts w:hint="eastAsia" w:ascii="宋体" w:hAnsi="宋体" w:eastAsia="宋体" w:cs="宋体"/>
          <w:b/>
          <w:bCs/>
          <w:color w:val="auto"/>
          <w:sz w:val="36"/>
          <w:szCs w:val="36"/>
          <w:highlight w:val="none"/>
          <w:lang w:eastAsia="zh-CN"/>
        </w:rPr>
      </w:pPr>
      <w:r>
        <w:rPr>
          <w:rFonts w:hint="eastAsia" w:ascii="宋体" w:hAnsi="宋体" w:cs="宋体"/>
          <w:color w:val="auto"/>
          <w:sz w:val="28"/>
          <w:highlight w:val="none"/>
        </w:rPr>
        <w:br w:type="page"/>
      </w:r>
      <w:bookmarkStart w:id="0" w:name="_Toc13432"/>
      <w:bookmarkStart w:id="1" w:name="_Toc497463974"/>
      <w:bookmarkStart w:id="2" w:name="OLE_LINK4"/>
      <w:bookmarkStart w:id="3" w:name="OLE_LINK5"/>
      <w:r>
        <w:rPr>
          <w:rFonts w:hint="eastAsia" w:ascii="宋体" w:hAnsi="宋体" w:cs="宋体"/>
          <w:b/>
          <w:bCs/>
          <w:color w:val="auto"/>
          <w:sz w:val="36"/>
          <w:szCs w:val="36"/>
          <w:highlight w:val="none"/>
          <w:lang w:eastAsia="zh-CN"/>
        </w:rPr>
        <w:t>寺街S13、西南营X07地块室外配套工程监理</w:t>
      </w:r>
    </w:p>
    <w:p w14:paraId="1515BDF0">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招标公告</w:t>
      </w:r>
      <w:bookmarkEnd w:id="0"/>
      <w:bookmarkEnd w:id="1"/>
    </w:p>
    <w:bookmarkEnd w:id="2"/>
    <w:bookmarkEnd w:id="3"/>
    <w:p w14:paraId="79AB1C6A">
      <w:pPr>
        <w:pStyle w:val="26"/>
        <w:adjustRightInd/>
        <w:snapToGrid/>
        <w:spacing w:line="420" w:lineRule="exact"/>
        <w:rPr>
          <w:rFonts w:ascii="宋体" w:hAnsi="宋体" w:cs="宋体"/>
          <w:color w:val="auto"/>
          <w:sz w:val="22"/>
          <w:szCs w:val="22"/>
          <w:highlight w:val="none"/>
        </w:rPr>
      </w:pPr>
      <w:bookmarkStart w:id="4" w:name="OLE_LINK3"/>
      <w:bookmarkStart w:id="5" w:name="_Toc497463988"/>
      <w:r>
        <w:rPr>
          <w:rFonts w:hint="eastAsia" w:ascii="宋体" w:hAnsi="宋体" w:cs="宋体"/>
          <w:color w:val="auto"/>
          <w:sz w:val="22"/>
          <w:szCs w:val="22"/>
          <w:highlight w:val="none"/>
        </w:rPr>
        <w:t>1、</w:t>
      </w:r>
      <w:r>
        <w:rPr>
          <w:rFonts w:hint="eastAsia" w:ascii="宋体" w:hAnsi="宋体" w:cs="宋体"/>
          <w:b/>
          <w:bCs/>
          <w:color w:val="auto"/>
          <w:sz w:val="22"/>
          <w:szCs w:val="22"/>
          <w:highlight w:val="none"/>
          <w:u w:val="single"/>
          <w:lang w:eastAsia="zh-CN"/>
        </w:rPr>
        <w:t>南通市崇川历史文化街区保护发展有限公司</w:t>
      </w:r>
      <w:r>
        <w:rPr>
          <w:rFonts w:hint="eastAsia" w:ascii="宋体" w:hAnsi="宋体" w:cs="宋体"/>
          <w:color w:val="auto"/>
          <w:sz w:val="22"/>
          <w:szCs w:val="22"/>
          <w:highlight w:val="none"/>
        </w:rPr>
        <w:t>的</w:t>
      </w:r>
      <w:r>
        <w:rPr>
          <w:rFonts w:hint="eastAsia" w:ascii="宋体" w:hAnsi="宋体" w:cs="宋体"/>
          <w:b/>
          <w:bCs/>
          <w:color w:val="auto"/>
          <w:sz w:val="22"/>
          <w:szCs w:val="22"/>
          <w:highlight w:val="none"/>
          <w:u w:val="single"/>
          <w:lang w:val="en-US" w:eastAsia="zh-CN"/>
        </w:rPr>
        <w:t>寺街S13、西南营X07地块室外配套工程</w:t>
      </w:r>
      <w:r>
        <w:rPr>
          <w:rFonts w:hint="eastAsia" w:ascii="宋体" w:hAnsi="宋体" w:cs="宋体"/>
          <w:color w:val="auto"/>
          <w:sz w:val="22"/>
          <w:szCs w:val="22"/>
          <w:highlight w:val="none"/>
        </w:rPr>
        <w:t>已经批准建设，工程所需资金来源为</w:t>
      </w:r>
      <w:r>
        <w:rPr>
          <w:rFonts w:hint="eastAsia" w:ascii="宋体" w:hAnsi="宋体" w:cs="宋体"/>
          <w:b/>
          <w:bCs/>
          <w:color w:val="auto"/>
          <w:sz w:val="22"/>
          <w:szCs w:val="22"/>
          <w:highlight w:val="none"/>
          <w:u w:val="single"/>
          <w:lang w:val="en-US" w:eastAsia="zh-CN"/>
        </w:rPr>
        <w:t>自筹</w:t>
      </w:r>
      <w:r>
        <w:rPr>
          <w:rFonts w:hint="eastAsia" w:ascii="宋体" w:hAnsi="宋体" w:cs="宋体"/>
          <w:color w:val="auto"/>
          <w:sz w:val="22"/>
          <w:szCs w:val="22"/>
          <w:highlight w:val="none"/>
        </w:rPr>
        <w:t>。现对该工程的</w:t>
      </w:r>
      <w:r>
        <w:rPr>
          <w:rFonts w:hint="eastAsia" w:ascii="宋体" w:hAnsi="宋体" w:cs="宋体"/>
          <w:b/>
          <w:color w:val="auto"/>
          <w:sz w:val="22"/>
          <w:szCs w:val="22"/>
          <w:highlight w:val="none"/>
          <w:u w:val="single"/>
        </w:rPr>
        <w:t>监理</w:t>
      </w:r>
      <w:r>
        <w:rPr>
          <w:rFonts w:hint="eastAsia" w:ascii="宋体" w:hAnsi="宋体" w:cs="宋体"/>
          <w:color w:val="auto"/>
          <w:sz w:val="22"/>
          <w:szCs w:val="22"/>
          <w:highlight w:val="none"/>
        </w:rPr>
        <w:t>进行公开招标，邀请合格的潜在投标人参加本</w:t>
      </w:r>
      <w:r>
        <w:rPr>
          <w:rFonts w:hint="eastAsia" w:ascii="宋体" w:hAnsi="宋体" w:cs="宋体"/>
          <w:color w:val="auto"/>
          <w:sz w:val="22"/>
          <w:szCs w:val="22"/>
          <w:highlight w:val="none"/>
          <w:lang w:val="en-US"/>
        </w:rPr>
        <w:t>监理</w:t>
      </w:r>
      <w:r>
        <w:rPr>
          <w:rFonts w:hint="eastAsia" w:ascii="宋体" w:hAnsi="宋体" w:cs="宋体"/>
          <w:color w:val="auto"/>
          <w:sz w:val="22"/>
          <w:szCs w:val="22"/>
          <w:highlight w:val="none"/>
        </w:rPr>
        <w:t>工程的</w:t>
      </w:r>
      <w:r>
        <w:rPr>
          <w:rFonts w:hint="eastAsia" w:ascii="宋体" w:hAnsi="宋体" w:cs="宋体"/>
          <w:color w:val="auto"/>
          <w:sz w:val="22"/>
          <w:szCs w:val="22"/>
          <w:highlight w:val="none"/>
          <w:lang w:val="en-US"/>
        </w:rPr>
        <w:t>投标</w:t>
      </w:r>
      <w:r>
        <w:rPr>
          <w:rFonts w:hint="eastAsia" w:ascii="宋体" w:hAnsi="宋体" w:cs="宋体"/>
          <w:color w:val="auto"/>
          <w:sz w:val="22"/>
          <w:szCs w:val="22"/>
          <w:highlight w:val="none"/>
        </w:rPr>
        <w:t>。</w:t>
      </w:r>
    </w:p>
    <w:p w14:paraId="125FA6BA">
      <w:pPr>
        <w:pStyle w:val="26"/>
        <w:adjustRightInd/>
        <w:snapToGrid/>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b/>
          <w:color w:val="auto"/>
          <w:sz w:val="22"/>
          <w:szCs w:val="22"/>
          <w:highlight w:val="none"/>
          <w:u w:val="single"/>
          <w:lang w:eastAsia="zh-CN"/>
        </w:rPr>
        <w:t>江苏中润工程建设咨询有限公司</w:t>
      </w:r>
      <w:r>
        <w:rPr>
          <w:rFonts w:hint="eastAsia" w:ascii="宋体" w:hAnsi="宋体" w:cs="宋体"/>
          <w:color w:val="auto"/>
          <w:sz w:val="22"/>
          <w:szCs w:val="22"/>
          <w:highlight w:val="none"/>
        </w:rPr>
        <w:t>受招标人委托具体负责工程的招标事宜。</w:t>
      </w:r>
    </w:p>
    <w:p w14:paraId="05F6C56F">
      <w:pPr>
        <w:pStyle w:val="26"/>
        <w:adjustRightInd/>
        <w:snapToGrid/>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3、工程概况:</w:t>
      </w:r>
    </w:p>
    <w:p w14:paraId="6D077E09">
      <w:pPr>
        <w:pStyle w:val="26"/>
        <w:adjustRightInd/>
        <w:snapToGrid/>
        <w:spacing w:line="420" w:lineRule="exac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rPr>
        <w:t>项目名称：</w:t>
      </w:r>
      <w:r>
        <w:rPr>
          <w:rFonts w:hint="eastAsia" w:ascii="宋体" w:hAnsi="宋体" w:cs="宋体"/>
          <w:b/>
          <w:color w:val="auto"/>
          <w:sz w:val="22"/>
          <w:szCs w:val="22"/>
          <w:highlight w:val="none"/>
          <w:u w:val="single"/>
          <w:lang w:eastAsia="zh-CN"/>
        </w:rPr>
        <w:t>寺街S13、西南营X07地块室外配套工程监理；</w:t>
      </w:r>
    </w:p>
    <w:p w14:paraId="68284B05">
      <w:pPr>
        <w:pStyle w:val="26"/>
        <w:adjustRightInd/>
        <w:snapToGrid/>
        <w:spacing w:line="420" w:lineRule="exact"/>
        <w:rPr>
          <w:rFonts w:hint="eastAsia" w:ascii="宋体" w:hAnsi="宋体" w:eastAsia="宋体" w:cs="宋体"/>
          <w:color w:val="auto"/>
          <w:sz w:val="22"/>
          <w:szCs w:val="22"/>
          <w:highlight w:val="none"/>
          <w:u w:val="single"/>
          <w:lang w:eastAsia="zh-CN"/>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rPr>
        <w:t>2</w:t>
      </w:r>
      <w:r>
        <w:rPr>
          <w:rFonts w:hint="eastAsia" w:ascii="宋体" w:hAnsi="宋体" w:cs="宋体"/>
          <w:color w:val="auto"/>
          <w:sz w:val="22"/>
          <w:szCs w:val="22"/>
          <w:highlight w:val="none"/>
        </w:rPr>
        <w:t>）工程地点：南通市</w:t>
      </w:r>
      <w:r>
        <w:rPr>
          <w:rFonts w:hint="eastAsia" w:ascii="宋体" w:hAnsi="宋体" w:cs="宋体"/>
          <w:color w:val="auto"/>
          <w:sz w:val="22"/>
          <w:szCs w:val="22"/>
          <w:highlight w:val="none"/>
          <w:lang w:val="en-US" w:eastAsia="zh-CN"/>
        </w:rPr>
        <w:t>崇川区</w:t>
      </w:r>
      <w:r>
        <w:rPr>
          <w:rFonts w:hint="eastAsia" w:ascii="宋体" w:hAnsi="宋体" w:cs="宋体"/>
          <w:color w:val="auto"/>
          <w:sz w:val="22"/>
          <w:szCs w:val="22"/>
          <w:highlight w:val="none"/>
          <w:lang w:eastAsia="zh-CN"/>
        </w:rPr>
        <w:t>；</w:t>
      </w:r>
    </w:p>
    <w:p w14:paraId="2C1217B1">
      <w:pPr>
        <w:pStyle w:val="26"/>
        <w:adjustRightInd/>
        <w:snapToGrid/>
        <w:spacing w:line="420" w:lineRule="exac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rPr>
        <w:t>3</w:t>
      </w:r>
      <w:r>
        <w:rPr>
          <w:rFonts w:hint="eastAsia" w:ascii="宋体" w:hAnsi="宋体" w:cs="宋体"/>
          <w:color w:val="auto"/>
          <w:sz w:val="22"/>
          <w:szCs w:val="22"/>
          <w:highlight w:val="none"/>
        </w:rPr>
        <w:t>）工程规模：</w:t>
      </w:r>
      <w:r>
        <w:rPr>
          <w:rFonts w:hint="eastAsia" w:ascii="宋体" w:hAnsi="宋体" w:cs="宋体"/>
          <w:color w:val="auto"/>
          <w:sz w:val="22"/>
          <w:szCs w:val="22"/>
          <w:highlight w:val="none"/>
          <w:lang w:val="en-US" w:eastAsia="zh-CN"/>
        </w:rPr>
        <w:t>工程造价</w:t>
      </w:r>
      <w:r>
        <w:rPr>
          <w:rFonts w:hint="eastAsia" w:ascii="宋体" w:hAnsi="宋体" w:cs="宋体"/>
          <w:color w:val="auto"/>
          <w:sz w:val="22"/>
          <w:szCs w:val="22"/>
          <w:highlight w:val="none"/>
        </w:rPr>
        <w:t>约</w:t>
      </w:r>
      <w:r>
        <w:rPr>
          <w:rFonts w:hint="eastAsia" w:ascii="宋体" w:hAnsi="宋体" w:cs="宋体"/>
          <w:color w:val="auto"/>
          <w:sz w:val="22"/>
          <w:szCs w:val="22"/>
          <w:highlight w:val="none"/>
          <w:u w:val="single"/>
          <w:lang w:val="en-US" w:eastAsia="zh-CN"/>
        </w:rPr>
        <w:t>600</w:t>
      </w:r>
      <w:r>
        <w:rPr>
          <w:rFonts w:hint="eastAsia" w:ascii="宋体" w:hAnsi="宋体" w:cs="宋体"/>
          <w:color w:val="auto"/>
          <w:sz w:val="22"/>
          <w:szCs w:val="22"/>
          <w:highlight w:val="none"/>
        </w:rPr>
        <w:t>万元</w:t>
      </w:r>
      <w:r>
        <w:rPr>
          <w:rFonts w:hint="eastAsia" w:ascii="宋体" w:hAnsi="宋体" w:cs="宋体"/>
          <w:color w:val="auto"/>
          <w:sz w:val="22"/>
          <w:szCs w:val="22"/>
          <w:highlight w:val="none"/>
          <w:lang w:eastAsia="zh-CN"/>
        </w:rPr>
        <w:t>；</w:t>
      </w:r>
    </w:p>
    <w:p w14:paraId="25486B23">
      <w:pPr>
        <w:pStyle w:val="26"/>
        <w:adjustRightInd/>
        <w:snapToGrid/>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rPr>
        <w:t>4</w:t>
      </w:r>
      <w:r>
        <w:rPr>
          <w:rFonts w:hint="eastAsia" w:ascii="宋体" w:hAnsi="宋体" w:cs="宋体"/>
          <w:color w:val="auto"/>
          <w:sz w:val="22"/>
          <w:szCs w:val="22"/>
          <w:highlight w:val="none"/>
        </w:rPr>
        <w:t>）招标内容：</w:t>
      </w:r>
    </w:p>
    <w:p w14:paraId="0C5C56F9">
      <w:pPr>
        <w:pStyle w:val="26"/>
        <w:adjustRightInd/>
        <w:snapToGrid/>
        <w:spacing w:line="420" w:lineRule="exact"/>
        <w:rPr>
          <w:rFonts w:ascii="宋体" w:hAnsi="宋体" w:cs="宋体"/>
          <w:color w:val="auto"/>
          <w:sz w:val="22"/>
          <w:szCs w:val="22"/>
          <w:highlight w:val="none"/>
        </w:rPr>
      </w:pPr>
      <w:r>
        <w:rPr>
          <w:rFonts w:hint="eastAsia" w:ascii="宋体" w:hAnsi="宋体" w:cs="宋体"/>
          <w:color w:val="auto"/>
          <w:kern w:val="2"/>
          <w:sz w:val="22"/>
          <w:szCs w:val="22"/>
          <w:highlight w:val="none"/>
          <w:lang w:val="en-US"/>
        </w:rPr>
        <w:t>监理内容：工程施工准备阶段、施工阶段、竣工验收阶段和保修阶段全过程监理。协助委托人办理图纸审查和各项报批工作，对工程进行质量、进度、投资、安全四大控制和合同管理、信息管理、安全生产管理、文明施工管理、组织协调施工单位的施工现场各方关系，工程竣工资料审核等</w:t>
      </w:r>
      <w:r>
        <w:rPr>
          <w:rFonts w:hint="eastAsia" w:ascii="宋体" w:hAnsi="宋体" w:cs="宋体"/>
          <w:color w:val="auto"/>
          <w:sz w:val="22"/>
          <w:szCs w:val="22"/>
          <w:highlight w:val="none"/>
        </w:rPr>
        <w:t>。</w:t>
      </w:r>
    </w:p>
    <w:p w14:paraId="12E3093B">
      <w:pPr>
        <w:pStyle w:val="26"/>
        <w:adjustRightInd/>
        <w:snapToGrid/>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rPr>
        <w:t>5</w:t>
      </w:r>
      <w:r>
        <w:rPr>
          <w:rFonts w:hint="eastAsia" w:ascii="宋体" w:hAnsi="宋体" w:cs="宋体"/>
          <w:color w:val="auto"/>
          <w:sz w:val="22"/>
          <w:szCs w:val="22"/>
          <w:highlight w:val="none"/>
        </w:rPr>
        <w:t>）监理服务期：前期+施工工期+保修期</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2年</w:t>
      </w:r>
      <w:r>
        <w:rPr>
          <w:rFonts w:hint="eastAsia" w:ascii="宋体" w:hAnsi="宋体" w:cs="宋体"/>
          <w:color w:val="auto"/>
          <w:sz w:val="22"/>
          <w:szCs w:val="22"/>
          <w:highlight w:val="none"/>
        </w:rPr>
        <w:t>，具体施工期以实际施工期为准，如工期延长，费用不另增加。</w:t>
      </w:r>
    </w:p>
    <w:p w14:paraId="5DDFC058">
      <w:pPr>
        <w:pStyle w:val="26"/>
        <w:adjustRightInd/>
        <w:snapToGrid/>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4、本次招标共分为一个标段。</w:t>
      </w:r>
    </w:p>
    <w:p w14:paraId="6577A3EF">
      <w:pPr>
        <w:pStyle w:val="26"/>
        <w:adjustRightInd/>
        <w:snapToGrid/>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5、监理合同估算价：</w:t>
      </w:r>
      <w:r>
        <w:rPr>
          <w:rFonts w:hint="eastAsia" w:ascii="宋体" w:hAnsi="宋体" w:cs="宋体"/>
          <w:color w:val="auto"/>
          <w:sz w:val="22"/>
          <w:szCs w:val="22"/>
          <w:highlight w:val="none"/>
          <w:u w:val="single"/>
          <w:lang w:val="en-US" w:eastAsia="zh-CN"/>
        </w:rPr>
        <w:t>15.4</w:t>
      </w:r>
      <w:r>
        <w:rPr>
          <w:rFonts w:hint="eastAsia" w:ascii="宋体" w:hAnsi="宋体" w:cs="宋体"/>
          <w:color w:val="auto"/>
          <w:sz w:val="22"/>
          <w:szCs w:val="22"/>
          <w:highlight w:val="none"/>
          <w:u w:val="single"/>
        </w:rPr>
        <w:t>万元。</w:t>
      </w:r>
    </w:p>
    <w:p w14:paraId="1C862A9C">
      <w:pPr>
        <w:pStyle w:val="26"/>
        <w:adjustRightInd/>
        <w:snapToGrid/>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6、质量等级要求：合格。</w:t>
      </w:r>
    </w:p>
    <w:p w14:paraId="102856BB">
      <w:pPr>
        <w:pStyle w:val="26"/>
        <w:adjustRightInd/>
        <w:snapToGrid/>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7、申请人应当具备的主要资格条件</w:t>
      </w:r>
    </w:p>
    <w:p w14:paraId="72C7D45E">
      <w:pPr>
        <w:pStyle w:val="26"/>
        <w:adjustRightInd/>
        <w:snapToGrid/>
        <w:spacing w:line="420" w:lineRule="exac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7.1申请人资质类别和等级：</w:t>
      </w:r>
      <w:r>
        <w:rPr>
          <w:rFonts w:hint="eastAsia" w:ascii="宋体" w:hAnsi="宋体" w:eastAsia="宋体" w:cs="宋体"/>
          <w:b/>
          <w:color w:val="auto"/>
          <w:sz w:val="22"/>
          <w:szCs w:val="22"/>
          <w:highlight w:val="none"/>
          <w:u w:val="single"/>
        </w:rPr>
        <w:t>必须具有工商行政管理部门核发的企业法人营业执照和建设部核发的</w:t>
      </w:r>
      <w:r>
        <w:rPr>
          <w:rFonts w:hint="eastAsia" w:ascii="宋体" w:hAnsi="宋体" w:eastAsia="宋体" w:cs="宋体"/>
          <w:b/>
          <w:color w:val="auto"/>
          <w:sz w:val="22"/>
          <w:szCs w:val="22"/>
          <w:highlight w:val="none"/>
          <w:u w:val="single"/>
          <w:lang w:eastAsia="zh-CN"/>
        </w:rPr>
        <w:t>工程监理综合资质或</w:t>
      </w:r>
      <w:r>
        <w:rPr>
          <w:rFonts w:hint="eastAsia" w:ascii="宋体" w:hAnsi="宋体" w:cs="宋体"/>
          <w:b/>
          <w:color w:val="auto"/>
          <w:sz w:val="22"/>
          <w:szCs w:val="22"/>
          <w:highlight w:val="none"/>
          <w:u w:val="single"/>
          <w:lang w:val="en-US" w:eastAsia="zh-CN"/>
        </w:rPr>
        <w:t>市政公用</w:t>
      </w:r>
      <w:r>
        <w:rPr>
          <w:rFonts w:hint="eastAsia" w:ascii="宋体" w:hAnsi="宋体" w:eastAsia="宋体" w:cs="宋体"/>
          <w:b/>
          <w:color w:val="auto"/>
          <w:sz w:val="22"/>
          <w:szCs w:val="22"/>
          <w:highlight w:val="none"/>
          <w:u w:val="single"/>
          <w:lang w:eastAsia="zh-CN"/>
        </w:rPr>
        <w:t>工程监理乙级及以上</w:t>
      </w:r>
      <w:r>
        <w:rPr>
          <w:rFonts w:hint="eastAsia" w:ascii="宋体" w:hAnsi="宋体" w:eastAsia="宋体" w:cs="宋体"/>
          <w:b/>
          <w:color w:val="auto"/>
          <w:sz w:val="22"/>
          <w:szCs w:val="22"/>
          <w:highlight w:val="none"/>
          <w:u w:val="single"/>
        </w:rPr>
        <w:t>资质</w:t>
      </w:r>
      <w:r>
        <w:rPr>
          <w:rFonts w:hint="eastAsia" w:ascii="宋体" w:hAnsi="宋体" w:eastAsia="宋体" w:cs="宋体"/>
          <w:b/>
          <w:color w:val="auto"/>
          <w:sz w:val="22"/>
          <w:szCs w:val="22"/>
          <w:highlight w:val="none"/>
          <w:u w:val="single"/>
          <w:lang w:eastAsia="zh-CN"/>
        </w:rPr>
        <w:t>。</w:t>
      </w:r>
    </w:p>
    <w:p w14:paraId="28AAE9D5">
      <w:pPr>
        <w:pStyle w:val="26"/>
        <w:adjustRightInd/>
        <w:snapToGrid/>
        <w:spacing w:line="420" w:lineRule="exac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7.2拟派总监理工程师资格条件：</w:t>
      </w:r>
      <w:r>
        <w:rPr>
          <w:rFonts w:hint="eastAsia" w:ascii="宋体" w:hAnsi="宋体" w:cs="宋体"/>
          <w:b/>
          <w:bCs/>
          <w:color w:val="auto"/>
          <w:sz w:val="22"/>
          <w:szCs w:val="22"/>
          <w:highlight w:val="none"/>
          <w:u w:val="single"/>
        </w:rPr>
        <w:t>国家注册监理工程师执业资格（注册专业为</w:t>
      </w:r>
      <w:r>
        <w:rPr>
          <w:rFonts w:hint="eastAsia" w:ascii="宋体" w:hAnsi="宋体" w:cs="宋体"/>
          <w:b/>
          <w:bCs/>
          <w:color w:val="auto"/>
          <w:sz w:val="22"/>
          <w:szCs w:val="22"/>
          <w:highlight w:val="none"/>
          <w:u w:val="single"/>
          <w:lang w:val="en-US" w:eastAsia="zh-CN"/>
        </w:rPr>
        <w:t>市政公用</w:t>
      </w:r>
      <w:r>
        <w:rPr>
          <w:rFonts w:hint="eastAsia" w:ascii="宋体" w:hAnsi="宋体" w:cs="宋体"/>
          <w:b/>
          <w:bCs/>
          <w:color w:val="auto"/>
          <w:sz w:val="22"/>
          <w:szCs w:val="22"/>
          <w:highlight w:val="none"/>
          <w:u w:val="single"/>
        </w:rPr>
        <w:t>工程专业，注册单位为投标人本单位），年龄不得超过55周岁</w:t>
      </w:r>
      <w:r>
        <w:rPr>
          <w:rFonts w:hint="eastAsia" w:ascii="宋体" w:hAnsi="宋体" w:cs="宋体"/>
          <w:color w:val="auto"/>
          <w:sz w:val="22"/>
          <w:szCs w:val="22"/>
          <w:highlight w:val="none"/>
          <w:lang w:eastAsia="zh-CN"/>
        </w:rPr>
        <w:t>。</w:t>
      </w:r>
    </w:p>
    <w:p w14:paraId="0FF67FD4">
      <w:pPr>
        <w:pStyle w:val="26"/>
        <w:adjustRightInd/>
        <w:snapToGrid/>
        <w:spacing w:line="420" w:lineRule="exact"/>
        <w:rPr>
          <w:rFonts w:ascii="宋体" w:hAnsi="宋体" w:cs="宋体"/>
          <w:b/>
          <w:color w:val="auto"/>
          <w:sz w:val="22"/>
          <w:szCs w:val="22"/>
          <w:highlight w:val="none"/>
        </w:rPr>
      </w:pPr>
      <w:r>
        <w:rPr>
          <w:rFonts w:hint="eastAsia" w:ascii="宋体" w:hAnsi="宋体" w:cs="宋体"/>
          <w:b/>
          <w:color w:val="auto"/>
          <w:sz w:val="22"/>
          <w:szCs w:val="22"/>
          <w:highlight w:val="none"/>
        </w:rPr>
        <w:t>8、其他条件</w:t>
      </w:r>
    </w:p>
    <w:p w14:paraId="7685B65F">
      <w:pPr>
        <w:pStyle w:val="26"/>
        <w:adjustRightInd/>
        <w:snapToGrid/>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8.1未处于被责令停业、投标资格被取消或者财产被接管、冻结和破产状态；</w:t>
      </w:r>
    </w:p>
    <w:p w14:paraId="55A60C64">
      <w:pPr>
        <w:pStyle w:val="26"/>
        <w:adjustRightInd/>
        <w:snapToGrid/>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8.2企业没有因骗取中标或者严重违约以及发生重大工程质量、安全生产事故等问题，被有关部门暂停投标资格并在暂停期内的，且企业无违纪行为和不良记录的；</w:t>
      </w:r>
    </w:p>
    <w:p w14:paraId="6781C4B8">
      <w:pPr>
        <w:pStyle w:val="26"/>
        <w:adjustRightInd/>
        <w:snapToGrid/>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8.3企业的资质类别、等级和总监理工程师的资质等级满足招标公告要求；</w:t>
      </w:r>
    </w:p>
    <w:p w14:paraId="557B4153">
      <w:pPr>
        <w:pStyle w:val="26"/>
        <w:adjustRightInd/>
        <w:snapToGrid/>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8.4资格审查文件中的重要内容没有失实或者弄虚作假；</w:t>
      </w:r>
    </w:p>
    <w:p w14:paraId="455AF033">
      <w:pPr>
        <w:pStyle w:val="26"/>
        <w:adjustRightInd/>
        <w:snapToGrid/>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8.5拟派总监理工程师不得同时在两个或两个以上单位受聘或执业；</w:t>
      </w:r>
    </w:p>
    <w:p w14:paraId="71AE5789">
      <w:pPr>
        <w:pStyle w:val="26"/>
        <w:adjustRightInd/>
        <w:snapToGrid/>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8.6本项目</w:t>
      </w:r>
      <w:r>
        <w:rPr>
          <w:rFonts w:hint="eastAsia" w:ascii="宋体" w:hAnsi="宋体" w:cs="宋体"/>
          <w:b/>
          <w:bCs/>
          <w:color w:val="auto"/>
          <w:sz w:val="22"/>
          <w:szCs w:val="22"/>
          <w:highlight w:val="none"/>
          <w:u w:val="single"/>
        </w:rPr>
        <w:t>不接受</w:t>
      </w:r>
      <w:r>
        <w:rPr>
          <w:rFonts w:hint="eastAsia" w:ascii="宋体" w:hAnsi="宋体" w:cs="宋体"/>
          <w:color w:val="auto"/>
          <w:sz w:val="22"/>
          <w:szCs w:val="22"/>
          <w:highlight w:val="none"/>
        </w:rPr>
        <w:t>联合体投标。</w:t>
      </w:r>
    </w:p>
    <w:p w14:paraId="5329BF25">
      <w:pPr>
        <w:pStyle w:val="26"/>
        <w:adjustRightInd/>
        <w:snapToGrid/>
        <w:spacing w:line="420" w:lineRule="exact"/>
        <w:rPr>
          <w:rFonts w:ascii="宋体" w:hAnsi="宋体" w:cs="宋体"/>
          <w:b/>
          <w:color w:val="auto"/>
          <w:sz w:val="22"/>
          <w:szCs w:val="22"/>
          <w:highlight w:val="none"/>
        </w:rPr>
      </w:pPr>
      <w:r>
        <w:rPr>
          <w:rFonts w:hint="eastAsia" w:ascii="宋体" w:hAnsi="宋体" w:cs="宋体"/>
          <w:color w:val="auto"/>
          <w:sz w:val="22"/>
          <w:szCs w:val="22"/>
          <w:highlight w:val="none"/>
        </w:rPr>
        <w:t>9、本工程投标申请人的资格审查采用资格后审的方式，无需另行进行网上报名，各投标人须于</w:t>
      </w:r>
      <w:r>
        <w:rPr>
          <w:rFonts w:hint="eastAsia" w:ascii="宋体" w:hAnsi="宋体" w:cs="宋体"/>
          <w:b/>
          <w:color w:val="auto"/>
          <w:sz w:val="22"/>
          <w:szCs w:val="22"/>
          <w:highlight w:val="none"/>
          <w:u w:val="single"/>
        </w:rPr>
        <w:t>202</w:t>
      </w:r>
      <w:r>
        <w:rPr>
          <w:rFonts w:hint="eastAsia" w:ascii="宋体" w:hAnsi="宋体" w:cs="宋体"/>
          <w:b/>
          <w:color w:val="auto"/>
          <w:sz w:val="22"/>
          <w:szCs w:val="22"/>
          <w:highlight w:val="none"/>
          <w:u w:val="single"/>
          <w:lang w:val="en-US" w:eastAsia="zh-CN"/>
        </w:rPr>
        <w:t>6</w:t>
      </w:r>
      <w:r>
        <w:rPr>
          <w:rFonts w:hint="eastAsia" w:ascii="宋体" w:hAnsi="宋体" w:cs="宋体"/>
          <w:b/>
          <w:color w:val="auto"/>
          <w:sz w:val="22"/>
          <w:szCs w:val="22"/>
          <w:highlight w:val="none"/>
          <w:u w:val="single"/>
        </w:rPr>
        <w:t>年</w:t>
      </w:r>
      <w:r>
        <w:rPr>
          <w:rFonts w:hint="eastAsia" w:ascii="宋体" w:hAnsi="宋体" w:cs="宋体"/>
          <w:b/>
          <w:color w:val="auto"/>
          <w:sz w:val="22"/>
          <w:szCs w:val="22"/>
          <w:highlight w:val="none"/>
          <w:u w:val="single"/>
          <w:lang w:val="en-US" w:eastAsia="zh-CN"/>
        </w:rPr>
        <w:t>5</w:t>
      </w:r>
      <w:r>
        <w:rPr>
          <w:rFonts w:hint="eastAsia" w:ascii="宋体" w:hAnsi="宋体" w:cs="宋体"/>
          <w:b/>
          <w:color w:val="auto"/>
          <w:sz w:val="22"/>
          <w:szCs w:val="22"/>
          <w:highlight w:val="none"/>
          <w:u w:val="single"/>
        </w:rPr>
        <w:t>月</w:t>
      </w:r>
      <w:r>
        <w:rPr>
          <w:rFonts w:hint="eastAsia" w:ascii="宋体" w:hAnsi="宋体" w:cs="宋体"/>
          <w:b/>
          <w:color w:val="auto"/>
          <w:sz w:val="22"/>
          <w:szCs w:val="22"/>
          <w:highlight w:val="none"/>
          <w:u w:val="single"/>
          <w:lang w:val="en-US" w:eastAsia="zh-CN"/>
        </w:rPr>
        <w:t>22</w:t>
      </w:r>
      <w:r>
        <w:rPr>
          <w:rFonts w:hint="eastAsia" w:ascii="宋体" w:hAnsi="宋体" w:cs="宋体"/>
          <w:b/>
          <w:color w:val="auto"/>
          <w:sz w:val="22"/>
          <w:szCs w:val="22"/>
          <w:highlight w:val="none"/>
          <w:u w:val="single"/>
        </w:rPr>
        <w:t>日</w:t>
      </w:r>
      <w:r>
        <w:rPr>
          <w:rFonts w:hint="eastAsia" w:ascii="宋体" w:hAnsi="宋体" w:cs="宋体"/>
          <w:b/>
          <w:color w:val="auto"/>
          <w:sz w:val="22"/>
          <w:szCs w:val="22"/>
          <w:highlight w:val="none"/>
          <w:u w:val="single"/>
          <w:lang w:val="en-US"/>
        </w:rPr>
        <w:t>09</w:t>
      </w:r>
      <w:r>
        <w:rPr>
          <w:rFonts w:hint="eastAsia" w:ascii="宋体" w:hAnsi="宋体" w:cs="宋体"/>
          <w:b/>
          <w:color w:val="auto"/>
          <w:sz w:val="22"/>
          <w:szCs w:val="22"/>
          <w:highlight w:val="none"/>
          <w:u w:val="single"/>
        </w:rPr>
        <w:t>时</w:t>
      </w:r>
      <w:r>
        <w:rPr>
          <w:rFonts w:hint="eastAsia" w:ascii="宋体" w:hAnsi="宋体" w:cs="宋体"/>
          <w:b/>
          <w:color w:val="auto"/>
          <w:sz w:val="22"/>
          <w:szCs w:val="22"/>
          <w:highlight w:val="none"/>
          <w:u w:val="single"/>
          <w:lang w:val="en-US"/>
        </w:rPr>
        <w:t>3</w:t>
      </w:r>
      <w:r>
        <w:rPr>
          <w:rFonts w:hint="eastAsia" w:ascii="宋体" w:hAnsi="宋体" w:cs="宋体"/>
          <w:b/>
          <w:color w:val="auto"/>
          <w:sz w:val="22"/>
          <w:szCs w:val="22"/>
          <w:highlight w:val="none"/>
          <w:u w:val="single"/>
        </w:rPr>
        <w:t>0分</w:t>
      </w:r>
      <w:r>
        <w:rPr>
          <w:rFonts w:hint="eastAsia" w:ascii="宋体" w:hAnsi="宋体" w:cs="宋体"/>
          <w:color w:val="auto"/>
          <w:sz w:val="22"/>
          <w:szCs w:val="22"/>
          <w:highlight w:val="none"/>
        </w:rPr>
        <w:t>以前将投标文件提交至</w:t>
      </w:r>
      <w:r>
        <w:rPr>
          <w:rFonts w:hint="eastAsia" w:ascii="宋体" w:hAnsi="宋体" w:cs="宋体"/>
          <w:b/>
          <w:bCs/>
          <w:color w:val="auto"/>
          <w:sz w:val="22"/>
          <w:szCs w:val="22"/>
          <w:highlight w:val="none"/>
          <w:u w:val="single"/>
        </w:rPr>
        <w:t xml:space="preserve">崇川区环城南路5号南楼城事4楼，南通市崇川文化旅游发展有限公司会议室 </w:t>
      </w:r>
      <w:r>
        <w:rPr>
          <w:rFonts w:hint="eastAsia" w:ascii="宋体" w:hAnsi="宋体" w:cs="宋体"/>
          <w:color w:val="auto"/>
          <w:sz w:val="22"/>
          <w:szCs w:val="22"/>
          <w:highlight w:val="none"/>
        </w:rPr>
        <w:t>，并在</w:t>
      </w:r>
      <w:r>
        <w:rPr>
          <w:rFonts w:hint="eastAsia" w:ascii="宋体" w:hAnsi="宋体" w:cs="宋体"/>
          <w:b/>
          <w:color w:val="auto"/>
          <w:sz w:val="22"/>
          <w:szCs w:val="22"/>
          <w:highlight w:val="none"/>
          <w:u w:val="single"/>
        </w:rPr>
        <w:t>202</w:t>
      </w:r>
      <w:r>
        <w:rPr>
          <w:rFonts w:hint="eastAsia" w:ascii="宋体" w:hAnsi="宋体" w:cs="宋体"/>
          <w:b/>
          <w:color w:val="auto"/>
          <w:sz w:val="22"/>
          <w:szCs w:val="22"/>
          <w:highlight w:val="none"/>
          <w:u w:val="single"/>
          <w:lang w:val="en-US" w:eastAsia="zh-CN"/>
        </w:rPr>
        <w:t>6</w:t>
      </w:r>
      <w:r>
        <w:rPr>
          <w:rFonts w:hint="eastAsia" w:ascii="宋体" w:hAnsi="宋体" w:cs="宋体"/>
          <w:b/>
          <w:color w:val="auto"/>
          <w:sz w:val="22"/>
          <w:szCs w:val="22"/>
          <w:highlight w:val="none"/>
          <w:u w:val="single"/>
        </w:rPr>
        <w:t>年</w:t>
      </w:r>
      <w:r>
        <w:rPr>
          <w:rFonts w:hint="eastAsia" w:ascii="宋体" w:hAnsi="宋体" w:cs="宋体"/>
          <w:b/>
          <w:color w:val="auto"/>
          <w:sz w:val="22"/>
          <w:szCs w:val="22"/>
          <w:highlight w:val="none"/>
          <w:u w:val="single"/>
          <w:lang w:val="en-US" w:eastAsia="zh-CN"/>
        </w:rPr>
        <w:t>5</w:t>
      </w:r>
      <w:r>
        <w:rPr>
          <w:rFonts w:hint="eastAsia" w:ascii="宋体" w:hAnsi="宋体" w:cs="宋体"/>
          <w:b/>
          <w:color w:val="auto"/>
          <w:sz w:val="22"/>
          <w:szCs w:val="22"/>
          <w:highlight w:val="none"/>
          <w:u w:val="single"/>
        </w:rPr>
        <w:t>月</w:t>
      </w:r>
      <w:r>
        <w:rPr>
          <w:rFonts w:hint="eastAsia" w:ascii="宋体" w:hAnsi="宋体" w:cs="宋体"/>
          <w:b/>
          <w:color w:val="auto"/>
          <w:sz w:val="22"/>
          <w:szCs w:val="22"/>
          <w:highlight w:val="none"/>
          <w:u w:val="single"/>
          <w:lang w:val="en-US" w:eastAsia="zh-CN"/>
        </w:rPr>
        <w:t>22</w:t>
      </w:r>
      <w:r>
        <w:rPr>
          <w:rFonts w:hint="eastAsia" w:ascii="宋体" w:hAnsi="宋体" w:cs="宋体"/>
          <w:b/>
          <w:color w:val="auto"/>
          <w:sz w:val="22"/>
          <w:szCs w:val="22"/>
          <w:highlight w:val="none"/>
          <w:u w:val="single"/>
        </w:rPr>
        <w:t>日</w:t>
      </w:r>
      <w:r>
        <w:rPr>
          <w:rFonts w:hint="eastAsia" w:ascii="宋体" w:hAnsi="宋体" w:cs="宋体"/>
          <w:b/>
          <w:color w:val="auto"/>
          <w:sz w:val="22"/>
          <w:szCs w:val="22"/>
          <w:highlight w:val="none"/>
          <w:u w:val="single"/>
          <w:lang w:val="en-US"/>
        </w:rPr>
        <w:t>09</w:t>
      </w:r>
      <w:r>
        <w:rPr>
          <w:rFonts w:hint="eastAsia" w:ascii="宋体" w:hAnsi="宋体" w:cs="宋体"/>
          <w:b/>
          <w:color w:val="auto"/>
          <w:sz w:val="22"/>
          <w:szCs w:val="22"/>
          <w:highlight w:val="none"/>
          <w:u w:val="single"/>
        </w:rPr>
        <w:t>时</w:t>
      </w:r>
      <w:r>
        <w:rPr>
          <w:rFonts w:hint="eastAsia" w:ascii="宋体" w:hAnsi="宋体" w:cs="宋体"/>
          <w:b/>
          <w:color w:val="auto"/>
          <w:sz w:val="22"/>
          <w:szCs w:val="22"/>
          <w:highlight w:val="none"/>
          <w:u w:val="single"/>
          <w:lang w:val="en-US"/>
        </w:rPr>
        <w:t>3</w:t>
      </w:r>
      <w:r>
        <w:rPr>
          <w:rFonts w:hint="eastAsia" w:ascii="宋体" w:hAnsi="宋体" w:cs="宋体"/>
          <w:b/>
          <w:color w:val="auto"/>
          <w:sz w:val="22"/>
          <w:szCs w:val="22"/>
          <w:highlight w:val="none"/>
          <w:u w:val="single"/>
        </w:rPr>
        <w:t>0分</w:t>
      </w:r>
      <w:r>
        <w:rPr>
          <w:rFonts w:hint="eastAsia" w:ascii="宋体" w:hAnsi="宋体" w:cs="宋体"/>
          <w:color w:val="auto"/>
          <w:sz w:val="22"/>
          <w:szCs w:val="22"/>
          <w:highlight w:val="none"/>
        </w:rPr>
        <w:t>开标。逾期送达的投标文件将被拒绝。</w:t>
      </w:r>
    </w:p>
    <w:p w14:paraId="10AF8936">
      <w:pPr>
        <w:pStyle w:val="26"/>
        <w:adjustRightInd/>
        <w:snapToGrid/>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10、招标文件等材料从本公告附件下载；招标文件、修改、补充、图纸公布的网址及栏目：南通市崇川区人民政府网-</w:t>
      </w:r>
      <w:r>
        <w:rPr>
          <w:rFonts w:hint="eastAsia" w:ascii="宋体" w:hAnsi="宋体" w:cs="宋体"/>
          <w:color w:val="auto"/>
          <w:sz w:val="22"/>
          <w:szCs w:val="22"/>
          <w:highlight w:val="none"/>
          <w:lang w:val="en-US"/>
        </w:rPr>
        <w:t>我要看</w:t>
      </w:r>
      <w:r>
        <w:rPr>
          <w:rFonts w:hint="eastAsia" w:ascii="宋体" w:hAnsi="宋体" w:cs="宋体"/>
          <w:color w:val="auto"/>
          <w:sz w:val="22"/>
          <w:szCs w:val="22"/>
          <w:highlight w:val="none"/>
        </w:rPr>
        <w:t>-公示公告栏。请各投标人自行关注，否则，引起的所有损失由投标人自行承担。当招标文件、招标文件的澄清、修改、补充等在同一内容的表述上不一致时，以最后网上发出的文件为准。</w:t>
      </w:r>
    </w:p>
    <w:p w14:paraId="3FD91500">
      <w:pPr>
        <w:pStyle w:val="26"/>
        <w:adjustRightInd/>
        <w:snapToGrid/>
        <w:spacing w:line="420" w:lineRule="exact"/>
        <w:rPr>
          <w:rFonts w:hint="eastAsia" w:ascii="宋体" w:hAnsi="宋体" w:cs="宋体"/>
          <w:color w:val="auto"/>
          <w:sz w:val="22"/>
          <w:szCs w:val="22"/>
          <w:highlight w:val="none"/>
        </w:rPr>
      </w:pPr>
    </w:p>
    <w:p w14:paraId="28530EE2">
      <w:pPr>
        <w:pStyle w:val="26"/>
        <w:adjustRightInd/>
        <w:snapToGrid/>
        <w:spacing w:line="420" w:lineRule="exac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rPr>
        <w:t>招标人：</w:t>
      </w:r>
      <w:r>
        <w:rPr>
          <w:rFonts w:hint="eastAsia" w:ascii="宋体" w:hAnsi="宋体" w:cs="宋体"/>
          <w:color w:val="auto"/>
          <w:sz w:val="22"/>
          <w:szCs w:val="22"/>
          <w:highlight w:val="none"/>
          <w:lang w:eastAsia="zh-CN"/>
        </w:rPr>
        <w:t>南通市崇川历史文化街区保护发展有限公司</w:t>
      </w:r>
    </w:p>
    <w:p w14:paraId="70E89C72">
      <w:pPr>
        <w:pStyle w:val="26"/>
        <w:adjustRightInd/>
        <w:snapToGrid/>
        <w:spacing w:line="420" w:lineRule="exac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联系人：</w:t>
      </w:r>
      <w:r>
        <w:rPr>
          <w:rFonts w:hint="eastAsia" w:ascii="宋体" w:hAnsi="宋体" w:cs="宋体"/>
          <w:color w:val="auto"/>
          <w:sz w:val="22"/>
          <w:szCs w:val="22"/>
          <w:highlight w:val="none"/>
          <w:lang w:val="en-US" w:eastAsia="zh-CN"/>
        </w:rPr>
        <w:t xml:space="preserve"> 朱晨晖   </w:t>
      </w:r>
    </w:p>
    <w:p w14:paraId="0E3D0D1D">
      <w:pPr>
        <w:pStyle w:val="26"/>
        <w:adjustRightInd/>
        <w:snapToGrid/>
        <w:spacing w:line="420" w:lineRule="exact"/>
        <w:rPr>
          <w:rFonts w:hint="default"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rPr>
        <w:t>联系电话：</w:t>
      </w:r>
      <w:r>
        <w:rPr>
          <w:rFonts w:hint="eastAsia" w:ascii="宋体" w:hAnsi="宋体" w:cs="宋体"/>
          <w:color w:val="auto"/>
          <w:kern w:val="2"/>
          <w:sz w:val="22"/>
          <w:szCs w:val="22"/>
          <w:highlight w:val="none"/>
          <w:lang w:val="en-US" w:eastAsia="zh-CN"/>
        </w:rPr>
        <w:t xml:space="preserve"> 18021380517</w:t>
      </w:r>
    </w:p>
    <w:p w14:paraId="613E778B">
      <w:pPr>
        <w:pStyle w:val="26"/>
        <w:adjustRightInd/>
        <w:snapToGrid/>
        <w:spacing w:line="420" w:lineRule="exact"/>
        <w:rPr>
          <w:rFonts w:hint="eastAsia" w:ascii="宋体" w:hAnsi="宋体" w:cs="宋体"/>
          <w:color w:val="auto"/>
          <w:kern w:val="2"/>
          <w:sz w:val="22"/>
          <w:szCs w:val="22"/>
          <w:highlight w:val="none"/>
          <w:lang w:val="en-US"/>
        </w:rPr>
      </w:pPr>
    </w:p>
    <w:p w14:paraId="16EDC811">
      <w:pPr>
        <w:pStyle w:val="26"/>
        <w:adjustRightInd/>
        <w:snapToGrid/>
        <w:spacing w:line="420" w:lineRule="exact"/>
        <w:rPr>
          <w:rFonts w:hint="eastAsia" w:ascii="宋体" w:hAnsi="宋体" w:eastAsia="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rPr>
        <w:t>招标代理机构:</w:t>
      </w:r>
      <w:r>
        <w:rPr>
          <w:rFonts w:hint="eastAsia" w:ascii="宋体" w:hAnsi="宋体" w:cs="宋体"/>
          <w:color w:val="auto"/>
          <w:kern w:val="2"/>
          <w:sz w:val="22"/>
          <w:szCs w:val="22"/>
          <w:highlight w:val="none"/>
          <w:lang w:val="en-US" w:eastAsia="zh-CN"/>
        </w:rPr>
        <w:t>江苏中润工程建设咨询有限公司</w:t>
      </w:r>
    </w:p>
    <w:p w14:paraId="5C93178B">
      <w:pPr>
        <w:pStyle w:val="26"/>
        <w:adjustRightInd/>
        <w:snapToGrid/>
        <w:spacing w:line="420" w:lineRule="exac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地址：</w:t>
      </w:r>
      <w:r>
        <w:rPr>
          <w:rFonts w:hint="eastAsia" w:ascii="宋体" w:hAnsi="宋体" w:cs="宋体"/>
          <w:color w:val="auto"/>
          <w:sz w:val="22"/>
          <w:szCs w:val="22"/>
          <w:highlight w:val="none"/>
          <w:lang w:val="en-US" w:eastAsia="zh-CN"/>
        </w:rPr>
        <w:t xml:space="preserve"> 南通市崇川区崇川路58号</w:t>
      </w:r>
    </w:p>
    <w:p w14:paraId="693190A0">
      <w:pPr>
        <w:pStyle w:val="26"/>
        <w:adjustRightInd/>
        <w:snapToGrid/>
        <w:spacing w:line="420" w:lineRule="exact"/>
        <w:rPr>
          <w:rFonts w:ascii="宋体" w:hAnsi="宋体" w:cs="宋体"/>
          <w:color w:val="auto"/>
          <w:kern w:val="2"/>
          <w:sz w:val="22"/>
          <w:szCs w:val="22"/>
          <w:highlight w:val="none"/>
          <w:lang w:val="en-US"/>
        </w:rPr>
      </w:pPr>
      <w:r>
        <w:rPr>
          <w:rFonts w:hint="eastAsia" w:ascii="宋体" w:hAnsi="宋体" w:cs="宋体"/>
          <w:color w:val="auto"/>
          <w:kern w:val="2"/>
          <w:sz w:val="22"/>
          <w:szCs w:val="22"/>
          <w:highlight w:val="none"/>
          <w:lang w:val="en-US"/>
        </w:rPr>
        <w:t xml:space="preserve">联系人: </w:t>
      </w:r>
      <w:r>
        <w:rPr>
          <w:rFonts w:hint="eastAsia" w:ascii="宋体" w:hAnsi="宋体" w:cs="宋体"/>
          <w:color w:val="auto"/>
          <w:kern w:val="2"/>
          <w:sz w:val="22"/>
          <w:szCs w:val="22"/>
          <w:highlight w:val="none"/>
          <w:lang w:val="en-US" w:eastAsia="zh-CN"/>
        </w:rPr>
        <w:t>肖俊箐</w:t>
      </w:r>
      <w:r>
        <w:rPr>
          <w:rFonts w:hint="eastAsia" w:ascii="宋体" w:hAnsi="宋体" w:cs="宋体"/>
          <w:color w:val="auto"/>
          <w:kern w:val="2"/>
          <w:sz w:val="22"/>
          <w:szCs w:val="22"/>
          <w:highlight w:val="none"/>
          <w:lang w:val="en-US"/>
        </w:rPr>
        <w:t xml:space="preserve"> </w:t>
      </w:r>
    </w:p>
    <w:p w14:paraId="4BB80781">
      <w:pPr>
        <w:pStyle w:val="26"/>
        <w:adjustRightInd/>
        <w:snapToGrid/>
        <w:spacing w:line="420" w:lineRule="exac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电话</w:t>
      </w:r>
      <w:r>
        <w:rPr>
          <w:rFonts w:hint="eastAsia" w:ascii="宋体" w:hAnsi="宋体" w:cs="宋体"/>
          <w:color w:val="auto"/>
          <w:sz w:val="22"/>
          <w:szCs w:val="22"/>
          <w:highlight w:val="none"/>
          <w:lang w:val="en-US"/>
        </w:rPr>
        <w:t>：</w:t>
      </w:r>
      <w:r>
        <w:rPr>
          <w:rFonts w:hint="eastAsia" w:ascii="宋体" w:hAnsi="宋体" w:cs="宋体"/>
          <w:color w:val="auto"/>
          <w:sz w:val="22"/>
          <w:szCs w:val="22"/>
          <w:highlight w:val="none"/>
          <w:lang w:val="en-US" w:eastAsia="zh-CN"/>
        </w:rPr>
        <w:t>18106299008</w:t>
      </w:r>
    </w:p>
    <w:p w14:paraId="2DC8B224">
      <w:pPr>
        <w:widowControl/>
        <w:spacing w:line="480" w:lineRule="exact"/>
        <w:jc w:val="center"/>
        <w:rPr>
          <w:rFonts w:ascii="宋体" w:hAnsi="宋体" w:cs="宋体"/>
          <w:b/>
          <w:bCs/>
          <w:color w:val="auto"/>
          <w:kern w:val="0"/>
          <w:sz w:val="30"/>
          <w:szCs w:val="30"/>
          <w:highlight w:val="none"/>
        </w:rPr>
      </w:pPr>
      <w:r>
        <w:rPr>
          <w:rFonts w:hint="eastAsia" w:ascii="宋体" w:hAnsi="宋体" w:cs="宋体"/>
          <w:color w:val="auto"/>
          <w:highlight w:val="none"/>
        </w:rPr>
        <w:br w:type="page"/>
      </w:r>
      <w:bookmarkEnd w:id="4"/>
      <w:r>
        <w:rPr>
          <w:rFonts w:hint="eastAsia" w:ascii="宋体" w:hAnsi="宋体" w:cs="宋体"/>
          <w:b/>
          <w:color w:val="auto"/>
          <w:sz w:val="30"/>
          <w:szCs w:val="30"/>
          <w:highlight w:val="none"/>
        </w:rPr>
        <w:t>第二章  投标人须知</w:t>
      </w:r>
      <w:bookmarkEnd w:id="5"/>
    </w:p>
    <w:p w14:paraId="47BC06C4">
      <w:pPr>
        <w:pStyle w:val="3"/>
        <w:jc w:val="center"/>
        <w:rPr>
          <w:rFonts w:ascii="宋体" w:hAnsi="宋体" w:eastAsia="宋体" w:cs="宋体"/>
          <w:color w:val="auto"/>
          <w:sz w:val="30"/>
          <w:szCs w:val="30"/>
          <w:highlight w:val="none"/>
        </w:rPr>
      </w:pPr>
      <w:bookmarkStart w:id="6" w:name="_Toc12498"/>
      <w:bookmarkStart w:id="7" w:name="_Toc497463989"/>
      <w:r>
        <w:rPr>
          <w:rFonts w:hint="eastAsia" w:ascii="宋体" w:hAnsi="宋体" w:eastAsia="宋体" w:cs="宋体"/>
          <w:color w:val="auto"/>
          <w:sz w:val="30"/>
          <w:szCs w:val="30"/>
          <w:highlight w:val="none"/>
        </w:rPr>
        <w:t>投标人须知前附表</w:t>
      </w:r>
      <w:bookmarkEnd w:id="6"/>
      <w:bookmarkEnd w:id="7"/>
    </w:p>
    <w:tbl>
      <w:tblPr>
        <w:tblStyle w:val="34"/>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956"/>
        <w:gridCol w:w="6725"/>
      </w:tblGrid>
      <w:tr w14:paraId="33F2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Align w:val="center"/>
          </w:tcPr>
          <w:p w14:paraId="375355C9">
            <w:pPr>
              <w:jc w:val="center"/>
              <w:rPr>
                <w:rFonts w:ascii="宋体" w:hAnsi="宋体" w:cs="宋体"/>
                <w:b/>
                <w:color w:val="auto"/>
                <w:sz w:val="22"/>
                <w:szCs w:val="22"/>
                <w:highlight w:val="none"/>
              </w:rPr>
            </w:pPr>
            <w:r>
              <w:rPr>
                <w:rFonts w:hint="eastAsia" w:ascii="宋体" w:hAnsi="宋体" w:cs="宋体"/>
                <w:b/>
                <w:color w:val="auto"/>
                <w:sz w:val="22"/>
                <w:szCs w:val="22"/>
                <w:highlight w:val="none"/>
              </w:rPr>
              <w:t>条款号</w:t>
            </w:r>
          </w:p>
        </w:tc>
        <w:tc>
          <w:tcPr>
            <w:tcW w:w="1956" w:type="dxa"/>
            <w:vAlign w:val="center"/>
          </w:tcPr>
          <w:p w14:paraId="5CC26669">
            <w:pPr>
              <w:jc w:val="center"/>
              <w:rPr>
                <w:rFonts w:ascii="宋体" w:hAnsi="宋体" w:cs="宋体"/>
                <w:b/>
                <w:color w:val="auto"/>
                <w:sz w:val="22"/>
                <w:szCs w:val="22"/>
                <w:highlight w:val="none"/>
              </w:rPr>
            </w:pPr>
            <w:r>
              <w:rPr>
                <w:rFonts w:hint="eastAsia" w:ascii="宋体" w:hAnsi="宋体" w:cs="宋体"/>
                <w:b/>
                <w:color w:val="auto"/>
                <w:sz w:val="22"/>
                <w:szCs w:val="22"/>
                <w:highlight w:val="none"/>
              </w:rPr>
              <w:t>条款名称</w:t>
            </w:r>
          </w:p>
        </w:tc>
        <w:tc>
          <w:tcPr>
            <w:tcW w:w="6725" w:type="dxa"/>
            <w:vAlign w:val="center"/>
          </w:tcPr>
          <w:p w14:paraId="75E35687">
            <w:pPr>
              <w:jc w:val="center"/>
              <w:rPr>
                <w:rFonts w:ascii="宋体" w:hAnsi="宋体" w:cs="宋体"/>
                <w:b/>
                <w:color w:val="auto"/>
                <w:sz w:val="22"/>
                <w:szCs w:val="22"/>
                <w:highlight w:val="none"/>
              </w:rPr>
            </w:pPr>
            <w:r>
              <w:rPr>
                <w:rFonts w:hint="eastAsia" w:ascii="宋体" w:hAnsi="宋体" w:cs="宋体"/>
                <w:b/>
                <w:color w:val="auto"/>
                <w:sz w:val="22"/>
                <w:szCs w:val="22"/>
                <w:highlight w:val="none"/>
              </w:rPr>
              <w:t>编列内容</w:t>
            </w:r>
          </w:p>
        </w:tc>
      </w:tr>
      <w:tr w14:paraId="6289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Align w:val="center"/>
          </w:tcPr>
          <w:p w14:paraId="3EE6EC7B">
            <w:pPr>
              <w:jc w:val="center"/>
              <w:rPr>
                <w:rFonts w:ascii="宋体" w:hAnsi="宋体" w:cs="宋体"/>
                <w:color w:val="auto"/>
                <w:sz w:val="22"/>
                <w:szCs w:val="22"/>
                <w:highlight w:val="none"/>
              </w:rPr>
            </w:pPr>
            <w:r>
              <w:rPr>
                <w:rFonts w:hint="eastAsia" w:ascii="宋体" w:hAnsi="宋体" w:cs="宋体"/>
                <w:color w:val="auto"/>
                <w:sz w:val="22"/>
                <w:szCs w:val="22"/>
                <w:highlight w:val="none"/>
              </w:rPr>
              <w:t>1.1.2</w:t>
            </w:r>
          </w:p>
        </w:tc>
        <w:tc>
          <w:tcPr>
            <w:tcW w:w="1956" w:type="dxa"/>
            <w:vAlign w:val="center"/>
          </w:tcPr>
          <w:p w14:paraId="1ACFA009">
            <w:pPr>
              <w:jc w:val="center"/>
              <w:rPr>
                <w:rFonts w:ascii="宋体" w:hAnsi="宋体" w:cs="宋体"/>
                <w:color w:val="auto"/>
                <w:sz w:val="22"/>
                <w:szCs w:val="22"/>
                <w:highlight w:val="none"/>
              </w:rPr>
            </w:pPr>
            <w:r>
              <w:rPr>
                <w:rFonts w:hint="eastAsia" w:ascii="宋体" w:hAnsi="宋体" w:cs="宋体"/>
                <w:color w:val="auto"/>
                <w:sz w:val="22"/>
                <w:szCs w:val="22"/>
                <w:highlight w:val="none"/>
              </w:rPr>
              <w:t>招标人</w:t>
            </w:r>
          </w:p>
        </w:tc>
        <w:tc>
          <w:tcPr>
            <w:tcW w:w="6725" w:type="dxa"/>
          </w:tcPr>
          <w:p w14:paraId="6A579C8D">
            <w:pPr>
              <w:spacing w:line="440" w:lineRule="exac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rPr>
              <w:t>招标人：</w:t>
            </w:r>
            <w:r>
              <w:rPr>
                <w:rFonts w:hint="eastAsia" w:ascii="宋体" w:hAnsi="宋体" w:cs="宋体"/>
                <w:color w:val="auto"/>
                <w:sz w:val="22"/>
                <w:szCs w:val="22"/>
                <w:highlight w:val="none"/>
                <w:lang w:eastAsia="zh-CN"/>
              </w:rPr>
              <w:t>南通市崇川历史文化街区保护发展有限公司</w:t>
            </w:r>
          </w:p>
          <w:p w14:paraId="4084FA45">
            <w:pPr>
              <w:spacing w:line="440" w:lineRule="exac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联系人：</w:t>
            </w:r>
            <w:r>
              <w:rPr>
                <w:rFonts w:hint="eastAsia" w:ascii="宋体" w:hAnsi="宋体" w:cs="宋体"/>
                <w:color w:val="auto"/>
                <w:sz w:val="22"/>
                <w:szCs w:val="22"/>
                <w:highlight w:val="none"/>
                <w:lang w:val="en-US" w:eastAsia="zh-CN"/>
              </w:rPr>
              <w:t xml:space="preserve">朱晨晖     </w:t>
            </w:r>
          </w:p>
          <w:p w14:paraId="15FA207C">
            <w:pPr>
              <w:spacing w:line="440" w:lineRule="exac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val="en-US" w:eastAsia="zh-CN"/>
              </w:rPr>
              <w:t xml:space="preserve"> 18021380517 </w:t>
            </w:r>
          </w:p>
        </w:tc>
      </w:tr>
      <w:tr w14:paraId="7EFB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Align w:val="center"/>
          </w:tcPr>
          <w:p w14:paraId="4A47E21A">
            <w:pPr>
              <w:jc w:val="center"/>
              <w:rPr>
                <w:rFonts w:ascii="宋体" w:hAnsi="宋体" w:cs="宋体"/>
                <w:color w:val="auto"/>
                <w:sz w:val="22"/>
                <w:szCs w:val="22"/>
                <w:highlight w:val="none"/>
              </w:rPr>
            </w:pPr>
            <w:r>
              <w:rPr>
                <w:rFonts w:hint="eastAsia" w:ascii="宋体" w:hAnsi="宋体" w:cs="宋体"/>
                <w:color w:val="auto"/>
                <w:sz w:val="22"/>
                <w:szCs w:val="22"/>
                <w:highlight w:val="none"/>
              </w:rPr>
              <w:t>1.1.3</w:t>
            </w:r>
          </w:p>
        </w:tc>
        <w:tc>
          <w:tcPr>
            <w:tcW w:w="1956" w:type="dxa"/>
            <w:vAlign w:val="center"/>
          </w:tcPr>
          <w:p w14:paraId="640E3E96">
            <w:pPr>
              <w:jc w:val="center"/>
              <w:rPr>
                <w:rFonts w:ascii="宋体" w:hAnsi="宋体" w:cs="宋体"/>
                <w:color w:val="auto"/>
                <w:sz w:val="22"/>
                <w:szCs w:val="22"/>
                <w:highlight w:val="none"/>
              </w:rPr>
            </w:pPr>
            <w:r>
              <w:rPr>
                <w:rFonts w:hint="eastAsia" w:ascii="宋体" w:hAnsi="宋体" w:cs="宋体"/>
                <w:color w:val="auto"/>
                <w:sz w:val="22"/>
                <w:szCs w:val="22"/>
                <w:highlight w:val="none"/>
              </w:rPr>
              <w:t>代理单位</w:t>
            </w:r>
          </w:p>
        </w:tc>
        <w:tc>
          <w:tcPr>
            <w:tcW w:w="6725" w:type="dxa"/>
          </w:tcPr>
          <w:p w14:paraId="6A12453F">
            <w:pPr>
              <w:pStyle w:val="26"/>
              <w:adjustRightInd/>
              <w:snapToGrid/>
              <w:spacing w:line="420" w:lineRule="exact"/>
              <w:ind w:left="0" w:leftChars="0" w:firstLine="0" w:firstLineChars="0"/>
              <w:rPr>
                <w:rFonts w:hint="eastAsia" w:ascii="宋体" w:hAnsi="宋体" w:eastAsia="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rPr>
              <w:t>招标代理机构:</w:t>
            </w:r>
            <w:r>
              <w:rPr>
                <w:rFonts w:hint="eastAsia" w:ascii="宋体" w:hAnsi="宋体" w:cs="宋体"/>
                <w:color w:val="auto"/>
                <w:kern w:val="2"/>
                <w:sz w:val="22"/>
                <w:szCs w:val="22"/>
                <w:highlight w:val="none"/>
                <w:lang w:val="en-US" w:eastAsia="zh-CN"/>
              </w:rPr>
              <w:t>江苏中润工程建设咨询有限公司</w:t>
            </w:r>
          </w:p>
          <w:p w14:paraId="6B95690A">
            <w:pPr>
              <w:pStyle w:val="26"/>
              <w:adjustRightInd/>
              <w:snapToGrid/>
              <w:spacing w:line="420" w:lineRule="exact"/>
              <w:ind w:left="0" w:leftChars="0" w:firstLine="0" w:firstLineChars="0"/>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地址：</w:t>
            </w:r>
            <w:r>
              <w:rPr>
                <w:rFonts w:hint="eastAsia" w:ascii="宋体" w:hAnsi="宋体" w:cs="宋体"/>
                <w:color w:val="auto"/>
                <w:sz w:val="22"/>
                <w:szCs w:val="22"/>
                <w:highlight w:val="none"/>
                <w:lang w:val="en-US" w:eastAsia="zh-CN"/>
              </w:rPr>
              <w:t xml:space="preserve"> 南通市崇川区崇川路58号</w:t>
            </w:r>
          </w:p>
          <w:p w14:paraId="33A858B4">
            <w:pPr>
              <w:pStyle w:val="26"/>
              <w:adjustRightInd/>
              <w:snapToGrid/>
              <w:spacing w:line="420" w:lineRule="exact"/>
              <w:ind w:left="0" w:leftChars="0" w:firstLine="0" w:firstLineChars="0"/>
              <w:rPr>
                <w:rFonts w:ascii="宋体" w:hAnsi="宋体" w:cs="宋体"/>
                <w:color w:val="auto"/>
                <w:kern w:val="2"/>
                <w:sz w:val="22"/>
                <w:szCs w:val="22"/>
                <w:highlight w:val="none"/>
                <w:lang w:val="en-US"/>
              </w:rPr>
            </w:pPr>
            <w:r>
              <w:rPr>
                <w:rFonts w:hint="eastAsia" w:ascii="宋体" w:hAnsi="宋体" w:cs="宋体"/>
                <w:color w:val="auto"/>
                <w:kern w:val="2"/>
                <w:sz w:val="22"/>
                <w:szCs w:val="22"/>
                <w:highlight w:val="none"/>
                <w:lang w:val="en-US"/>
              </w:rPr>
              <w:t xml:space="preserve">联系人: </w:t>
            </w:r>
            <w:r>
              <w:rPr>
                <w:rFonts w:hint="eastAsia" w:ascii="宋体" w:hAnsi="宋体" w:cs="宋体"/>
                <w:color w:val="auto"/>
                <w:kern w:val="2"/>
                <w:sz w:val="22"/>
                <w:szCs w:val="22"/>
                <w:highlight w:val="none"/>
                <w:lang w:val="en-US" w:eastAsia="zh-CN"/>
              </w:rPr>
              <w:t>肖俊箐</w:t>
            </w:r>
            <w:r>
              <w:rPr>
                <w:rFonts w:hint="eastAsia" w:ascii="宋体" w:hAnsi="宋体" w:cs="宋体"/>
                <w:color w:val="auto"/>
                <w:kern w:val="2"/>
                <w:sz w:val="22"/>
                <w:szCs w:val="22"/>
                <w:highlight w:val="none"/>
                <w:lang w:val="en-US"/>
              </w:rPr>
              <w:t xml:space="preserve"> </w:t>
            </w:r>
          </w:p>
          <w:p w14:paraId="4BF16CB9">
            <w:pPr>
              <w:pStyle w:val="26"/>
              <w:adjustRightInd/>
              <w:snapToGrid/>
              <w:spacing w:line="420" w:lineRule="exact"/>
              <w:ind w:left="0" w:leftChars="0" w:firstLine="0" w:firstLineChars="0"/>
              <w:rPr>
                <w:rFonts w:ascii="宋体" w:hAnsi="宋体" w:cs="宋体"/>
                <w:color w:val="auto"/>
                <w:sz w:val="22"/>
                <w:szCs w:val="22"/>
                <w:highlight w:val="none"/>
              </w:rPr>
            </w:pPr>
            <w:r>
              <w:rPr>
                <w:rFonts w:hint="eastAsia" w:ascii="宋体" w:hAnsi="宋体" w:cs="宋体"/>
                <w:color w:val="auto"/>
                <w:sz w:val="22"/>
                <w:szCs w:val="22"/>
                <w:highlight w:val="none"/>
              </w:rPr>
              <w:t>电话</w:t>
            </w:r>
            <w:r>
              <w:rPr>
                <w:rFonts w:hint="eastAsia" w:ascii="宋体" w:hAnsi="宋体" w:cs="宋体"/>
                <w:color w:val="auto"/>
                <w:sz w:val="22"/>
                <w:szCs w:val="22"/>
                <w:highlight w:val="none"/>
                <w:lang w:val="en-US"/>
              </w:rPr>
              <w:t>：</w:t>
            </w:r>
            <w:r>
              <w:rPr>
                <w:rFonts w:hint="eastAsia" w:ascii="宋体" w:hAnsi="宋体" w:cs="宋体"/>
                <w:color w:val="auto"/>
                <w:sz w:val="22"/>
                <w:szCs w:val="22"/>
                <w:highlight w:val="none"/>
                <w:lang w:val="en-US" w:eastAsia="zh-CN"/>
              </w:rPr>
              <w:t>18106299008</w:t>
            </w:r>
          </w:p>
        </w:tc>
      </w:tr>
      <w:tr w14:paraId="03FC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Align w:val="center"/>
          </w:tcPr>
          <w:p w14:paraId="28DADF92">
            <w:pPr>
              <w:jc w:val="center"/>
              <w:rPr>
                <w:rFonts w:ascii="宋体" w:hAnsi="宋体" w:cs="宋体"/>
                <w:color w:val="auto"/>
                <w:sz w:val="22"/>
                <w:szCs w:val="22"/>
                <w:highlight w:val="none"/>
              </w:rPr>
            </w:pPr>
            <w:r>
              <w:rPr>
                <w:rFonts w:hint="eastAsia" w:ascii="宋体" w:hAnsi="宋体" w:cs="宋体"/>
                <w:color w:val="auto"/>
                <w:sz w:val="22"/>
                <w:szCs w:val="22"/>
                <w:highlight w:val="none"/>
              </w:rPr>
              <w:t>1.1.5</w:t>
            </w:r>
          </w:p>
        </w:tc>
        <w:tc>
          <w:tcPr>
            <w:tcW w:w="1956" w:type="dxa"/>
            <w:vAlign w:val="center"/>
          </w:tcPr>
          <w:p w14:paraId="3F0DAAE1">
            <w:pPr>
              <w:jc w:val="center"/>
              <w:rPr>
                <w:rFonts w:ascii="宋体" w:hAnsi="宋体" w:cs="宋体"/>
                <w:color w:val="auto"/>
                <w:sz w:val="22"/>
                <w:szCs w:val="22"/>
                <w:highlight w:val="none"/>
              </w:rPr>
            </w:pPr>
            <w:r>
              <w:rPr>
                <w:rFonts w:hint="eastAsia" w:ascii="宋体" w:hAnsi="宋体" w:cs="宋体"/>
                <w:color w:val="auto"/>
                <w:sz w:val="22"/>
                <w:szCs w:val="22"/>
                <w:highlight w:val="none"/>
              </w:rPr>
              <w:t>建设地点</w:t>
            </w:r>
          </w:p>
        </w:tc>
        <w:tc>
          <w:tcPr>
            <w:tcW w:w="6725" w:type="dxa"/>
            <w:vAlign w:val="center"/>
          </w:tcPr>
          <w:p w14:paraId="39EB334D">
            <w:pP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南通市</w:t>
            </w:r>
            <w:r>
              <w:rPr>
                <w:rFonts w:hint="eastAsia" w:ascii="宋体" w:hAnsi="宋体" w:cs="宋体"/>
                <w:color w:val="auto"/>
                <w:sz w:val="22"/>
                <w:szCs w:val="22"/>
                <w:highlight w:val="none"/>
                <w:lang w:val="en-US" w:eastAsia="zh-CN"/>
              </w:rPr>
              <w:t>崇川区</w:t>
            </w:r>
          </w:p>
        </w:tc>
      </w:tr>
      <w:tr w14:paraId="3247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Align w:val="center"/>
          </w:tcPr>
          <w:p w14:paraId="5256C4C6">
            <w:pPr>
              <w:jc w:val="center"/>
              <w:rPr>
                <w:rFonts w:ascii="宋体" w:hAnsi="宋体" w:cs="宋体"/>
                <w:color w:val="auto"/>
                <w:sz w:val="22"/>
                <w:szCs w:val="22"/>
                <w:highlight w:val="none"/>
              </w:rPr>
            </w:pPr>
            <w:r>
              <w:rPr>
                <w:rFonts w:hint="eastAsia" w:ascii="宋体" w:hAnsi="宋体" w:cs="宋体"/>
                <w:color w:val="auto"/>
                <w:sz w:val="22"/>
                <w:szCs w:val="22"/>
                <w:highlight w:val="none"/>
              </w:rPr>
              <w:t>1.2</w:t>
            </w:r>
          </w:p>
        </w:tc>
        <w:tc>
          <w:tcPr>
            <w:tcW w:w="1956" w:type="dxa"/>
            <w:vAlign w:val="center"/>
          </w:tcPr>
          <w:p w14:paraId="4B2D6264">
            <w:pPr>
              <w:jc w:val="center"/>
              <w:rPr>
                <w:rFonts w:ascii="宋体" w:hAnsi="宋体" w:cs="宋体"/>
                <w:color w:val="auto"/>
                <w:sz w:val="22"/>
                <w:szCs w:val="22"/>
                <w:highlight w:val="none"/>
              </w:rPr>
            </w:pPr>
            <w:r>
              <w:rPr>
                <w:rFonts w:hint="eastAsia" w:ascii="宋体" w:hAnsi="宋体" w:cs="宋体"/>
                <w:color w:val="auto"/>
                <w:sz w:val="22"/>
                <w:szCs w:val="22"/>
                <w:highlight w:val="none"/>
              </w:rPr>
              <w:t>建设资金</w:t>
            </w:r>
          </w:p>
        </w:tc>
        <w:tc>
          <w:tcPr>
            <w:tcW w:w="6725" w:type="dxa"/>
          </w:tcPr>
          <w:p w14:paraId="3DA19B6D">
            <w:pPr>
              <w:spacing w:line="440" w:lineRule="exac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资金来源:</w:t>
            </w:r>
            <w:r>
              <w:rPr>
                <w:rFonts w:hint="eastAsia" w:ascii="宋体" w:hAnsi="宋体" w:cs="宋体"/>
                <w:b/>
                <w:bCs/>
                <w:color w:val="auto"/>
                <w:sz w:val="22"/>
                <w:szCs w:val="22"/>
                <w:highlight w:val="none"/>
                <w:u w:val="single"/>
                <w:lang w:val="en-US" w:eastAsia="zh-CN"/>
              </w:rPr>
              <w:t>自筹</w:t>
            </w:r>
          </w:p>
          <w:p w14:paraId="223146AE">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出资比例：100%</w:t>
            </w:r>
          </w:p>
          <w:p w14:paraId="1042D5E5">
            <w:pPr>
              <w:spacing w:line="440" w:lineRule="exact"/>
              <w:rPr>
                <w:rFonts w:ascii="宋体" w:hAnsi="宋体" w:cs="宋体"/>
                <w:b/>
                <w:color w:val="auto"/>
                <w:sz w:val="22"/>
                <w:szCs w:val="22"/>
                <w:highlight w:val="none"/>
              </w:rPr>
            </w:pPr>
            <w:r>
              <w:rPr>
                <w:rFonts w:hint="eastAsia" w:ascii="宋体" w:hAnsi="宋体" w:cs="宋体"/>
                <w:color w:val="auto"/>
                <w:sz w:val="22"/>
                <w:szCs w:val="22"/>
                <w:highlight w:val="none"/>
              </w:rPr>
              <w:t>资金落实情况：已落实</w:t>
            </w:r>
          </w:p>
        </w:tc>
      </w:tr>
      <w:tr w14:paraId="5B82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Align w:val="center"/>
          </w:tcPr>
          <w:p w14:paraId="3D282A88">
            <w:pPr>
              <w:jc w:val="center"/>
              <w:rPr>
                <w:rFonts w:ascii="宋体" w:hAnsi="宋体" w:cs="宋体"/>
                <w:color w:val="auto"/>
                <w:sz w:val="22"/>
                <w:szCs w:val="22"/>
                <w:highlight w:val="none"/>
              </w:rPr>
            </w:pPr>
            <w:r>
              <w:rPr>
                <w:rFonts w:hint="eastAsia" w:ascii="宋体" w:hAnsi="宋体" w:cs="宋体"/>
                <w:color w:val="auto"/>
                <w:sz w:val="22"/>
                <w:szCs w:val="22"/>
                <w:highlight w:val="none"/>
              </w:rPr>
              <w:t>1.3.1</w:t>
            </w:r>
          </w:p>
        </w:tc>
        <w:tc>
          <w:tcPr>
            <w:tcW w:w="1956" w:type="dxa"/>
            <w:vAlign w:val="center"/>
          </w:tcPr>
          <w:p w14:paraId="1ADE43B5">
            <w:pPr>
              <w:jc w:val="center"/>
              <w:rPr>
                <w:rFonts w:ascii="宋体" w:hAnsi="宋体" w:cs="宋体"/>
                <w:color w:val="auto"/>
                <w:sz w:val="22"/>
                <w:szCs w:val="22"/>
                <w:highlight w:val="none"/>
              </w:rPr>
            </w:pPr>
            <w:r>
              <w:rPr>
                <w:rFonts w:hint="eastAsia" w:ascii="宋体" w:hAnsi="宋体" w:cs="宋体"/>
                <w:color w:val="auto"/>
                <w:sz w:val="22"/>
                <w:szCs w:val="22"/>
                <w:highlight w:val="none"/>
              </w:rPr>
              <w:t>招标范围</w:t>
            </w:r>
          </w:p>
        </w:tc>
        <w:tc>
          <w:tcPr>
            <w:tcW w:w="6725" w:type="dxa"/>
          </w:tcPr>
          <w:p w14:paraId="2867BFDD">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工程施工准备阶段、施工阶段、竣工验收阶段和保修阶段全过程监理。协助委托人办理图纸审查和各项报批工作，对工程进行质量、进度、投资、安全四大控制和合同管理、信息管理、安全生产管理、文明施工管理、组织协调施工单位施工现场各方关系，工程竣工资料审核等</w:t>
            </w:r>
          </w:p>
        </w:tc>
      </w:tr>
      <w:tr w14:paraId="2D78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Align w:val="center"/>
          </w:tcPr>
          <w:p w14:paraId="420200AF">
            <w:pPr>
              <w:jc w:val="center"/>
              <w:rPr>
                <w:rFonts w:ascii="宋体" w:hAnsi="宋体" w:cs="宋体"/>
                <w:color w:val="auto"/>
                <w:sz w:val="22"/>
                <w:szCs w:val="22"/>
                <w:highlight w:val="none"/>
              </w:rPr>
            </w:pPr>
            <w:r>
              <w:rPr>
                <w:rFonts w:hint="eastAsia" w:ascii="宋体" w:hAnsi="宋体" w:cs="宋体"/>
                <w:color w:val="auto"/>
                <w:sz w:val="22"/>
                <w:szCs w:val="22"/>
                <w:highlight w:val="none"/>
              </w:rPr>
              <w:t>1.3.2</w:t>
            </w:r>
          </w:p>
        </w:tc>
        <w:tc>
          <w:tcPr>
            <w:tcW w:w="1956" w:type="dxa"/>
            <w:vAlign w:val="center"/>
          </w:tcPr>
          <w:p w14:paraId="6720104E">
            <w:pPr>
              <w:jc w:val="center"/>
              <w:rPr>
                <w:rFonts w:ascii="宋体" w:hAnsi="宋体" w:cs="宋体"/>
                <w:color w:val="auto"/>
                <w:sz w:val="22"/>
                <w:szCs w:val="22"/>
                <w:highlight w:val="none"/>
              </w:rPr>
            </w:pPr>
            <w:r>
              <w:rPr>
                <w:rFonts w:hint="eastAsia" w:ascii="宋体" w:hAnsi="宋体" w:cs="宋体"/>
                <w:color w:val="auto"/>
                <w:sz w:val="22"/>
                <w:szCs w:val="22"/>
                <w:highlight w:val="none"/>
              </w:rPr>
              <w:t>监理服务期限</w:t>
            </w:r>
          </w:p>
        </w:tc>
        <w:tc>
          <w:tcPr>
            <w:tcW w:w="6725" w:type="dxa"/>
            <w:vAlign w:val="center"/>
          </w:tcPr>
          <w:p w14:paraId="75621B50">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前期+施工工期+保修期</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2年</w:t>
            </w:r>
            <w:r>
              <w:rPr>
                <w:rFonts w:hint="eastAsia" w:ascii="宋体" w:hAnsi="宋体" w:cs="宋体"/>
                <w:color w:val="auto"/>
                <w:sz w:val="22"/>
                <w:szCs w:val="22"/>
                <w:highlight w:val="none"/>
              </w:rPr>
              <w:t>，具体施工期以实际施工期为准，如工期延长，费用不另增加。</w:t>
            </w:r>
          </w:p>
        </w:tc>
      </w:tr>
      <w:tr w14:paraId="1F80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Align w:val="center"/>
          </w:tcPr>
          <w:p w14:paraId="4B8B9A4A">
            <w:pPr>
              <w:jc w:val="center"/>
              <w:rPr>
                <w:rFonts w:ascii="宋体" w:hAnsi="宋体" w:cs="宋体"/>
                <w:color w:val="auto"/>
                <w:sz w:val="22"/>
                <w:szCs w:val="22"/>
                <w:highlight w:val="none"/>
              </w:rPr>
            </w:pPr>
            <w:r>
              <w:rPr>
                <w:rFonts w:hint="eastAsia" w:ascii="宋体" w:hAnsi="宋体" w:cs="宋体"/>
                <w:color w:val="auto"/>
                <w:sz w:val="22"/>
                <w:szCs w:val="22"/>
                <w:highlight w:val="none"/>
              </w:rPr>
              <w:t>1.3.3</w:t>
            </w:r>
          </w:p>
        </w:tc>
        <w:tc>
          <w:tcPr>
            <w:tcW w:w="1956" w:type="dxa"/>
            <w:vAlign w:val="center"/>
          </w:tcPr>
          <w:p w14:paraId="7942D424">
            <w:pPr>
              <w:jc w:val="center"/>
              <w:rPr>
                <w:rFonts w:ascii="宋体" w:hAnsi="宋体" w:cs="宋体"/>
                <w:color w:val="auto"/>
                <w:sz w:val="22"/>
                <w:szCs w:val="22"/>
                <w:highlight w:val="none"/>
              </w:rPr>
            </w:pPr>
            <w:r>
              <w:rPr>
                <w:rFonts w:hint="eastAsia" w:ascii="宋体" w:hAnsi="宋体" w:cs="宋体"/>
                <w:color w:val="auto"/>
                <w:sz w:val="22"/>
                <w:szCs w:val="22"/>
                <w:highlight w:val="none"/>
              </w:rPr>
              <w:t>质量要求</w:t>
            </w:r>
          </w:p>
        </w:tc>
        <w:tc>
          <w:tcPr>
            <w:tcW w:w="6725" w:type="dxa"/>
            <w:vAlign w:val="center"/>
          </w:tcPr>
          <w:p w14:paraId="70D9E661">
            <w:pPr>
              <w:jc w:val="left"/>
              <w:rPr>
                <w:rFonts w:ascii="宋体" w:hAnsi="宋体" w:cs="宋体"/>
                <w:b/>
                <w:color w:val="auto"/>
                <w:sz w:val="22"/>
                <w:szCs w:val="22"/>
                <w:highlight w:val="none"/>
              </w:rPr>
            </w:pPr>
            <w:r>
              <w:rPr>
                <w:rFonts w:hint="eastAsia" w:ascii="宋体" w:hAnsi="宋体" w:cs="宋体"/>
                <w:color w:val="auto"/>
                <w:sz w:val="22"/>
                <w:szCs w:val="22"/>
                <w:highlight w:val="none"/>
              </w:rPr>
              <w:t>合格</w:t>
            </w:r>
          </w:p>
        </w:tc>
      </w:tr>
      <w:tr w14:paraId="2DC0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Align w:val="center"/>
          </w:tcPr>
          <w:p w14:paraId="45F79A74">
            <w:pPr>
              <w:jc w:val="center"/>
              <w:rPr>
                <w:rFonts w:ascii="宋体" w:hAnsi="宋体" w:cs="宋体"/>
                <w:color w:val="auto"/>
                <w:sz w:val="22"/>
                <w:szCs w:val="22"/>
                <w:highlight w:val="none"/>
              </w:rPr>
            </w:pPr>
            <w:r>
              <w:rPr>
                <w:rFonts w:hint="eastAsia" w:ascii="宋体" w:hAnsi="宋体" w:cs="宋体"/>
                <w:color w:val="auto"/>
                <w:sz w:val="22"/>
                <w:szCs w:val="22"/>
                <w:highlight w:val="none"/>
              </w:rPr>
              <w:t>1.4.1</w:t>
            </w:r>
          </w:p>
        </w:tc>
        <w:tc>
          <w:tcPr>
            <w:tcW w:w="1956" w:type="dxa"/>
            <w:vAlign w:val="center"/>
          </w:tcPr>
          <w:p w14:paraId="4C5D6424">
            <w:pPr>
              <w:jc w:val="center"/>
              <w:rPr>
                <w:rFonts w:ascii="宋体" w:hAnsi="宋体" w:cs="宋体"/>
                <w:color w:val="auto"/>
                <w:sz w:val="22"/>
                <w:szCs w:val="22"/>
                <w:highlight w:val="none"/>
              </w:rPr>
            </w:pPr>
            <w:r>
              <w:rPr>
                <w:rFonts w:hint="eastAsia" w:ascii="宋体" w:hAnsi="宋体" w:cs="宋体"/>
                <w:color w:val="auto"/>
                <w:sz w:val="22"/>
                <w:szCs w:val="22"/>
                <w:highlight w:val="none"/>
              </w:rPr>
              <w:t>投标人资格要求</w:t>
            </w:r>
          </w:p>
        </w:tc>
        <w:tc>
          <w:tcPr>
            <w:tcW w:w="6725" w:type="dxa"/>
            <w:vAlign w:val="center"/>
          </w:tcPr>
          <w:p w14:paraId="647C1AD8">
            <w:pPr>
              <w:rPr>
                <w:rFonts w:ascii="宋体" w:hAnsi="宋体" w:cs="宋体"/>
                <w:color w:val="auto"/>
                <w:sz w:val="22"/>
                <w:szCs w:val="22"/>
                <w:highlight w:val="none"/>
              </w:rPr>
            </w:pPr>
            <w:r>
              <w:rPr>
                <w:rFonts w:hint="eastAsia" w:ascii="宋体" w:hAnsi="宋体" w:cs="宋体"/>
                <w:color w:val="auto"/>
                <w:kern w:val="0"/>
                <w:sz w:val="22"/>
                <w:szCs w:val="22"/>
                <w:highlight w:val="none"/>
              </w:rPr>
              <w:t>详见招标公告</w:t>
            </w:r>
          </w:p>
        </w:tc>
      </w:tr>
      <w:tr w14:paraId="323C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Align w:val="center"/>
          </w:tcPr>
          <w:p w14:paraId="697151A9">
            <w:pPr>
              <w:jc w:val="center"/>
              <w:rPr>
                <w:rFonts w:ascii="宋体" w:hAnsi="宋体" w:cs="宋体"/>
                <w:color w:val="auto"/>
                <w:sz w:val="22"/>
                <w:szCs w:val="22"/>
                <w:highlight w:val="none"/>
              </w:rPr>
            </w:pPr>
            <w:r>
              <w:rPr>
                <w:rFonts w:hint="eastAsia" w:ascii="宋体" w:hAnsi="宋体" w:cs="宋体"/>
                <w:color w:val="auto"/>
                <w:sz w:val="22"/>
                <w:szCs w:val="22"/>
                <w:highlight w:val="none"/>
              </w:rPr>
              <w:t>1.4.2</w:t>
            </w:r>
          </w:p>
        </w:tc>
        <w:tc>
          <w:tcPr>
            <w:tcW w:w="1956" w:type="dxa"/>
            <w:vAlign w:val="center"/>
          </w:tcPr>
          <w:p w14:paraId="1F33BC6E">
            <w:pPr>
              <w:jc w:val="center"/>
              <w:rPr>
                <w:rFonts w:ascii="宋体" w:hAnsi="宋体" w:cs="宋体"/>
                <w:color w:val="auto"/>
                <w:sz w:val="22"/>
                <w:szCs w:val="22"/>
                <w:highlight w:val="none"/>
              </w:rPr>
            </w:pPr>
            <w:r>
              <w:rPr>
                <w:rFonts w:hint="eastAsia" w:ascii="宋体" w:hAnsi="宋体" w:cs="宋体"/>
                <w:color w:val="auto"/>
                <w:sz w:val="22"/>
                <w:szCs w:val="22"/>
                <w:highlight w:val="none"/>
              </w:rPr>
              <w:t>是否接受联合体投标</w:t>
            </w:r>
          </w:p>
        </w:tc>
        <w:tc>
          <w:tcPr>
            <w:tcW w:w="6725" w:type="dxa"/>
            <w:vAlign w:val="center"/>
          </w:tcPr>
          <w:p w14:paraId="52AAE180">
            <w:pPr>
              <w:rPr>
                <w:rFonts w:ascii="宋体" w:hAnsi="宋体" w:cs="宋体"/>
                <w:color w:val="auto"/>
                <w:sz w:val="22"/>
                <w:szCs w:val="22"/>
                <w:highlight w:val="none"/>
                <w:u w:val="single"/>
              </w:rPr>
            </w:pPr>
            <w:r>
              <w:rPr>
                <w:rFonts w:hint="eastAsia" w:ascii="宋体" w:hAnsi="宋体" w:cs="宋体"/>
                <w:color w:val="auto"/>
                <w:sz w:val="22"/>
                <w:szCs w:val="22"/>
                <w:highlight w:val="none"/>
              </w:rPr>
              <w:t>不接受</w:t>
            </w:r>
          </w:p>
        </w:tc>
      </w:tr>
      <w:tr w14:paraId="5533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Align w:val="center"/>
          </w:tcPr>
          <w:p w14:paraId="00FE3CC0">
            <w:pPr>
              <w:jc w:val="center"/>
              <w:rPr>
                <w:rFonts w:ascii="宋体" w:hAnsi="宋体" w:cs="宋体"/>
                <w:b/>
                <w:color w:val="auto"/>
                <w:sz w:val="22"/>
                <w:szCs w:val="22"/>
                <w:highlight w:val="none"/>
              </w:rPr>
            </w:pPr>
            <w:r>
              <w:rPr>
                <w:rFonts w:hint="eastAsia" w:ascii="宋体" w:hAnsi="宋体" w:cs="宋体"/>
                <w:color w:val="auto"/>
                <w:sz w:val="22"/>
                <w:szCs w:val="22"/>
                <w:highlight w:val="none"/>
              </w:rPr>
              <w:t>1.9.1</w:t>
            </w:r>
          </w:p>
        </w:tc>
        <w:tc>
          <w:tcPr>
            <w:tcW w:w="1956" w:type="dxa"/>
            <w:vAlign w:val="center"/>
          </w:tcPr>
          <w:p w14:paraId="2F8A5EAD">
            <w:pPr>
              <w:jc w:val="center"/>
              <w:rPr>
                <w:rFonts w:ascii="宋体" w:hAnsi="宋体" w:cs="宋体"/>
                <w:b/>
                <w:color w:val="auto"/>
                <w:sz w:val="22"/>
                <w:szCs w:val="22"/>
                <w:highlight w:val="none"/>
              </w:rPr>
            </w:pPr>
            <w:r>
              <w:rPr>
                <w:rFonts w:hint="eastAsia" w:ascii="宋体" w:hAnsi="宋体" w:cs="宋体"/>
                <w:color w:val="auto"/>
                <w:kern w:val="0"/>
                <w:sz w:val="22"/>
                <w:szCs w:val="22"/>
                <w:highlight w:val="none"/>
              </w:rPr>
              <w:t>踏勘现场</w:t>
            </w:r>
          </w:p>
        </w:tc>
        <w:tc>
          <w:tcPr>
            <w:tcW w:w="6725" w:type="dxa"/>
            <w:vAlign w:val="center"/>
          </w:tcPr>
          <w:p w14:paraId="3DA602EB">
            <w:pPr>
              <w:rPr>
                <w:rFonts w:ascii="宋体" w:hAnsi="宋体" w:cs="宋体"/>
                <w:b/>
                <w:color w:val="auto"/>
                <w:sz w:val="22"/>
                <w:szCs w:val="22"/>
                <w:highlight w:val="none"/>
                <w:u w:val="single"/>
              </w:rPr>
            </w:pPr>
            <w:r>
              <w:rPr>
                <w:rFonts w:hint="eastAsia" w:ascii="宋体" w:hAnsi="宋体" w:cs="宋体"/>
                <w:color w:val="auto"/>
                <w:sz w:val="22"/>
                <w:szCs w:val="22"/>
                <w:highlight w:val="none"/>
              </w:rPr>
              <w:t>投标人自行踏勘现场</w:t>
            </w:r>
          </w:p>
        </w:tc>
      </w:tr>
      <w:tr w14:paraId="63B0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bottom w:val="single" w:color="auto" w:sz="4" w:space="0"/>
            </w:tcBorders>
            <w:vAlign w:val="center"/>
          </w:tcPr>
          <w:p w14:paraId="025D02C4">
            <w:pPr>
              <w:jc w:val="center"/>
              <w:rPr>
                <w:rFonts w:ascii="宋体" w:hAnsi="宋体" w:cs="宋体"/>
                <w:color w:val="auto"/>
                <w:sz w:val="22"/>
                <w:szCs w:val="22"/>
                <w:highlight w:val="none"/>
              </w:rPr>
            </w:pPr>
            <w:r>
              <w:rPr>
                <w:rFonts w:hint="eastAsia" w:ascii="宋体" w:hAnsi="宋体" w:cs="宋体"/>
                <w:color w:val="auto"/>
                <w:sz w:val="22"/>
                <w:szCs w:val="22"/>
                <w:highlight w:val="none"/>
              </w:rPr>
              <w:t>1.10.1</w:t>
            </w:r>
          </w:p>
        </w:tc>
        <w:tc>
          <w:tcPr>
            <w:tcW w:w="1956" w:type="dxa"/>
            <w:tcBorders>
              <w:bottom w:val="single" w:color="auto" w:sz="4" w:space="0"/>
            </w:tcBorders>
            <w:vAlign w:val="center"/>
          </w:tcPr>
          <w:p w14:paraId="04CBF201">
            <w:pPr>
              <w:jc w:val="center"/>
              <w:rPr>
                <w:rFonts w:ascii="宋体" w:hAnsi="宋体" w:cs="宋体"/>
                <w:b/>
                <w:color w:val="auto"/>
                <w:sz w:val="22"/>
                <w:szCs w:val="22"/>
                <w:highlight w:val="none"/>
              </w:rPr>
            </w:pPr>
            <w:r>
              <w:rPr>
                <w:rFonts w:hint="eastAsia" w:ascii="宋体" w:hAnsi="宋体" w:cs="宋体"/>
                <w:color w:val="auto"/>
                <w:kern w:val="0"/>
                <w:sz w:val="22"/>
                <w:szCs w:val="22"/>
                <w:highlight w:val="none"/>
              </w:rPr>
              <w:t>投标预备会</w:t>
            </w:r>
          </w:p>
        </w:tc>
        <w:tc>
          <w:tcPr>
            <w:tcW w:w="6725" w:type="dxa"/>
            <w:tcBorders>
              <w:bottom w:val="single" w:color="auto" w:sz="4" w:space="0"/>
            </w:tcBorders>
            <w:vAlign w:val="center"/>
          </w:tcPr>
          <w:p w14:paraId="083D03BE">
            <w:pPr>
              <w:spacing w:line="440" w:lineRule="exact"/>
              <w:rPr>
                <w:rFonts w:ascii="宋体" w:hAnsi="宋体" w:cs="宋体"/>
                <w:b/>
                <w:color w:val="auto"/>
                <w:sz w:val="22"/>
                <w:szCs w:val="22"/>
                <w:highlight w:val="none"/>
                <w:u w:val="single"/>
              </w:rPr>
            </w:pPr>
            <w:r>
              <w:rPr>
                <w:rFonts w:hint="eastAsia" w:ascii="宋体" w:hAnsi="宋体" w:cs="宋体"/>
                <w:color w:val="auto"/>
                <w:sz w:val="22"/>
                <w:szCs w:val="22"/>
                <w:highlight w:val="none"/>
              </w:rPr>
              <w:t>不召开，关于对招标文件的澄清或答疑或修改或补充说明文件由投标人在南通市崇川区人民政府网-我要看-公示公告栏自行下载</w:t>
            </w:r>
          </w:p>
        </w:tc>
      </w:tr>
      <w:tr w14:paraId="64BA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732350B3">
            <w:pPr>
              <w:jc w:val="center"/>
              <w:rPr>
                <w:rFonts w:ascii="宋体" w:hAnsi="宋体" w:cs="宋体"/>
                <w:color w:val="auto"/>
                <w:sz w:val="22"/>
                <w:szCs w:val="22"/>
                <w:highlight w:val="none"/>
              </w:rPr>
            </w:pPr>
            <w:r>
              <w:rPr>
                <w:rFonts w:hint="eastAsia" w:ascii="宋体" w:hAnsi="宋体" w:cs="宋体"/>
                <w:color w:val="auto"/>
                <w:sz w:val="22"/>
                <w:szCs w:val="22"/>
                <w:highlight w:val="none"/>
              </w:rPr>
              <w:t>2.1.1</w:t>
            </w:r>
          </w:p>
        </w:tc>
        <w:tc>
          <w:tcPr>
            <w:tcW w:w="1956" w:type="dxa"/>
            <w:tcBorders>
              <w:top w:val="single" w:color="auto" w:sz="4" w:space="0"/>
              <w:left w:val="single" w:color="auto" w:sz="4" w:space="0"/>
              <w:bottom w:val="single" w:color="auto" w:sz="4" w:space="0"/>
              <w:right w:val="single" w:color="auto" w:sz="4" w:space="0"/>
            </w:tcBorders>
            <w:vAlign w:val="center"/>
          </w:tcPr>
          <w:p w14:paraId="32DA61EC">
            <w:pPr>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构成招标文件的其他材料</w:t>
            </w:r>
          </w:p>
        </w:tc>
        <w:tc>
          <w:tcPr>
            <w:tcW w:w="6725" w:type="dxa"/>
            <w:tcBorders>
              <w:top w:val="single" w:color="auto" w:sz="4" w:space="0"/>
              <w:left w:val="single" w:color="auto" w:sz="4" w:space="0"/>
              <w:bottom w:val="single" w:color="auto" w:sz="4" w:space="0"/>
              <w:right w:val="single" w:color="auto" w:sz="4" w:space="0"/>
            </w:tcBorders>
            <w:vAlign w:val="center"/>
          </w:tcPr>
          <w:p w14:paraId="1230C79C">
            <w:pPr>
              <w:spacing w:line="440" w:lineRule="exact"/>
              <w:rPr>
                <w:rFonts w:ascii="宋体" w:hAnsi="宋体" w:cs="宋体"/>
                <w:color w:val="auto"/>
                <w:kern w:val="0"/>
                <w:sz w:val="22"/>
                <w:szCs w:val="22"/>
                <w:highlight w:val="none"/>
              </w:rPr>
            </w:pPr>
            <w:r>
              <w:rPr>
                <w:rFonts w:hint="eastAsia" w:ascii="宋体" w:hAnsi="宋体" w:cs="宋体"/>
                <w:color w:val="auto"/>
                <w:sz w:val="22"/>
                <w:szCs w:val="22"/>
                <w:highlight w:val="none"/>
              </w:rPr>
              <w:t>相关材料在南通市崇川区人民政府网-我要看-公示公告栏自行下载</w:t>
            </w:r>
          </w:p>
        </w:tc>
      </w:tr>
      <w:tr w14:paraId="54A7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tcBorders>
            <w:vAlign w:val="center"/>
          </w:tcPr>
          <w:p w14:paraId="4F00C931">
            <w:pPr>
              <w:jc w:val="center"/>
              <w:rPr>
                <w:rFonts w:ascii="宋体" w:hAnsi="宋体" w:cs="宋体"/>
                <w:color w:val="auto"/>
                <w:sz w:val="22"/>
                <w:szCs w:val="22"/>
                <w:highlight w:val="none"/>
              </w:rPr>
            </w:pPr>
            <w:r>
              <w:rPr>
                <w:rFonts w:hint="eastAsia" w:ascii="宋体" w:hAnsi="宋体" w:cs="宋体"/>
                <w:color w:val="auto"/>
                <w:sz w:val="22"/>
                <w:szCs w:val="22"/>
                <w:highlight w:val="none"/>
              </w:rPr>
              <w:t>2.2</w:t>
            </w:r>
          </w:p>
        </w:tc>
        <w:tc>
          <w:tcPr>
            <w:tcW w:w="1956" w:type="dxa"/>
            <w:tcBorders>
              <w:top w:val="single" w:color="auto" w:sz="4" w:space="0"/>
            </w:tcBorders>
            <w:vAlign w:val="center"/>
          </w:tcPr>
          <w:p w14:paraId="30F12BF3">
            <w:pPr>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提交疑问材料</w:t>
            </w:r>
          </w:p>
          <w:p w14:paraId="01171CE1">
            <w:pPr>
              <w:jc w:val="center"/>
              <w:rPr>
                <w:rFonts w:ascii="宋体" w:hAnsi="宋体" w:cs="宋体"/>
                <w:b/>
                <w:color w:val="auto"/>
                <w:sz w:val="22"/>
                <w:szCs w:val="22"/>
                <w:highlight w:val="none"/>
              </w:rPr>
            </w:pPr>
            <w:r>
              <w:rPr>
                <w:rFonts w:hint="eastAsia" w:ascii="宋体" w:hAnsi="宋体" w:cs="宋体"/>
                <w:color w:val="auto"/>
                <w:kern w:val="0"/>
                <w:sz w:val="22"/>
                <w:szCs w:val="22"/>
                <w:highlight w:val="none"/>
              </w:rPr>
              <w:t>时间及方式</w:t>
            </w:r>
          </w:p>
        </w:tc>
        <w:tc>
          <w:tcPr>
            <w:tcW w:w="6725" w:type="dxa"/>
            <w:tcBorders>
              <w:top w:val="single" w:color="auto" w:sz="4" w:space="0"/>
            </w:tcBorders>
            <w:vAlign w:val="center"/>
          </w:tcPr>
          <w:p w14:paraId="6D8A85A4">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如有疑问需要招标人澄清应在</w:t>
            </w:r>
            <w:r>
              <w:rPr>
                <w:rFonts w:hint="eastAsia" w:ascii="宋体" w:hAnsi="宋体" w:cs="宋体"/>
                <w:b/>
                <w:bCs/>
                <w:color w:val="auto"/>
                <w:sz w:val="22"/>
                <w:szCs w:val="22"/>
                <w:highlight w:val="none"/>
                <w:u w:val="single"/>
              </w:rPr>
              <w:t>202</w:t>
            </w:r>
            <w:r>
              <w:rPr>
                <w:rFonts w:hint="eastAsia" w:ascii="宋体" w:hAnsi="宋体" w:cs="宋体"/>
                <w:b/>
                <w:bCs/>
                <w:color w:val="auto"/>
                <w:sz w:val="22"/>
                <w:szCs w:val="22"/>
                <w:highlight w:val="none"/>
                <w:u w:val="single"/>
                <w:lang w:val="en-US" w:eastAsia="zh-CN"/>
              </w:rPr>
              <w:t>6</w:t>
            </w:r>
            <w:r>
              <w:rPr>
                <w:rFonts w:hint="eastAsia" w:ascii="宋体" w:hAnsi="宋体" w:cs="宋体"/>
                <w:b/>
                <w:bCs/>
                <w:color w:val="auto"/>
                <w:sz w:val="22"/>
                <w:szCs w:val="22"/>
                <w:highlight w:val="none"/>
                <w:u w:val="single"/>
              </w:rPr>
              <w:t>年</w:t>
            </w:r>
            <w:r>
              <w:rPr>
                <w:rFonts w:hint="eastAsia" w:ascii="宋体" w:hAnsi="宋体" w:cs="宋体"/>
                <w:b/>
                <w:bCs/>
                <w:color w:val="auto"/>
                <w:sz w:val="22"/>
                <w:szCs w:val="22"/>
                <w:highlight w:val="none"/>
                <w:u w:val="single"/>
                <w:lang w:val="en-US" w:eastAsia="zh-CN"/>
              </w:rPr>
              <w:t>5</w:t>
            </w:r>
            <w:r>
              <w:rPr>
                <w:rFonts w:hint="eastAsia" w:ascii="宋体" w:hAnsi="宋体" w:cs="宋体"/>
                <w:b/>
                <w:bCs/>
                <w:color w:val="auto"/>
                <w:sz w:val="22"/>
                <w:szCs w:val="22"/>
                <w:highlight w:val="none"/>
                <w:u w:val="single"/>
              </w:rPr>
              <w:t>月</w:t>
            </w:r>
            <w:r>
              <w:rPr>
                <w:rFonts w:hint="eastAsia" w:ascii="宋体" w:hAnsi="宋体" w:cs="宋体"/>
                <w:b/>
                <w:bCs/>
                <w:color w:val="auto"/>
                <w:sz w:val="22"/>
                <w:szCs w:val="22"/>
                <w:highlight w:val="none"/>
                <w:u w:val="single"/>
                <w:lang w:val="en-US" w:eastAsia="zh-CN"/>
              </w:rPr>
              <w:t>18</w:t>
            </w:r>
            <w:r>
              <w:rPr>
                <w:rFonts w:hint="eastAsia" w:ascii="宋体" w:hAnsi="宋体" w:cs="宋体"/>
                <w:b/>
                <w:bCs/>
                <w:color w:val="auto"/>
                <w:sz w:val="22"/>
                <w:szCs w:val="22"/>
                <w:highlight w:val="none"/>
                <w:u w:val="single"/>
              </w:rPr>
              <w:t>日17时00分</w:t>
            </w:r>
            <w:r>
              <w:rPr>
                <w:rFonts w:hint="eastAsia" w:ascii="宋体" w:hAnsi="宋体" w:cs="宋体"/>
                <w:color w:val="auto"/>
                <w:sz w:val="22"/>
                <w:szCs w:val="22"/>
                <w:highlight w:val="none"/>
              </w:rPr>
              <w:t>前以电子文件形式（不具单位名称、不加盖单位公章）发送至指定邮箱（526134514@qq.com）向招标人提出，招标人予以解答，解答的内容将在南通市崇川区人民政府网-我要看-公示公告栏公布。</w:t>
            </w:r>
          </w:p>
        </w:tc>
      </w:tr>
      <w:tr w14:paraId="40BD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Align w:val="center"/>
          </w:tcPr>
          <w:p w14:paraId="4DCE980D">
            <w:pPr>
              <w:jc w:val="center"/>
              <w:rPr>
                <w:rFonts w:ascii="宋体" w:hAnsi="宋体" w:cs="宋体"/>
                <w:color w:val="auto"/>
                <w:sz w:val="22"/>
                <w:szCs w:val="22"/>
                <w:highlight w:val="none"/>
              </w:rPr>
            </w:pPr>
            <w:r>
              <w:rPr>
                <w:rFonts w:hint="eastAsia" w:ascii="宋体" w:hAnsi="宋体" w:cs="宋体"/>
                <w:color w:val="auto"/>
                <w:sz w:val="22"/>
                <w:szCs w:val="22"/>
                <w:highlight w:val="none"/>
              </w:rPr>
              <w:t>3.1.1</w:t>
            </w:r>
          </w:p>
        </w:tc>
        <w:tc>
          <w:tcPr>
            <w:tcW w:w="1956" w:type="dxa"/>
            <w:vAlign w:val="center"/>
          </w:tcPr>
          <w:p w14:paraId="2F1AD8D2">
            <w:pPr>
              <w:jc w:val="center"/>
              <w:rPr>
                <w:rFonts w:ascii="宋体" w:hAnsi="宋体" w:cs="宋体"/>
                <w:b/>
                <w:color w:val="auto"/>
                <w:sz w:val="22"/>
                <w:szCs w:val="22"/>
                <w:highlight w:val="none"/>
              </w:rPr>
            </w:pPr>
            <w:r>
              <w:rPr>
                <w:rFonts w:hint="eastAsia" w:ascii="宋体" w:hAnsi="宋体" w:cs="宋体"/>
                <w:color w:val="auto"/>
                <w:kern w:val="0"/>
                <w:sz w:val="22"/>
                <w:szCs w:val="22"/>
                <w:highlight w:val="none"/>
              </w:rPr>
              <w:t>投标文件的组成</w:t>
            </w:r>
          </w:p>
        </w:tc>
        <w:tc>
          <w:tcPr>
            <w:tcW w:w="6725" w:type="dxa"/>
            <w:vAlign w:val="center"/>
          </w:tcPr>
          <w:p w14:paraId="593900D0">
            <w:pPr>
              <w:spacing w:line="380" w:lineRule="exact"/>
              <w:rPr>
                <w:rFonts w:ascii="宋体" w:hAnsi="宋体" w:cs="宋体"/>
                <w:color w:val="auto"/>
                <w:sz w:val="22"/>
                <w:szCs w:val="22"/>
                <w:highlight w:val="none"/>
              </w:rPr>
            </w:pPr>
            <w:r>
              <w:rPr>
                <w:rFonts w:hint="eastAsia" w:ascii="宋体" w:hAnsi="宋体" w:cs="宋体"/>
                <w:color w:val="auto"/>
                <w:sz w:val="22"/>
                <w:szCs w:val="22"/>
                <w:highlight w:val="none"/>
              </w:rPr>
              <w:t>详见招标文件3.1投标文件的组成</w:t>
            </w:r>
          </w:p>
        </w:tc>
      </w:tr>
      <w:tr w14:paraId="55F4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Align w:val="center"/>
          </w:tcPr>
          <w:p w14:paraId="08ABBAB6">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3.2.2</w:t>
            </w:r>
          </w:p>
        </w:tc>
        <w:tc>
          <w:tcPr>
            <w:tcW w:w="1956" w:type="dxa"/>
            <w:vAlign w:val="center"/>
          </w:tcPr>
          <w:p w14:paraId="04611C03">
            <w:pPr>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施工阶段监理费报价</w:t>
            </w:r>
          </w:p>
        </w:tc>
        <w:tc>
          <w:tcPr>
            <w:tcW w:w="6725" w:type="dxa"/>
            <w:vAlign w:val="center"/>
          </w:tcPr>
          <w:p w14:paraId="7A777397">
            <w:pPr>
              <w:rPr>
                <w:rFonts w:ascii="宋体" w:hAnsi="宋体" w:cs="宋体"/>
                <w:color w:val="auto"/>
                <w:kern w:val="0"/>
                <w:sz w:val="22"/>
                <w:szCs w:val="22"/>
                <w:highlight w:val="none"/>
              </w:rPr>
            </w:pPr>
            <w:r>
              <w:rPr>
                <w:rFonts w:hint="eastAsia" w:ascii="宋体" w:hAnsi="宋体" w:cs="宋体"/>
                <w:color w:val="auto"/>
                <w:kern w:val="0"/>
                <w:sz w:val="22"/>
                <w:szCs w:val="22"/>
                <w:highlight w:val="none"/>
              </w:rPr>
              <w:t>相关要求见3.2 投标报价</w:t>
            </w:r>
          </w:p>
        </w:tc>
      </w:tr>
      <w:tr w14:paraId="1D86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Align w:val="center"/>
          </w:tcPr>
          <w:p w14:paraId="092BA4B7">
            <w:pPr>
              <w:jc w:val="center"/>
              <w:rPr>
                <w:rFonts w:ascii="宋体" w:hAnsi="宋体" w:cs="宋体"/>
                <w:color w:val="auto"/>
                <w:sz w:val="22"/>
                <w:szCs w:val="22"/>
                <w:highlight w:val="none"/>
              </w:rPr>
            </w:pPr>
            <w:r>
              <w:rPr>
                <w:rFonts w:hint="eastAsia" w:ascii="宋体" w:hAnsi="宋体" w:cs="宋体"/>
                <w:color w:val="auto"/>
                <w:sz w:val="22"/>
                <w:szCs w:val="22"/>
                <w:highlight w:val="none"/>
              </w:rPr>
              <w:t>3.3.1</w:t>
            </w:r>
          </w:p>
        </w:tc>
        <w:tc>
          <w:tcPr>
            <w:tcW w:w="1956" w:type="dxa"/>
            <w:vAlign w:val="center"/>
          </w:tcPr>
          <w:p w14:paraId="39934502">
            <w:pPr>
              <w:jc w:val="center"/>
              <w:rPr>
                <w:rFonts w:ascii="宋体" w:hAnsi="宋体" w:cs="宋体"/>
                <w:color w:val="auto"/>
                <w:sz w:val="22"/>
                <w:szCs w:val="22"/>
                <w:highlight w:val="none"/>
              </w:rPr>
            </w:pPr>
            <w:r>
              <w:rPr>
                <w:rFonts w:hint="eastAsia" w:ascii="宋体" w:hAnsi="宋体" w:cs="宋体"/>
                <w:color w:val="auto"/>
                <w:sz w:val="22"/>
                <w:szCs w:val="22"/>
                <w:highlight w:val="none"/>
              </w:rPr>
              <w:t>投标有效期</w:t>
            </w:r>
          </w:p>
        </w:tc>
        <w:tc>
          <w:tcPr>
            <w:tcW w:w="6725" w:type="dxa"/>
            <w:vAlign w:val="center"/>
          </w:tcPr>
          <w:p w14:paraId="6B9B7A17">
            <w:pPr>
              <w:rPr>
                <w:rFonts w:ascii="宋体" w:hAnsi="宋体" w:cs="宋体"/>
                <w:color w:val="auto"/>
                <w:sz w:val="22"/>
                <w:szCs w:val="22"/>
                <w:highlight w:val="none"/>
              </w:rPr>
            </w:pPr>
            <w:r>
              <w:rPr>
                <w:rFonts w:hint="eastAsia" w:ascii="宋体" w:hAnsi="宋体" w:cs="宋体"/>
                <w:color w:val="auto"/>
                <w:sz w:val="22"/>
                <w:szCs w:val="22"/>
                <w:highlight w:val="none"/>
                <w:u w:val="single"/>
              </w:rPr>
              <w:t xml:space="preserve"> 45日历</w:t>
            </w:r>
            <w:r>
              <w:rPr>
                <w:rFonts w:hint="eastAsia" w:ascii="宋体" w:hAnsi="宋体" w:cs="宋体"/>
                <w:color w:val="auto"/>
                <w:sz w:val="22"/>
                <w:szCs w:val="22"/>
                <w:highlight w:val="none"/>
              </w:rPr>
              <w:t>天</w:t>
            </w:r>
          </w:p>
        </w:tc>
      </w:tr>
      <w:tr w14:paraId="6F96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1" w:type="dxa"/>
            <w:vAlign w:val="center"/>
          </w:tcPr>
          <w:p w14:paraId="69CCE12B">
            <w:pPr>
              <w:jc w:val="center"/>
              <w:rPr>
                <w:rFonts w:ascii="宋体" w:hAnsi="宋体" w:cs="宋体"/>
                <w:color w:val="auto"/>
                <w:sz w:val="22"/>
                <w:szCs w:val="22"/>
                <w:highlight w:val="none"/>
              </w:rPr>
            </w:pPr>
            <w:r>
              <w:rPr>
                <w:rFonts w:hint="eastAsia" w:ascii="宋体" w:hAnsi="宋体" w:cs="宋体"/>
                <w:color w:val="auto"/>
                <w:sz w:val="22"/>
                <w:szCs w:val="22"/>
                <w:highlight w:val="none"/>
              </w:rPr>
              <w:t>3.4.1</w:t>
            </w:r>
          </w:p>
        </w:tc>
        <w:tc>
          <w:tcPr>
            <w:tcW w:w="1956" w:type="dxa"/>
            <w:vAlign w:val="center"/>
          </w:tcPr>
          <w:p w14:paraId="25567405">
            <w:pPr>
              <w:jc w:val="center"/>
              <w:rPr>
                <w:rFonts w:ascii="宋体" w:hAnsi="宋体" w:cs="宋体"/>
                <w:color w:val="auto"/>
                <w:sz w:val="22"/>
                <w:szCs w:val="22"/>
                <w:highlight w:val="none"/>
              </w:rPr>
            </w:pPr>
            <w:r>
              <w:rPr>
                <w:rFonts w:hint="eastAsia" w:ascii="宋体" w:hAnsi="宋体" w:cs="宋体"/>
                <w:color w:val="auto"/>
                <w:sz w:val="22"/>
                <w:szCs w:val="22"/>
                <w:highlight w:val="none"/>
              </w:rPr>
              <w:t>投标保证金</w:t>
            </w:r>
          </w:p>
        </w:tc>
        <w:tc>
          <w:tcPr>
            <w:tcW w:w="6725" w:type="dxa"/>
            <w:vAlign w:val="center"/>
          </w:tcPr>
          <w:p w14:paraId="29CA923D">
            <w:pPr>
              <w:spacing w:line="240" w:lineRule="auto"/>
              <w:ind w:firstLine="0" w:firstLineChars="0"/>
              <w:rPr>
                <w:rFonts w:hint="eastAsia" w:ascii="Times New Roman" w:hAnsi="Times New Roman" w:eastAsia="宋体" w:cs="Times New Roman"/>
                <w:color w:val="auto"/>
                <w:sz w:val="24"/>
                <w:highlight w:val="none"/>
              </w:rPr>
            </w:pPr>
            <w:r>
              <w:rPr>
                <w:rFonts w:hint="eastAsia" w:ascii="宋体" w:hAnsi="宋体" w:cs="宋体"/>
                <w:b/>
                <w:color w:val="auto"/>
                <w:sz w:val="24"/>
                <w:highlight w:val="none"/>
              </w:rPr>
              <w:t>人民币：</w:t>
            </w:r>
            <w:r>
              <w:rPr>
                <w:rFonts w:hint="eastAsia" w:ascii="宋体" w:hAnsi="宋体" w:cs="宋体"/>
                <w:b/>
                <w:color w:val="auto"/>
                <w:sz w:val="24"/>
                <w:highlight w:val="none"/>
                <w:u w:val="single"/>
                <w:lang w:val="en-US" w:eastAsia="zh-CN"/>
              </w:rPr>
              <w:t>3000.00</w:t>
            </w:r>
            <w:r>
              <w:rPr>
                <w:rFonts w:hint="eastAsia" w:ascii="宋体" w:hAnsi="宋体" w:cs="宋体"/>
                <w:b/>
                <w:color w:val="auto"/>
                <w:sz w:val="24"/>
                <w:highlight w:val="none"/>
                <w:u w:val="single"/>
              </w:rPr>
              <w:t>元</w:t>
            </w:r>
            <w:r>
              <w:rPr>
                <w:rFonts w:hint="eastAsia" w:ascii="宋体" w:hAnsi="宋体" w:cs="宋体"/>
                <w:color w:val="auto"/>
                <w:sz w:val="24"/>
                <w:highlight w:val="none"/>
              </w:rPr>
              <w:t>（递交形式：</w:t>
            </w:r>
            <w:r>
              <w:rPr>
                <w:rFonts w:hint="eastAsia" w:ascii="宋体" w:hAnsi="宋体" w:cs="宋体"/>
                <w:b/>
                <w:bCs/>
                <w:color w:val="auto"/>
                <w:sz w:val="24"/>
                <w:highlight w:val="none"/>
              </w:rPr>
              <w:t>转账、电汇、网银形式</w:t>
            </w:r>
            <w:r>
              <w:rPr>
                <w:rFonts w:hint="eastAsia"/>
                <w:b/>
                <w:bCs/>
                <w:color w:val="auto"/>
                <w:sz w:val="24"/>
                <w:highlight w:val="none"/>
              </w:rPr>
              <w:t>或见索即付银行保函</w:t>
            </w:r>
            <w:r>
              <w:rPr>
                <w:rFonts w:hint="eastAsia"/>
                <w:color w:val="auto"/>
                <w:sz w:val="24"/>
                <w:highlight w:val="none"/>
              </w:rPr>
              <w:t>（银行保函应由投标人基本账户所在网点的当地银行或其上级银行机构出具，保函中应明确投标项目，担保金额、受益人、保证人、被保证人</w:t>
            </w:r>
            <w:r>
              <w:rPr>
                <w:rFonts w:hint="eastAsia" w:ascii="Times New Roman" w:hAnsi="Times New Roman" w:eastAsia="宋体" w:cs="Times New Roman"/>
                <w:color w:val="auto"/>
                <w:sz w:val="24"/>
                <w:highlight w:val="none"/>
              </w:rPr>
              <w:t>等具体内容。保函费用必须由投标人基本账户汇出）</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投标保证金使用银行保函，如发生索赔情况没有按照保函约定进行赔付，导致</w:t>
            </w:r>
            <w:r>
              <w:rPr>
                <w:rFonts w:hint="eastAsia" w:ascii="Times New Roman" w:hAnsi="Times New Roman" w:eastAsia="宋体" w:cs="Times New Roman"/>
                <w:color w:val="auto"/>
                <w:sz w:val="24"/>
                <w:highlight w:val="none"/>
                <w:lang w:eastAsia="zh-CN"/>
              </w:rPr>
              <w:t>招标</w:t>
            </w:r>
            <w:r>
              <w:rPr>
                <w:rFonts w:hint="eastAsia" w:ascii="Times New Roman" w:hAnsi="Times New Roman" w:eastAsia="宋体" w:cs="Times New Roman"/>
                <w:color w:val="auto"/>
                <w:sz w:val="24"/>
                <w:highlight w:val="none"/>
              </w:rPr>
              <w:t>人委托律师所发生的代理费作为</w:t>
            </w:r>
            <w:r>
              <w:rPr>
                <w:rFonts w:hint="eastAsia" w:ascii="Times New Roman" w:hAnsi="Times New Roman" w:eastAsia="宋体" w:cs="Times New Roman"/>
                <w:color w:val="auto"/>
                <w:sz w:val="24"/>
                <w:highlight w:val="none"/>
                <w:lang w:eastAsia="zh-CN"/>
              </w:rPr>
              <w:t>招标人</w:t>
            </w:r>
            <w:r>
              <w:rPr>
                <w:rFonts w:hint="eastAsia" w:ascii="Times New Roman" w:hAnsi="Times New Roman" w:eastAsia="宋体" w:cs="Times New Roman"/>
                <w:color w:val="auto"/>
                <w:sz w:val="24"/>
                <w:highlight w:val="none"/>
              </w:rPr>
              <w:t>的损失，由投标人承担。律师费用标准按照苏价费[2017]113号文确定，今后如有新的指导文件，按照新的文件执行。</w:t>
            </w:r>
          </w:p>
          <w:p w14:paraId="0807A56C">
            <w:pPr>
              <w:spacing w:line="240" w:lineRule="auto"/>
              <w:ind w:firstLine="0" w:firstLineChars="0"/>
              <w:rPr>
                <w:rFonts w:hint="eastAsia" w:ascii="宋体" w:hAnsi="宋体" w:eastAsia="宋体" w:cs="宋体"/>
                <w:color w:val="auto"/>
                <w:spacing w:val="0"/>
                <w:sz w:val="24"/>
                <w:highlight w:val="none"/>
              </w:rPr>
            </w:pPr>
            <w:r>
              <w:rPr>
                <w:rFonts w:hint="eastAsia" w:ascii="Times New Roman" w:hAnsi="Times New Roman" w:eastAsia="宋体" w:cs="Times New Roman"/>
                <w:color w:val="auto"/>
                <w:sz w:val="24"/>
                <w:highlight w:val="none"/>
              </w:rPr>
              <w:t>各投标人根据企业实际情况合理选择投标保证</w:t>
            </w:r>
            <w:r>
              <w:rPr>
                <w:rFonts w:hint="eastAsia"/>
                <w:color w:val="auto"/>
                <w:sz w:val="24"/>
                <w:highlight w:val="none"/>
              </w:rPr>
              <w:t>金的缴纳形式，各类缴纳形式具有同等法律效力。</w:t>
            </w:r>
            <w:r>
              <w:rPr>
                <w:rFonts w:hint="eastAsia" w:ascii="宋体" w:hAnsi="宋体" w:cs="宋体"/>
                <w:b/>
                <w:bCs/>
                <w:color w:val="auto"/>
                <w:sz w:val="24"/>
                <w:highlight w:val="none"/>
              </w:rPr>
              <w:t>投标保证金的缴纳凭证须</w:t>
            </w:r>
            <w:r>
              <w:rPr>
                <w:rFonts w:hint="eastAsia" w:ascii="宋体" w:hAnsi="宋体" w:cs="宋体"/>
                <w:b/>
                <w:bCs/>
                <w:color w:val="auto"/>
                <w:sz w:val="24"/>
                <w:highlight w:val="none"/>
                <w:lang w:eastAsia="zh-CN"/>
              </w:rPr>
              <w:t>单独密封，</w:t>
            </w:r>
            <w:r>
              <w:rPr>
                <w:rFonts w:hint="eastAsia" w:ascii="宋体" w:hAnsi="宋体" w:cs="宋体"/>
                <w:b/>
                <w:bCs/>
                <w:color w:val="auto"/>
                <w:sz w:val="24"/>
                <w:highlight w:val="none"/>
              </w:rPr>
              <w:t>在递交投标文件</w:t>
            </w:r>
            <w:r>
              <w:rPr>
                <w:rFonts w:hint="eastAsia" w:ascii="宋体" w:hAnsi="宋体" w:cs="宋体"/>
                <w:b/>
                <w:bCs/>
                <w:color w:val="auto"/>
                <w:sz w:val="24"/>
                <w:highlight w:val="none"/>
                <w:lang w:eastAsia="zh-CN"/>
              </w:rPr>
              <w:t>同</w:t>
            </w:r>
            <w:r>
              <w:rPr>
                <w:rFonts w:hint="eastAsia" w:ascii="宋体" w:hAnsi="宋体" w:cs="宋体"/>
                <w:b/>
                <w:bCs/>
                <w:color w:val="auto"/>
                <w:sz w:val="24"/>
                <w:highlight w:val="none"/>
              </w:rPr>
              <w:t>时交给代理机构</w:t>
            </w:r>
            <w:r>
              <w:rPr>
                <w:rFonts w:hint="eastAsia" w:ascii="宋体" w:hAnsi="宋体" w:cs="宋体"/>
                <w:color w:val="auto"/>
                <w:sz w:val="24"/>
                <w:highlight w:val="none"/>
              </w:rPr>
              <w:t>。保证金账户信息如下：</w:t>
            </w:r>
          </w:p>
          <w:p w14:paraId="7D766AD7">
            <w:pPr>
              <w:snapToGrid/>
              <w:spacing w:line="240" w:lineRule="auto"/>
              <w:ind w:firstLine="0" w:firstLineChars="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保证金收款单位：江苏中润工程建设咨询有限公司南通分公司</w:t>
            </w:r>
          </w:p>
          <w:p w14:paraId="43065ADA">
            <w:pPr>
              <w:snapToGrid/>
              <w:spacing w:line="240" w:lineRule="auto"/>
              <w:ind w:firstLine="0" w:firstLineChars="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开户银行：中国农业银行南通分行</w:t>
            </w:r>
          </w:p>
          <w:p w14:paraId="5ED028ED">
            <w:pPr>
              <w:snapToGrid/>
              <w:spacing w:line="240" w:lineRule="auto"/>
              <w:ind w:firstLine="0" w:firstLineChars="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银行账号：10707001040224564</w:t>
            </w:r>
          </w:p>
          <w:p w14:paraId="1AC6E44E">
            <w:pPr>
              <w:spacing w:line="240" w:lineRule="auto"/>
              <w:rPr>
                <w:rFonts w:ascii="宋体" w:hAnsi="宋体" w:cs="宋体"/>
                <w:color w:val="auto"/>
                <w:sz w:val="22"/>
                <w:szCs w:val="22"/>
                <w:highlight w:val="none"/>
              </w:rPr>
            </w:pPr>
            <w:r>
              <w:rPr>
                <w:rFonts w:hint="eastAsia"/>
                <w:b/>
                <w:bCs/>
                <w:color w:val="auto"/>
                <w:sz w:val="24"/>
                <w:highlight w:val="none"/>
              </w:rPr>
              <w:t>特别提醒：（1）如投标人采用转账、电汇、网银形式缴纳的保证金，应充分考虑投标保证金从提交到入帐的时间风险，在投标截止日之前办理相关事项并再次确认是否已成功缴纳。（2）如采用银行保函等形式缴纳的，在投标截止日之前须从电子保函服务支撑管理平台中确认是否生效。（3）各类汇票、保函的费用应由投标人基本账户汇出。</w:t>
            </w:r>
          </w:p>
        </w:tc>
      </w:tr>
      <w:tr w14:paraId="2C6D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Align w:val="center"/>
          </w:tcPr>
          <w:p w14:paraId="763F8DA1">
            <w:pPr>
              <w:jc w:val="center"/>
              <w:rPr>
                <w:rFonts w:ascii="宋体" w:hAnsi="宋体" w:cs="宋体"/>
                <w:color w:val="auto"/>
                <w:sz w:val="22"/>
                <w:szCs w:val="22"/>
                <w:highlight w:val="none"/>
              </w:rPr>
            </w:pPr>
            <w:r>
              <w:rPr>
                <w:rFonts w:hint="eastAsia" w:ascii="宋体" w:hAnsi="宋体" w:cs="宋体"/>
                <w:color w:val="auto"/>
                <w:sz w:val="22"/>
                <w:szCs w:val="22"/>
                <w:highlight w:val="none"/>
              </w:rPr>
              <w:t>3.5</w:t>
            </w:r>
          </w:p>
        </w:tc>
        <w:tc>
          <w:tcPr>
            <w:tcW w:w="1956" w:type="dxa"/>
            <w:vAlign w:val="center"/>
          </w:tcPr>
          <w:p w14:paraId="1A159978">
            <w:pPr>
              <w:jc w:val="center"/>
              <w:rPr>
                <w:rFonts w:ascii="宋体" w:hAnsi="宋体" w:cs="宋体"/>
                <w:color w:val="auto"/>
                <w:sz w:val="22"/>
                <w:szCs w:val="22"/>
                <w:highlight w:val="none"/>
              </w:rPr>
            </w:pPr>
            <w:r>
              <w:rPr>
                <w:rFonts w:hint="eastAsia" w:ascii="宋体" w:hAnsi="宋体" w:cs="宋体"/>
                <w:color w:val="auto"/>
                <w:sz w:val="22"/>
                <w:szCs w:val="22"/>
                <w:highlight w:val="none"/>
              </w:rPr>
              <w:t>备选投标方案</w:t>
            </w:r>
          </w:p>
        </w:tc>
        <w:tc>
          <w:tcPr>
            <w:tcW w:w="6725" w:type="dxa"/>
            <w:vAlign w:val="center"/>
          </w:tcPr>
          <w:p w14:paraId="2EE21F85">
            <w:pPr>
              <w:autoSpaceDE w:val="0"/>
              <w:autoSpaceDN w:val="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不允许递交</w:t>
            </w:r>
          </w:p>
        </w:tc>
      </w:tr>
      <w:tr w14:paraId="0A68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Align w:val="center"/>
          </w:tcPr>
          <w:p w14:paraId="3DBCFDA6">
            <w:pPr>
              <w:jc w:val="center"/>
              <w:rPr>
                <w:rFonts w:ascii="宋体" w:hAnsi="宋体" w:cs="宋体"/>
                <w:color w:val="auto"/>
                <w:sz w:val="22"/>
                <w:szCs w:val="22"/>
                <w:highlight w:val="none"/>
              </w:rPr>
            </w:pPr>
            <w:r>
              <w:rPr>
                <w:rFonts w:hint="eastAsia" w:ascii="宋体" w:hAnsi="宋体" w:cs="宋体"/>
                <w:color w:val="auto"/>
                <w:sz w:val="22"/>
                <w:szCs w:val="22"/>
                <w:highlight w:val="none"/>
              </w:rPr>
              <w:t>3.8</w:t>
            </w:r>
          </w:p>
        </w:tc>
        <w:tc>
          <w:tcPr>
            <w:tcW w:w="1956" w:type="dxa"/>
            <w:vAlign w:val="center"/>
          </w:tcPr>
          <w:p w14:paraId="76B35360">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投标文件的份数</w:t>
            </w:r>
          </w:p>
        </w:tc>
        <w:tc>
          <w:tcPr>
            <w:tcW w:w="6725" w:type="dxa"/>
            <w:vAlign w:val="center"/>
          </w:tcPr>
          <w:p w14:paraId="6CC911A8">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投标文件正本</w:t>
            </w:r>
            <w:r>
              <w:rPr>
                <w:rFonts w:hint="eastAsia" w:ascii="宋体" w:hAnsi="宋体" w:cs="宋体"/>
                <w:b/>
                <w:color w:val="auto"/>
                <w:sz w:val="22"/>
                <w:szCs w:val="22"/>
                <w:highlight w:val="none"/>
                <w:u w:val="single"/>
              </w:rPr>
              <w:t xml:space="preserve"> 1 </w:t>
            </w:r>
            <w:r>
              <w:rPr>
                <w:rFonts w:hint="eastAsia" w:ascii="宋体" w:hAnsi="宋体" w:cs="宋体"/>
                <w:color w:val="auto"/>
                <w:sz w:val="22"/>
                <w:szCs w:val="22"/>
                <w:highlight w:val="none"/>
              </w:rPr>
              <w:t>份，副本</w:t>
            </w:r>
            <w:r>
              <w:rPr>
                <w:rFonts w:hint="eastAsia" w:ascii="宋体" w:hAnsi="宋体" w:cs="宋体"/>
                <w:b/>
                <w:color w:val="auto"/>
                <w:sz w:val="22"/>
                <w:szCs w:val="22"/>
                <w:highlight w:val="none"/>
                <w:u w:val="single"/>
                <w:lang w:val="en-US" w:eastAsia="zh-CN"/>
              </w:rPr>
              <w:t>2</w:t>
            </w:r>
            <w:r>
              <w:rPr>
                <w:rFonts w:hint="eastAsia" w:ascii="宋体" w:hAnsi="宋体" w:cs="宋体"/>
                <w:color w:val="auto"/>
                <w:sz w:val="22"/>
                <w:szCs w:val="22"/>
                <w:highlight w:val="none"/>
              </w:rPr>
              <w:t>份</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电子文件</w:t>
            </w:r>
            <w:r>
              <w:rPr>
                <w:rFonts w:hint="eastAsia" w:ascii="宋体" w:hAnsi="宋体" w:cs="宋体"/>
                <w:b/>
                <w:bCs/>
                <w:color w:val="auto"/>
                <w:sz w:val="22"/>
                <w:szCs w:val="22"/>
                <w:highlight w:val="none"/>
                <w:u w:val="single"/>
                <w:lang w:val="en-US" w:eastAsia="zh-CN"/>
              </w:rPr>
              <w:t>1</w:t>
            </w:r>
            <w:r>
              <w:rPr>
                <w:rFonts w:hint="eastAsia" w:ascii="宋体" w:hAnsi="宋体" w:cs="宋体"/>
                <w:color w:val="auto"/>
                <w:sz w:val="22"/>
                <w:szCs w:val="22"/>
                <w:highlight w:val="none"/>
                <w:lang w:val="en-US" w:eastAsia="zh-CN"/>
              </w:rPr>
              <w:t>份</w:t>
            </w:r>
          </w:p>
        </w:tc>
      </w:tr>
      <w:tr w14:paraId="1383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Align w:val="center"/>
          </w:tcPr>
          <w:p w14:paraId="40301ACD">
            <w:pPr>
              <w:jc w:val="center"/>
              <w:rPr>
                <w:rFonts w:ascii="宋体" w:hAnsi="宋体" w:cs="宋体"/>
                <w:color w:val="auto"/>
                <w:sz w:val="22"/>
                <w:szCs w:val="22"/>
                <w:highlight w:val="none"/>
              </w:rPr>
            </w:pPr>
            <w:r>
              <w:rPr>
                <w:rFonts w:hint="eastAsia" w:ascii="宋体" w:hAnsi="宋体" w:cs="宋体"/>
                <w:color w:val="auto"/>
                <w:sz w:val="22"/>
                <w:szCs w:val="22"/>
                <w:highlight w:val="none"/>
              </w:rPr>
              <w:t>4.1.1</w:t>
            </w:r>
          </w:p>
        </w:tc>
        <w:tc>
          <w:tcPr>
            <w:tcW w:w="1956" w:type="dxa"/>
            <w:vAlign w:val="center"/>
          </w:tcPr>
          <w:p w14:paraId="4AE8D7CB">
            <w:pPr>
              <w:spacing w:line="4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投标截止时间</w:t>
            </w:r>
          </w:p>
        </w:tc>
        <w:tc>
          <w:tcPr>
            <w:tcW w:w="6725" w:type="dxa"/>
            <w:vAlign w:val="center"/>
          </w:tcPr>
          <w:p w14:paraId="6EB74A0A">
            <w:pPr>
              <w:rPr>
                <w:rFonts w:ascii="宋体" w:hAnsi="宋体" w:cs="宋体"/>
                <w:color w:val="auto"/>
                <w:sz w:val="22"/>
                <w:szCs w:val="22"/>
                <w:highlight w:val="none"/>
                <w:u w:val="single"/>
              </w:rPr>
            </w:pPr>
            <w:r>
              <w:rPr>
                <w:rFonts w:hint="eastAsia" w:ascii="宋体" w:hAnsi="宋体" w:cs="宋体"/>
                <w:b/>
                <w:color w:val="auto"/>
                <w:sz w:val="22"/>
                <w:szCs w:val="22"/>
                <w:highlight w:val="none"/>
                <w:u w:val="single"/>
              </w:rPr>
              <w:t>202</w:t>
            </w:r>
            <w:r>
              <w:rPr>
                <w:rFonts w:hint="eastAsia" w:ascii="宋体" w:hAnsi="宋体" w:cs="宋体"/>
                <w:b/>
                <w:color w:val="auto"/>
                <w:sz w:val="22"/>
                <w:szCs w:val="22"/>
                <w:highlight w:val="none"/>
                <w:u w:val="single"/>
                <w:lang w:val="en-US" w:eastAsia="zh-CN"/>
              </w:rPr>
              <w:t>6</w:t>
            </w:r>
            <w:r>
              <w:rPr>
                <w:rFonts w:hint="eastAsia" w:ascii="宋体" w:hAnsi="宋体" w:cs="宋体"/>
                <w:b/>
                <w:color w:val="auto"/>
                <w:sz w:val="22"/>
                <w:szCs w:val="22"/>
                <w:highlight w:val="none"/>
                <w:u w:val="single"/>
              </w:rPr>
              <w:t>年</w:t>
            </w:r>
            <w:r>
              <w:rPr>
                <w:rFonts w:hint="eastAsia" w:ascii="宋体" w:hAnsi="宋体" w:cs="宋体"/>
                <w:b/>
                <w:color w:val="auto"/>
                <w:sz w:val="22"/>
                <w:szCs w:val="22"/>
                <w:highlight w:val="none"/>
                <w:u w:val="single"/>
                <w:lang w:val="en-US" w:eastAsia="zh-CN"/>
              </w:rPr>
              <w:t>5</w:t>
            </w:r>
            <w:r>
              <w:rPr>
                <w:rFonts w:hint="eastAsia" w:ascii="宋体" w:hAnsi="宋体" w:cs="宋体"/>
                <w:b/>
                <w:color w:val="auto"/>
                <w:sz w:val="22"/>
                <w:szCs w:val="22"/>
                <w:highlight w:val="none"/>
                <w:u w:val="single"/>
              </w:rPr>
              <w:t>月</w:t>
            </w:r>
            <w:r>
              <w:rPr>
                <w:rFonts w:hint="eastAsia" w:ascii="宋体" w:hAnsi="宋体" w:cs="宋体"/>
                <w:b/>
                <w:color w:val="auto"/>
                <w:sz w:val="22"/>
                <w:szCs w:val="22"/>
                <w:highlight w:val="none"/>
                <w:u w:val="single"/>
                <w:lang w:val="en-US" w:eastAsia="zh-CN"/>
              </w:rPr>
              <w:t>22</w:t>
            </w:r>
            <w:bookmarkStart w:id="218" w:name="_GoBack"/>
            <w:bookmarkEnd w:id="218"/>
            <w:r>
              <w:rPr>
                <w:rFonts w:hint="eastAsia" w:ascii="宋体" w:hAnsi="宋体" w:cs="宋体"/>
                <w:b/>
                <w:color w:val="auto"/>
                <w:sz w:val="22"/>
                <w:szCs w:val="22"/>
                <w:highlight w:val="none"/>
                <w:u w:val="single"/>
                <w:lang w:val="en-US" w:eastAsia="zh-CN"/>
              </w:rPr>
              <w:t xml:space="preserve"> </w:t>
            </w:r>
            <w:r>
              <w:rPr>
                <w:rFonts w:hint="eastAsia" w:ascii="宋体" w:hAnsi="宋体" w:cs="宋体"/>
                <w:b/>
                <w:color w:val="auto"/>
                <w:sz w:val="22"/>
                <w:szCs w:val="22"/>
                <w:highlight w:val="none"/>
                <w:u w:val="single"/>
              </w:rPr>
              <w:t>日09 时30分</w:t>
            </w:r>
          </w:p>
        </w:tc>
      </w:tr>
      <w:tr w14:paraId="6A1D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Align w:val="center"/>
          </w:tcPr>
          <w:p w14:paraId="19E28253">
            <w:pPr>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4.2.2</w:t>
            </w:r>
          </w:p>
        </w:tc>
        <w:tc>
          <w:tcPr>
            <w:tcW w:w="1956" w:type="dxa"/>
            <w:vAlign w:val="center"/>
          </w:tcPr>
          <w:p w14:paraId="3944A3A5">
            <w:pPr>
              <w:spacing w:line="40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递交投标文件地点</w:t>
            </w:r>
          </w:p>
        </w:tc>
        <w:tc>
          <w:tcPr>
            <w:tcW w:w="6725" w:type="dxa"/>
            <w:vAlign w:val="center"/>
          </w:tcPr>
          <w:p w14:paraId="43C9D46A">
            <w:pPr>
              <w:spacing w:line="440" w:lineRule="exact"/>
              <w:jc w:val="left"/>
              <w:rPr>
                <w:rFonts w:hint="default" w:ascii="宋体" w:hAnsi="宋体" w:eastAsia="宋体" w:cs="宋体"/>
                <w:b/>
                <w:color w:val="auto"/>
                <w:sz w:val="22"/>
                <w:szCs w:val="22"/>
                <w:highlight w:val="none"/>
                <w:lang w:val="en-US" w:eastAsia="zh-CN"/>
              </w:rPr>
            </w:pPr>
            <w:r>
              <w:rPr>
                <w:rFonts w:hint="eastAsia" w:ascii="宋体" w:hAnsi="宋体" w:cs="宋体"/>
                <w:b w:val="0"/>
                <w:bCs/>
                <w:color w:val="auto"/>
                <w:sz w:val="22"/>
                <w:szCs w:val="22"/>
                <w:highlight w:val="none"/>
              </w:rPr>
              <w:t>提交地点：</w:t>
            </w:r>
            <w:r>
              <w:rPr>
                <w:rFonts w:hint="eastAsia" w:ascii="宋体" w:hAnsi="宋体" w:cs="宋体"/>
                <w:b w:val="0"/>
                <w:bCs/>
                <w:color w:val="auto"/>
                <w:sz w:val="22"/>
                <w:szCs w:val="22"/>
                <w:highlight w:val="none"/>
                <w:lang w:val="en-US" w:eastAsia="zh-CN"/>
              </w:rPr>
              <w:t xml:space="preserve"> 崇川区环城南路5号南楼城事4楼，南通市崇川文化旅游发展有限公司会议室 </w:t>
            </w:r>
          </w:p>
        </w:tc>
      </w:tr>
      <w:tr w14:paraId="7A3A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Align w:val="center"/>
          </w:tcPr>
          <w:p w14:paraId="253877F4">
            <w:pPr>
              <w:jc w:val="center"/>
              <w:rPr>
                <w:rFonts w:ascii="宋体" w:hAnsi="宋体" w:cs="宋体"/>
                <w:color w:val="auto"/>
                <w:sz w:val="22"/>
                <w:szCs w:val="22"/>
                <w:highlight w:val="none"/>
              </w:rPr>
            </w:pPr>
            <w:r>
              <w:rPr>
                <w:rFonts w:hint="eastAsia" w:ascii="宋体" w:hAnsi="宋体" w:cs="宋体"/>
                <w:color w:val="auto"/>
                <w:sz w:val="22"/>
                <w:szCs w:val="22"/>
                <w:highlight w:val="none"/>
              </w:rPr>
              <w:t>5.1</w:t>
            </w:r>
          </w:p>
        </w:tc>
        <w:tc>
          <w:tcPr>
            <w:tcW w:w="1956" w:type="dxa"/>
            <w:vAlign w:val="center"/>
          </w:tcPr>
          <w:p w14:paraId="0015E1DE">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开标时间、地点和人员</w:t>
            </w:r>
          </w:p>
        </w:tc>
        <w:tc>
          <w:tcPr>
            <w:tcW w:w="6725" w:type="dxa"/>
            <w:vAlign w:val="center"/>
          </w:tcPr>
          <w:p w14:paraId="412DE769">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开标时间：同投标截止时间</w:t>
            </w:r>
          </w:p>
          <w:p w14:paraId="1B471C31">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开标地点：同递交投标文件地点</w:t>
            </w:r>
          </w:p>
        </w:tc>
      </w:tr>
      <w:tr w14:paraId="78B5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Align w:val="center"/>
          </w:tcPr>
          <w:p w14:paraId="6070A7CC">
            <w:pPr>
              <w:adjustRightInd w:val="0"/>
              <w:snapToGrid w:val="0"/>
              <w:spacing w:line="32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6.1.1</w:t>
            </w:r>
          </w:p>
        </w:tc>
        <w:tc>
          <w:tcPr>
            <w:tcW w:w="1956" w:type="dxa"/>
            <w:vAlign w:val="center"/>
          </w:tcPr>
          <w:p w14:paraId="00CA1DD9">
            <w:pPr>
              <w:adjustRightInd w:val="0"/>
              <w:snapToGrid w:val="0"/>
              <w:spacing w:line="32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评标委员会的组建</w:t>
            </w:r>
          </w:p>
        </w:tc>
        <w:tc>
          <w:tcPr>
            <w:tcW w:w="6725" w:type="dxa"/>
            <w:vAlign w:val="center"/>
          </w:tcPr>
          <w:p w14:paraId="797A7724">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评标委员会构成：</w:t>
            </w:r>
            <w:r>
              <w:rPr>
                <w:rFonts w:hint="eastAsia" w:ascii="宋体" w:hAnsi="宋体" w:cs="宋体"/>
                <w:color w:val="auto"/>
                <w:sz w:val="22"/>
                <w:szCs w:val="22"/>
                <w:highlight w:val="none"/>
                <w:u w:val="single"/>
              </w:rPr>
              <w:t xml:space="preserve">3人或3人以上单数，由招标人代表和评标专家组成。 </w:t>
            </w:r>
          </w:p>
        </w:tc>
      </w:tr>
      <w:tr w14:paraId="6AE1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Align w:val="center"/>
          </w:tcPr>
          <w:p w14:paraId="1FA5A90C">
            <w:pPr>
              <w:jc w:val="center"/>
              <w:rPr>
                <w:rFonts w:ascii="宋体" w:hAnsi="宋体" w:cs="宋体"/>
                <w:color w:val="auto"/>
                <w:sz w:val="22"/>
                <w:szCs w:val="22"/>
                <w:highlight w:val="none"/>
              </w:rPr>
            </w:pPr>
            <w:r>
              <w:rPr>
                <w:rFonts w:hint="eastAsia" w:ascii="宋体" w:hAnsi="宋体" w:cs="宋体"/>
                <w:color w:val="auto"/>
                <w:sz w:val="22"/>
                <w:szCs w:val="22"/>
                <w:highlight w:val="none"/>
              </w:rPr>
              <w:t>8.1</w:t>
            </w:r>
          </w:p>
        </w:tc>
        <w:tc>
          <w:tcPr>
            <w:tcW w:w="1956" w:type="dxa"/>
            <w:vAlign w:val="center"/>
          </w:tcPr>
          <w:p w14:paraId="65059C31">
            <w:pPr>
              <w:jc w:val="center"/>
              <w:rPr>
                <w:rFonts w:ascii="宋体" w:hAnsi="宋体" w:cs="宋体"/>
                <w:color w:val="auto"/>
                <w:sz w:val="22"/>
                <w:szCs w:val="22"/>
                <w:highlight w:val="none"/>
              </w:rPr>
            </w:pPr>
            <w:r>
              <w:rPr>
                <w:rFonts w:hint="eastAsia" w:ascii="宋体" w:hAnsi="宋体" w:cs="宋体"/>
                <w:color w:val="auto"/>
                <w:sz w:val="22"/>
                <w:szCs w:val="22"/>
                <w:highlight w:val="none"/>
              </w:rPr>
              <w:t>是否授权评标委员会确定中标人</w:t>
            </w:r>
          </w:p>
        </w:tc>
        <w:tc>
          <w:tcPr>
            <w:tcW w:w="6725" w:type="dxa"/>
            <w:vAlign w:val="center"/>
          </w:tcPr>
          <w:p w14:paraId="594C77C7">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□是</w:t>
            </w:r>
          </w:p>
          <w:p w14:paraId="2025B568">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☑否，推荐的中标候选人数：</w:t>
            </w:r>
            <w:r>
              <w:rPr>
                <w:rFonts w:hint="eastAsia" w:ascii="宋体" w:hAnsi="宋体" w:cs="宋体"/>
                <w:color w:val="auto"/>
                <w:sz w:val="22"/>
                <w:szCs w:val="22"/>
                <w:highlight w:val="none"/>
                <w:u w:val="single"/>
              </w:rPr>
              <w:t xml:space="preserve"> 3  </w:t>
            </w:r>
          </w:p>
        </w:tc>
      </w:tr>
      <w:tr w14:paraId="26A5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82" w:type="dxa"/>
            <w:gridSpan w:val="3"/>
            <w:vAlign w:val="center"/>
          </w:tcPr>
          <w:p w14:paraId="2A315FD2">
            <w:pP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11 需要补充的其他内容</w:t>
            </w:r>
          </w:p>
        </w:tc>
      </w:tr>
      <w:tr w14:paraId="66D2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Align w:val="center"/>
          </w:tcPr>
          <w:p w14:paraId="0634DE59">
            <w:pPr>
              <w:rPr>
                <w:rFonts w:ascii="宋体" w:hAnsi="宋体" w:cs="宋体"/>
                <w:b/>
                <w:bCs/>
                <w:color w:val="auto"/>
                <w:sz w:val="22"/>
                <w:szCs w:val="22"/>
                <w:highlight w:val="none"/>
              </w:rPr>
            </w:pPr>
            <w:r>
              <w:rPr>
                <w:rFonts w:hint="eastAsia" w:ascii="宋体" w:hAnsi="宋体" w:cs="宋体"/>
                <w:b/>
                <w:bCs/>
                <w:color w:val="auto"/>
                <w:sz w:val="22"/>
                <w:szCs w:val="22"/>
                <w:highlight w:val="none"/>
              </w:rPr>
              <w:t>11.1</w:t>
            </w:r>
          </w:p>
        </w:tc>
        <w:tc>
          <w:tcPr>
            <w:tcW w:w="1956" w:type="dxa"/>
            <w:vAlign w:val="center"/>
          </w:tcPr>
          <w:p w14:paraId="3C242EA4">
            <w:pPr>
              <w:autoSpaceDE w:val="0"/>
              <w:autoSpaceDN w:val="0"/>
              <w:adjustRightInd w:val="0"/>
              <w:spacing w:line="360" w:lineRule="exact"/>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履约保证金</w:t>
            </w:r>
          </w:p>
        </w:tc>
        <w:tc>
          <w:tcPr>
            <w:tcW w:w="6725" w:type="dxa"/>
            <w:vAlign w:val="center"/>
          </w:tcPr>
          <w:p w14:paraId="4297E55E">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履约保证金形式：包含银行转账、网银，</w:t>
            </w:r>
            <w:r>
              <w:rPr>
                <w:rFonts w:hint="eastAsia" w:ascii="宋体" w:hAnsi="宋体" w:cs="宋体"/>
                <w:color w:val="auto"/>
                <w:sz w:val="24"/>
                <w:highlight w:val="none"/>
                <w:lang w:eastAsia="zh-CN"/>
              </w:rPr>
              <w:t>见索即付</w:t>
            </w:r>
            <w:r>
              <w:rPr>
                <w:rFonts w:hint="eastAsia" w:ascii="宋体" w:hAnsi="宋体" w:cs="宋体"/>
                <w:color w:val="auto"/>
                <w:sz w:val="24"/>
                <w:highlight w:val="none"/>
              </w:rPr>
              <w:t>银行保函</w:t>
            </w:r>
            <w:r>
              <w:rPr>
                <w:rFonts w:hint="eastAsia" w:ascii="宋体" w:hAnsi="宋体" w:cs="宋体"/>
                <w:color w:val="auto"/>
                <w:sz w:val="24"/>
                <w:highlight w:val="none"/>
                <w:lang w:eastAsia="zh-CN"/>
              </w:rPr>
              <w:t>（</w:t>
            </w:r>
            <w:r>
              <w:rPr>
                <w:rFonts w:hint="eastAsia" w:ascii="宋体" w:hAnsi="宋体" w:cs="宋体"/>
                <w:color w:val="auto"/>
                <w:sz w:val="24"/>
                <w:highlight w:val="none"/>
              </w:rPr>
              <w:t>基本账户所在网点的当地银行或其上级银行机构出具</w:t>
            </w:r>
            <w:r>
              <w:rPr>
                <w:rFonts w:hint="eastAsia" w:ascii="宋体" w:hAnsi="宋体" w:cs="宋体"/>
                <w:color w:val="auto"/>
                <w:sz w:val="24"/>
                <w:highlight w:val="none"/>
                <w:lang w:eastAsia="zh-CN"/>
              </w:rPr>
              <w:t>）。</w:t>
            </w:r>
          </w:p>
          <w:p w14:paraId="185D1A23">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履约保证金的金额：本工程履约保证金为合同总价款的10%。中标人在中标通知书发出后合同签订前，向招标人账户足额提交履约保证金，否则招标人有权取消其中标资格。</w:t>
            </w:r>
          </w:p>
          <w:p w14:paraId="3B84516C">
            <w:pPr>
              <w:spacing w:line="400" w:lineRule="exact"/>
              <w:rPr>
                <w:rFonts w:hint="eastAsia" w:ascii="宋体" w:hAnsi="宋体" w:cs="宋体"/>
                <w:color w:val="auto"/>
                <w:sz w:val="24"/>
                <w:highlight w:val="none"/>
                <w:u w:val="single"/>
              </w:rPr>
            </w:pPr>
            <w:r>
              <w:rPr>
                <w:rFonts w:hint="eastAsia" w:ascii="宋体" w:hAnsi="宋体" w:cs="宋体"/>
                <w:color w:val="auto"/>
                <w:sz w:val="24"/>
                <w:highlight w:val="none"/>
                <w:u w:val="single"/>
              </w:rPr>
              <w:t>招标人账户：</w:t>
            </w:r>
          </w:p>
          <w:p w14:paraId="7DDB2A54">
            <w:pPr>
              <w:spacing w:line="400" w:lineRule="exact"/>
              <w:rPr>
                <w:rFonts w:hint="eastAsia" w:ascii="宋体" w:hAnsi="宋体" w:cs="宋体"/>
                <w:color w:val="auto"/>
                <w:sz w:val="24"/>
                <w:highlight w:val="none"/>
                <w:u w:val="single"/>
                <w:lang w:eastAsia="zh-CN"/>
              </w:rPr>
            </w:pPr>
            <w:r>
              <w:rPr>
                <w:rFonts w:hint="eastAsia" w:ascii="宋体" w:hAnsi="宋体" w:cs="宋体"/>
                <w:color w:val="auto"/>
                <w:sz w:val="24"/>
                <w:highlight w:val="none"/>
                <w:u w:val="single"/>
              </w:rPr>
              <w:t>公司名称：</w:t>
            </w:r>
            <w:r>
              <w:rPr>
                <w:rFonts w:hint="eastAsia" w:ascii="宋体" w:hAnsi="宋体" w:cs="宋体"/>
                <w:color w:val="auto"/>
                <w:sz w:val="24"/>
                <w:highlight w:val="none"/>
                <w:u w:val="single"/>
                <w:lang w:eastAsia="zh-CN"/>
              </w:rPr>
              <w:t>南通市崇川历史文化街区保护发展有限公司</w:t>
            </w:r>
          </w:p>
          <w:p w14:paraId="13DD9356">
            <w:pPr>
              <w:spacing w:line="400" w:lineRule="exact"/>
              <w:rPr>
                <w:rFonts w:hint="eastAsia" w:ascii="宋体" w:hAnsi="宋体" w:cs="宋体"/>
                <w:color w:val="auto"/>
                <w:sz w:val="24"/>
                <w:highlight w:val="none"/>
                <w:u w:val="single"/>
              </w:rPr>
            </w:pPr>
            <w:r>
              <w:rPr>
                <w:rFonts w:hint="eastAsia" w:ascii="宋体" w:hAnsi="宋体" w:cs="宋体"/>
                <w:color w:val="auto"/>
                <w:sz w:val="24"/>
                <w:highlight w:val="none"/>
                <w:u w:val="single"/>
              </w:rPr>
              <w:t>开户行：江苏银行崇川支行</w:t>
            </w:r>
          </w:p>
          <w:p w14:paraId="52B86286">
            <w:pPr>
              <w:spacing w:line="400" w:lineRule="exact"/>
              <w:rPr>
                <w:rFonts w:ascii="宋体" w:hAnsi="宋体" w:cs="宋体"/>
                <w:b/>
                <w:bCs/>
                <w:color w:val="auto"/>
                <w:sz w:val="22"/>
                <w:szCs w:val="22"/>
                <w:highlight w:val="none"/>
              </w:rPr>
            </w:pPr>
            <w:r>
              <w:rPr>
                <w:rFonts w:hint="eastAsia" w:ascii="宋体" w:hAnsi="宋体" w:cs="宋体"/>
                <w:color w:val="auto"/>
                <w:sz w:val="24"/>
                <w:highlight w:val="none"/>
                <w:u w:val="single"/>
              </w:rPr>
              <w:t>账号：50010188000133064</w:t>
            </w:r>
          </w:p>
        </w:tc>
      </w:tr>
    </w:tbl>
    <w:p w14:paraId="7D49CC96">
      <w:pPr>
        <w:pStyle w:val="4"/>
        <w:spacing w:line="440" w:lineRule="exact"/>
        <w:rPr>
          <w:rFonts w:ascii="宋体" w:hAnsi="宋体" w:eastAsia="宋体" w:cs="宋体"/>
          <w:b/>
          <w:color w:val="auto"/>
          <w:sz w:val="22"/>
          <w:szCs w:val="22"/>
          <w:highlight w:val="none"/>
        </w:rPr>
      </w:pPr>
      <w:bookmarkStart w:id="8" w:name="_Toc497463993"/>
      <w:bookmarkStart w:id="9" w:name="_Toc18496"/>
      <w:r>
        <w:rPr>
          <w:rFonts w:hint="eastAsia" w:ascii="宋体" w:hAnsi="宋体" w:eastAsia="宋体" w:cs="宋体"/>
          <w:b/>
          <w:color w:val="auto"/>
          <w:sz w:val="22"/>
          <w:szCs w:val="22"/>
          <w:highlight w:val="none"/>
        </w:rPr>
        <w:t>1.1 项目概况</w:t>
      </w:r>
      <w:bookmarkEnd w:id="8"/>
      <w:bookmarkEnd w:id="9"/>
    </w:p>
    <w:p w14:paraId="5FFFB829">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1.1.1 根据《中华人民共和国招标投标法》、《中华人民共和国招标投标法实施条例》等有关法律法规和规章的规定，本招标项目已具备招标条件，现对本标段监理及相关服务进行招标。</w:t>
      </w:r>
    </w:p>
    <w:p w14:paraId="3AAB988F">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1.1.2 本招标项目招标人：见投标人须知前附表。</w:t>
      </w:r>
    </w:p>
    <w:p w14:paraId="130D8A12">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1.1.3 本标段招标代理机构：见投标人须知前附表。</w:t>
      </w:r>
    </w:p>
    <w:p w14:paraId="2DDD944B">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1.1.4 本招标项目名称：见投标人须知前附表。</w:t>
      </w:r>
    </w:p>
    <w:p w14:paraId="4398132C">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1.1.5 本标段建设地点：见投标人须知前附表。</w:t>
      </w:r>
    </w:p>
    <w:p w14:paraId="56215264">
      <w:pPr>
        <w:pStyle w:val="4"/>
        <w:spacing w:line="440" w:lineRule="exact"/>
        <w:rPr>
          <w:rFonts w:ascii="宋体" w:hAnsi="宋体" w:eastAsia="宋体" w:cs="宋体"/>
          <w:b/>
          <w:color w:val="auto"/>
          <w:sz w:val="22"/>
          <w:szCs w:val="22"/>
          <w:highlight w:val="none"/>
        </w:rPr>
      </w:pPr>
      <w:bookmarkStart w:id="10" w:name="_Toc11507"/>
      <w:bookmarkStart w:id="11" w:name="_Toc497463994"/>
      <w:r>
        <w:rPr>
          <w:rFonts w:hint="eastAsia" w:ascii="宋体" w:hAnsi="宋体" w:eastAsia="宋体" w:cs="宋体"/>
          <w:b/>
          <w:color w:val="auto"/>
          <w:sz w:val="22"/>
          <w:szCs w:val="22"/>
          <w:highlight w:val="none"/>
        </w:rPr>
        <w:t>1.2 资金来源和落实情况</w:t>
      </w:r>
      <w:bookmarkEnd w:id="10"/>
      <w:bookmarkEnd w:id="11"/>
    </w:p>
    <w:p w14:paraId="03D63F6C">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1.2.1 本招标项目的资金来源：见投标人须知前附表。</w:t>
      </w:r>
    </w:p>
    <w:p w14:paraId="350A797B">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1.2.2 本招标项目的出资比例：见投标人须知前附表。</w:t>
      </w:r>
    </w:p>
    <w:p w14:paraId="27F439BE">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1.2.3 本招标项目的资金落实情况：见投标人须知前附表。</w:t>
      </w:r>
    </w:p>
    <w:p w14:paraId="1B6A533C">
      <w:pPr>
        <w:pStyle w:val="4"/>
        <w:spacing w:line="440" w:lineRule="exact"/>
        <w:rPr>
          <w:rFonts w:ascii="宋体" w:hAnsi="宋体" w:eastAsia="宋体" w:cs="宋体"/>
          <w:b/>
          <w:color w:val="auto"/>
          <w:sz w:val="22"/>
          <w:szCs w:val="22"/>
          <w:highlight w:val="none"/>
        </w:rPr>
      </w:pPr>
      <w:bookmarkStart w:id="12" w:name="_Toc76"/>
      <w:bookmarkStart w:id="13" w:name="_Toc497463995"/>
      <w:r>
        <w:rPr>
          <w:rFonts w:hint="eastAsia" w:ascii="宋体" w:hAnsi="宋体" w:eastAsia="宋体" w:cs="宋体"/>
          <w:b/>
          <w:color w:val="auto"/>
          <w:sz w:val="22"/>
          <w:szCs w:val="22"/>
          <w:highlight w:val="none"/>
        </w:rPr>
        <w:t>1.3 招标范围、监理服务期限及质量要求</w:t>
      </w:r>
      <w:bookmarkEnd w:id="12"/>
      <w:bookmarkEnd w:id="13"/>
    </w:p>
    <w:p w14:paraId="72EFE902">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1.3.1 本次招标范围：见投标人须知前附表。</w:t>
      </w:r>
    </w:p>
    <w:p w14:paraId="5E98925C">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1.3.2 本标段的监理服务期限：见投标人须知前附表。</w:t>
      </w:r>
    </w:p>
    <w:p w14:paraId="3CE72E8E">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1.3.3 本标段的质量要求：见投标人须知前附表。</w:t>
      </w:r>
    </w:p>
    <w:p w14:paraId="08F63E56">
      <w:pPr>
        <w:pStyle w:val="4"/>
        <w:spacing w:line="440" w:lineRule="exact"/>
        <w:rPr>
          <w:rFonts w:ascii="宋体" w:hAnsi="宋体" w:eastAsia="宋体" w:cs="宋体"/>
          <w:b/>
          <w:color w:val="auto"/>
          <w:sz w:val="22"/>
          <w:szCs w:val="22"/>
          <w:highlight w:val="none"/>
        </w:rPr>
      </w:pPr>
      <w:bookmarkStart w:id="14" w:name="_Toc18264"/>
      <w:bookmarkStart w:id="15" w:name="_Toc497463996"/>
      <w:r>
        <w:rPr>
          <w:rFonts w:hint="eastAsia" w:ascii="宋体" w:hAnsi="宋体" w:eastAsia="宋体" w:cs="宋体"/>
          <w:b/>
          <w:color w:val="auto"/>
          <w:sz w:val="22"/>
          <w:szCs w:val="22"/>
          <w:highlight w:val="none"/>
        </w:rPr>
        <w:t>1.4 投标人资格要求</w:t>
      </w:r>
      <w:bookmarkEnd w:id="14"/>
      <w:bookmarkEnd w:id="15"/>
    </w:p>
    <w:p w14:paraId="002E973A">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1.4.1 投标人应具备的资格要求见招标公告。</w:t>
      </w:r>
    </w:p>
    <w:p w14:paraId="1BCF4145">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1.4.2 投标人须知前附表规定接受联合体投标的，除应符合本章第1.4.1项和投标人须知前附表的要求外，还应遵守以下规定：</w:t>
      </w:r>
    </w:p>
    <w:p w14:paraId="4CACA376">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（1）联合体各方应按招标文件提供的格式签订联合体协议书，明确联合体牵头人和各方的权利义务；</w:t>
      </w:r>
    </w:p>
    <w:p w14:paraId="72B00787">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（2）由同一专业的单位组成的联合体，按照资质等级较低的单位确定资质等级；</w:t>
      </w:r>
    </w:p>
    <w:p w14:paraId="2E66F6E7">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（3）联合体各方不得再以自己名义单独或加入其他联合体在同一标段中参加资格预审。</w:t>
      </w:r>
    </w:p>
    <w:p w14:paraId="0ACE78DF">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1.4.3 投标人不得存在下列情形之一：</w:t>
      </w:r>
    </w:p>
    <w:p w14:paraId="0482AB8D">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（1）为招标人的附属机构（单位）； </w:t>
      </w:r>
    </w:p>
    <w:p w14:paraId="5FB9956D">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（2）为本标段提供招标代理服务的；</w:t>
      </w:r>
    </w:p>
    <w:p w14:paraId="17AE6D68">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（3）与本标段的招标代理机构存在单位负责人为同一人的；</w:t>
      </w:r>
    </w:p>
    <w:p w14:paraId="42E8D418">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（4）与本标段的招标代理机构存在相互控股或参股的；</w:t>
      </w:r>
    </w:p>
    <w:p w14:paraId="4D341D2C">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（5）与本标段其他投标人存在单位负责人为同一人或者存在控股、管理关系的；</w:t>
      </w:r>
    </w:p>
    <w:p w14:paraId="4624B49B">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（6）法律法规规定的其他情形。</w:t>
      </w:r>
    </w:p>
    <w:p w14:paraId="0AC18367">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1.4.4监理机构人员配备要求：</w:t>
      </w:r>
    </w:p>
    <w:tbl>
      <w:tblPr>
        <w:tblStyle w:val="34"/>
        <w:tblW w:w="8256" w:type="dxa"/>
        <w:jc w:val="center"/>
        <w:tblLayout w:type="fixed"/>
        <w:tblCellMar>
          <w:top w:w="0" w:type="dxa"/>
          <w:left w:w="108" w:type="dxa"/>
          <w:bottom w:w="0" w:type="dxa"/>
          <w:right w:w="108" w:type="dxa"/>
        </w:tblCellMar>
      </w:tblPr>
      <w:tblGrid>
        <w:gridCol w:w="2137"/>
        <w:gridCol w:w="1290"/>
        <w:gridCol w:w="4829"/>
      </w:tblGrid>
      <w:tr w14:paraId="3807D490">
        <w:tblPrEx>
          <w:tblCellMar>
            <w:top w:w="0" w:type="dxa"/>
            <w:left w:w="108" w:type="dxa"/>
            <w:bottom w:w="0" w:type="dxa"/>
            <w:right w:w="108" w:type="dxa"/>
          </w:tblCellMar>
        </w:tblPrEx>
        <w:trPr>
          <w:trHeight w:val="491" w:hRule="atLeast"/>
          <w:jc w:val="center"/>
        </w:trPr>
        <w:tc>
          <w:tcPr>
            <w:tcW w:w="2137" w:type="dxa"/>
            <w:tcBorders>
              <w:top w:val="single" w:color="auto" w:sz="4" w:space="0"/>
              <w:left w:val="single" w:color="auto" w:sz="4" w:space="0"/>
              <w:bottom w:val="single" w:color="auto" w:sz="4" w:space="0"/>
              <w:right w:val="single" w:color="auto" w:sz="4" w:space="0"/>
            </w:tcBorders>
            <w:noWrap w:val="0"/>
            <w:vAlign w:val="center"/>
          </w:tcPr>
          <w:p w14:paraId="10684651">
            <w:pPr>
              <w:autoSpaceDN w:val="0"/>
              <w:spacing w:line="360" w:lineRule="auto"/>
              <w:jc w:val="center"/>
              <w:textAlignment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岗位</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0AEB758">
            <w:pPr>
              <w:autoSpaceDN w:val="0"/>
              <w:spacing w:line="360" w:lineRule="auto"/>
              <w:jc w:val="center"/>
              <w:textAlignment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人员数量</w:t>
            </w:r>
          </w:p>
        </w:tc>
        <w:tc>
          <w:tcPr>
            <w:tcW w:w="4829" w:type="dxa"/>
            <w:tcBorders>
              <w:top w:val="single" w:color="auto" w:sz="4" w:space="0"/>
              <w:left w:val="single" w:color="auto" w:sz="4" w:space="0"/>
              <w:bottom w:val="single" w:color="auto" w:sz="4" w:space="0"/>
              <w:right w:val="single" w:color="auto" w:sz="4" w:space="0"/>
            </w:tcBorders>
            <w:noWrap w:val="0"/>
            <w:vAlign w:val="center"/>
          </w:tcPr>
          <w:p w14:paraId="05D7E09C">
            <w:pPr>
              <w:autoSpaceDN w:val="0"/>
              <w:spacing w:line="360" w:lineRule="auto"/>
              <w:jc w:val="center"/>
              <w:textAlignment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持证上岗要求</w:t>
            </w:r>
          </w:p>
        </w:tc>
      </w:tr>
      <w:tr w14:paraId="6E714F9F">
        <w:tblPrEx>
          <w:tblCellMar>
            <w:top w:w="0" w:type="dxa"/>
            <w:left w:w="108" w:type="dxa"/>
            <w:bottom w:w="0" w:type="dxa"/>
            <w:right w:w="108" w:type="dxa"/>
          </w:tblCellMar>
        </w:tblPrEx>
        <w:trPr>
          <w:trHeight w:val="282" w:hRule="atLeast"/>
          <w:jc w:val="center"/>
        </w:trPr>
        <w:tc>
          <w:tcPr>
            <w:tcW w:w="2137" w:type="dxa"/>
            <w:tcBorders>
              <w:top w:val="single" w:color="auto" w:sz="4" w:space="0"/>
              <w:left w:val="single" w:color="auto" w:sz="4" w:space="0"/>
              <w:bottom w:val="single" w:color="auto" w:sz="4" w:space="0"/>
              <w:right w:val="single" w:color="auto" w:sz="4" w:space="0"/>
            </w:tcBorders>
            <w:noWrap w:val="0"/>
            <w:vAlign w:val="center"/>
          </w:tcPr>
          <w:p w14:paraId="63DCDD0C">
            <w:pPr>
              <w:autoSpaceDN w:val="0"/>
              <w:jc w:val="center"/>
              <w:textAlignment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总监理工程师</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0ADF93E">
            <w:pPr>
              <w:jc w:val="left"/>
              <w:rPr>
                <w:rFonts w:hint="eastAsia" w:ascii="宋体" w:hAnsi="宋体" w:cs="TimesNewRomanPSMT"/>
                <w:color w:val="auto"/>
                <w:kern w:val="0"/>
                <w:szCs w:val="21"/>
                <w:highlight w:val="none"/>
              </w:rPr>
            </w:pPr>
            <w:r>
              <w:rPr>
                <w:rFonts w:hint="eastAsia" w:ascii="宋体" w:hAnsi="宋体" w:cs="TimesNewRomanPSMT"/>
                <w:color w:val="auto"/>
                <w:kern w:val="0"/>
                <w:szCs w:val="21"/>
                <w:highlight w:val="none"/>
              </w:rPr>
              <w:t>1名</w:t>
            </w:r>
          </w:p>
        </w:tc>
        <w:tc>
          <w:tcPr>
            <w:tcW w:w="4829" w:type="dxa"/>
            <w:tcBorders>
              <w:top w:val="single" w:color="auto" w:sz="4" w:space="0"/>
              <w:left w:val="single" w:color="auto" w:sz="4" w:space="0"/>
              <w:bottom w:val="single" w:color="auto" w:sz="4" w:space="0"/>
              <w:right w:val="single" w:color="auto" w:sz="4" w:space="0"/>
            </w:tcBorders>
            <w:noWrap w:val="0"/>
            <w:vAlign w:val="center"/>
          </w:tcPr>
          <w:p w14:paraId="58BC109A">
            <w:pPr>
              <w:jc w:val="left"/>
              <w:rPr>
                <w:rFonts w:hint="eastAsia" w:ascii="宋体" w:hAnsi="宋体" w:cs="TimesNewRomanPSMT"/>
                <w:color w:val="auto"/>
                <w:kern w:val="0"/>
                <w:szCs w:val="21"/>
                <w:highlight w:val="none"/>
                <w:lang w:eastAsia="zh-CN"/>
              </w:rPr>
            </w:pPr>
            <w:r>
              <w:rPr>
                <w:rFonts w:hint="eastAsia" w:ascii="宋体" w:hAnsi="宋体" w:cs="TimesNewRomanPSMT"/>
                <w:color w:val="auto"/>
                <w:kern w:val="0"/>
                <w:szCs w:val="21"/>
                <w:highlight w:val="none"/>
              </w:rPr>
              <w:t>国家注册监理工程师，注册专业为</w:t>
            </w:r>
            <w:r>
              <w:rPr>
                <w:rFonts w:hint="eastAsia" w:ascii="宋体" w:hAnsi="宋体" w:cs="TimesNewRomanPSMT"/>
                <w:color w:val="auto"/>
                <w:kern w:val="0"/>
                <w:szCs w:val="21"/>
                <w:highlight w:val="none"/>
                <w:lang w:val="en-US" w:eastAsia="zh-CN"/>
              </w:rPr>
              <w:t>市政公用</w:t>
            </w:r>
            <w:r>
              <w:rPr>
                <w:rFonts w:hint="eastAsia" w:ascii="宋体" w:hAnsi="宋体" w:cs="TimesNewRomanPSMT"/>
                <w:color w:val="auto"/>
                <w:kern w:val="0"/>
                <w:szCs w:val="21"/>
                <w:highlight w:val="none"/>
              </w:rPr>
              <w:t>工程专业</w:t>
            </w:r>
            <w:r>
              <w:rPr>
                <w:rFonts w:hint="eastAsia" w:ascii="宋体" w:hAnsi="宋体" w:cs="TimesNewRomanPSMT"/>
                <w:color w:val="auto"/>
                <w:kern w:val="0"/>
                <w:szCs w:val="21"/>
                <w:highlight w:val="none"/>
                <w:lang w:eastAsia="zh-CN"/>
              </w:rPr>
              <w:t>，</w:t>
            </w:r>
            <w:r>
              <w:rPr>
                <w:rFonts w:hint="eastAsia" w:ascii="宋体" w:hAnsi="宋体" w:cs="TimesNewRomanPSMT"/>
                <w:color w:val="auto"/>
                <w:kern w:val="0"/>
                <w:szCs w:val="21"/>
                <w:highlight w:val="none"/>
              </w:rPr>
              <w:t>年龄不得超过55周岁</w:t>
            </w:r>
          </w:p>
        </w:tc>
      </w:tr>
      <w:tr w14:paraId="3B3CDF1D">
        <w:tblPrEx>
          <w:tblCellMar>
            <w:top w:w="0" w:type="dxa"/>
            <w:left w:w="108" w:type="dxa"/>
            <w:bottom w:w="0" w:type="dxa"/>
            <w:right w:w="108" w:type="dxa"/>
          </w:tblCellMar>
        </w:tblPrEx>
        <w:trPr>
          <w:trHeight w:val="609" w:hRule="atLeast"/>
          <w:jc w:val="center"/>
        </w:trPr>
        <w:tc>
          <w:tcPr>
            <w:tcW w:w="2137" w:type="dxa"/>
            <w:tcBorders>
              <w:top w:val="single" w:color="auto" w:sz="4" w:space="0"/>
              <w:left w:val="single" w:color="auto" w:sz="4" w:space="0"/>
              <w:bottom w:val="single" w:color="auto" w:sz="4" w:space="0"/>
              <w:right w:val="single" w:color="auto" w:sz="4" w:space="0"/>
            </w:tcBorders>
            <w:noWrap w:val="0"/>
            <w:vAlign w:val="center"/>
          </w:tcPr>
          <w:p w14:paraId="7CC7840B">
            <w:pPr>
              <w:autoSpaceDN w:val="0"/>
              <w:jc w:val="center"/>
              <w:textAlignment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rPr>
              <w:t>专业监理工程师</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5C03DB1">
            <w:pPr>
              <w:autoSpaceDN w:val="0"/>
              <w:jc w:val="center"/>
              <w:textAlignment w:val="center"/>
              <w:rPr>
                <w:rFonts w:ascii="宋体" w:hAnsi="宋体" w:cs="TimesNewRomanPSMT"/>
                <w:color w:val="auto"/>
                <w:kern w:val="0"/>
                <w:szCs w:val="21"/>
                <w:highlight w:val="none"/>
              </w:rPr>
            </w:pPr>
            <w:r>
              <w:rPr>
                <w:rFonts w:hint="eastAsia" w:ascii="宋体" w:hAnsi="宋体" w:cs="TimesNewRomanPSMT"/>
                <w:color w:val="auto"/>
                <w:kern w:val="0"/>
                <w:szCs w:val="21"/>
                <w:highlight w:val="none"/>
                <w:lang w:val="en-US" w:eastAsia="zh-CN"/>
              </w:rPr>
              <w:t>2</w:t>
            </w:r>
            <w:r>
              <w:rPr>
                <w:rFonts w:hint="eastAsia" w:ascii="宋体" w:hAnsi="宋体" w:cs="TimesNewRomanPSMT"/>
                <w:color w:val="auto"/>
                <w:kern w:val="0"/>
                <w:szCs w:val="21"/>
                <w:highlight w:val="none"/>
              </w:rPr>
              <w:t>名</w:t>
            </w:r>
          </w:p>
        </w:tc>
        <w:tc>
          <w:tcPr>
            <w:tcW w:w="4829" w:type="dxa"/>
            <w:tcBorders>
              <w:top w:val="single" w:color="auto" w:sz="4" w:space="0"/>
              <w:left w:val="single" w:color="auto" w:sz="4" w:space="0"/>
              <w:bottom w:val="single" w:color="auto" w:sz="4" w:space="0"/>
              <w:right w:val="single" w:color="auto" w:sz="4" w:space="0"/>
            </w:tcBorders>
            <w:noWrap w:val="0"/>
            <w:vAlign w:val="top"/>
          </w:tcPr>
          <w:p w14:paraId="06140D81">
            <w:pPr>
              <w:rPr>
                <w:rFonts w:hint="eastAsia" w:ascii="宋体" w:hAnsi="宋体" w:eastAsia="宋体" w:cs="TimesNewRomanPSMT"/>
                <w:color w:val="auto"/>
                <w:kern w:val="0"/>
                <w:szCs w:val="21"/>
                <w:highlight w:val="none"/>
                <w:lang w:eastAsia="zh-CN"/>
              </w:rPr>
            </w:pPr>
            <w:r>
              <w:rPr>
                <w:rFonts w:hint="eastAsia" w:ascii="宋体" w:hAnsi="宋体" w:cs="TimesNewRomanPSMT"/>
                <w:color w:val="auto"/>
                <w:kern w:val="0"/>
                <w:szCs w:val="21"/>
                <w:highlight w:val="none"/>
              </w:rPr>
              <w:t>省级及以上注册监理工程师执业资格（提供注册证 书或专业监理工程师培训合格证、培训学时证明）</w:t>
            </w:r>
            <w:r>
              <w:rPr>
                <w:rFonts w:hint="eastAsia" w:ascii="宋体" w:hAnsi="宋体" w:cs="TimesNewRomanPSMT"/>
                <w:color w:val="auto"/>
                <w:kern w:val="0"/>
                <w:szCs w:val="21"/>
                <w:highlight w:val="none"/>
                <w:lang w:eastAsia="zh-CN"/>
              </w:rPr>
              <w:t>，市政和机电安装专业各</w:t>
            </w:r>
            <w:r>
              <w:rPr>
                <w:rFonts w:hint="eastAsia" w:ascii="宋体" w:hAnsi="宋体" w:cs="TimesNewRomanPSMT"/>
                <w:color w:val="auto"/>
                <w:kern w:val="0"/>
                <w:szCs w:val="21"/>
                <w:highlight w:val="none"/>
                <w:lang w:val="en-US" w:eastAsia="zh-CN"/>
              </w:rPr>
              <w:t>1人，</w:t>
            </w:r>
            <w:r>
              <w:rPr>
                <w:rFonts w:hint="eastAsia" w:ascii="宋体" w:hAnsi="宋体" w:cs="TimesNewRomanPSMT"/>
                <w:b/>
                <w:bCs/>
                <w:i/>
                <w:iCs/>
                <w:color w:val="auto"/>
                <w:kern w:val="0"/>
                <w:szCs w:val="21"/>
                <w:highlight w:val="none"/>
                <w:u w:val="single"/>
                <w:lang w:val="en-US" w:eastAsia="zh-CN"/>
              </w:rPr>
              <w:t>其中一人</w:t>
            </w:r>
            <w:r>
              <w:rPr>
                <w:rFonts w:hint="eastAsia" w:ascii="宋体" w:hAnsi="宋体" w:cs="宋体"/>
                <w:b/>
                <w:bCs/>
                <w:i/>
                <w:iCs/>
                <w:color w:val="auto"/>
                <w:kern w:val="0"/>
                <w:szCs w:val="21"/>
                <w:highlight w:val="none"/>
                <w:u w:val="single"/>
              </w:rPr>
              <w:t>须具有《工程质量检测见证取样人员岗位证书》，否则另需增加一名见证取样人员。</w:t>
            </w:r>
          </w:p>
        </w:tc>
      </w:tr>
      <w:tr w14:paraId="0F6F9204">
        <w:tblPrEx>
          <w:tblCellMar>
            <w:top w:w="0" w:type="dxa"/>
            <w:left w:w="108" w:type="dxa"/>
            <w:bottom w:w="0" w:type="dxa"/>
            <w:right w:w="108" w:type="dxa"/>
          </w:tblCellMar>
        </w:tblPrEx>
        <w:trPr>
          <w:trHeight w:val="535" w:hRule="atLeast"/>
          <w:jc w:val="center"/>
        </w:trPr>
        <w:tc>
          <w:tcPr>
            <w:tcW w:w="2137" w:type="dxa"/>
            <w:tcBorders>
              <w:top w:val="single" w:color="auto" w:sz="4" w:space="0"/>
              <w:left w:val="single" w:color="auto" w:sz="4" w:space="0"/>
              <w:bottom w:val="single" w:color="auto" w:sz="4" w:space="0"/>
              <w:right w:val="single" w:color="auto" w:sz="4" w:space="0"/>
            </w:tcBorders>
            <w:noWrap w:val="0"/>
            <w:vAlign w:val="center"/>
          </w:tcPr>
          <w:p w14:paraId="4579BAFF">
            <w:pPr>
              <w:autoSpaceDN w:val="0"/>
              <w:jc w:val="center"/>
              <w:textAlignment w:val="center"/>
              <w:rPr>
                <w:rFonts w:hint="eastAsia" w:ascii="宋体" w:hAnsi="宋体" w:cs="TimesNewRomanPSMT"/>
                <w:color w:val="auto"/>
                <w:kern w:val="0"/>
                <w:szCs w:val="21"/>
                <w:highlight w:val="none"/>
              </w:rPr>
            </w:pPr>
            <w:r>
              <w:rPr>
                <w:rFonts w:hint="eastAsia" w:ascii="宋体" w:hAnsi="宋体" w:cs="TimesNewRomanPSMT"/>
                <w:color w:val="auto"/>
                <w:kern w:val="0"/>
                <w:sz w:val="24"/>
                <w:highlight w:val="none"/>
              </w:rPr>
              <w:t>总  计</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319F393">
            <w:pPr>
              <w:autoSpaceDN w:val="0"/>
              <w:jc w:val="center"/>
              <w:textAlignment w:val="center"/>
              <w:rPr>
                <w:rFonts w:ascii="宋体" w:hAnsi="宋体" w:cs="TimesNewRomanPSMT"/>
                <w:color w:val="auto"/>
                <w:kern w:val="0"/>
                <w:szCs w:val="21"/>
                <w:highlight w:val="none"/>
              </w:rPr>
            </w:pPr>
            <w:r>
              <w:rPr>
                <w:rFonts w:ascii="宋体" w:hAnsi="宋体" w:cs="TimesNewRomanPSMT"/>
                <w:color w:val="auto"/>
                <w:kern w:val="0"/>
                <w:szCs w:val="21"/>
                <w:highlight w:val="none"/>
              </w:rPr>
              <w:t>3</w:t>
            </w:r>
            <w:r>
              <w:rPr>
                <w:rFonts w:hint="eastAsia" w:ascii="宋体" w:hAnsi="宋体" w:cs="TimesNewRomanPSMT"/>
                <w:color w:val="auto"/>
                <w:kern w:val="0"/>
                <w:szCs w:val="21"/>
                <w:highlight w:val="none"/>
              </w:rPr>
              <w:t>名</w:t>
            </w:r>
          </w:p>
        </w:tc>
        <w:tc>
          <w:tcPr>
            <w:tcW w:w="4829" w:type="dxa"/>
            <w:tcBorders>
              <w:top w:val="single" w:color="auto" w:sz="4" w:space="0"/>
              <w:left w:val="single" w:color="auto" w:sz="4" w:space="0"/>
              <w:bottom w:val="single" w:color="auto" w:sz="4" w:space="0"/>
              <w:right w:val="single" w:color="auto" w:sz="4" w:space="0"/>
            </w:tcBorders>
            <w:noWrap w:val="0"/>
            <w:vAlign w:val="top"/>
          </w:tcPr>
          <w:p w14:paraId="2BF8F456">
            <w:pPr>
              <w:rPr>
                <w:rFonts w:hint="eastAsia" w:ascii="宋体" w:hAnsi="宋体" w:cs="TimesNewRomanPSMT"/>
                <w:color w:val="auto"/>
                <w:kern w:val="0"/>
                <w:szCs w:val="21"/>
                <w:highlight w:val="none"/>
              </w:rPr>
            </w:pPr>
          </w:p>
        </w:tc>
      </w:tr>
    </w:tbl>
    <w:p w14:paraId="7028B4C9">
      <w:pPr>
        <w:autoSpaceDE w:val="0"/>
        <w:autoSpaceDN w:val="0"/>
        <w:spacing w:line="440" w:lineRule="exact"/>
        <w:ind w:firstLine="442" w:firstLineChars="200"/>
        <w:jc w:val="left"/>
        <w:rPr>
          <w:rFonts w:ascii="宋体" w:hAnsi="宋体" w:cs="宋体"/>
          <w:color w:val="auto"/>
          <w:kern w:val="0"/>
          <w:sz w:val="22"/>
          <w:szCs w:val="22"/>
          <w:highlight w:val="none"/>
          <w:u w:val="single"/>
        </w:rPr>
      </w:pPr>
      <w:r>
        <w:rPr>
          <w:rFonts w:hint="eastAsia" w:ascii="宋体" w:hAnsi="宋体" w:cs="宋体"/>
          <w:b/>
          <w:bCs/>
          <w:color w:val="auto"/>
          <w:kern w:val="0"/>
          <w:sz w:val="22"/>
          <w:szCs w:val="22"/>
          <w:highlight w:val="none"/>
          <w:u w:val="single"/>
        </w:rPr>
        <w:t>注：以上人员配备为最低限度要求，中标后监理单位必须无条件接受招标人因现场情况和工程进度的要求增加或更换监理人员。</w:t>
      </w:r>
      <w:r>
        <w:rPr>
          <w:rFonts w:hint="eastAsia" w:ascii="宋体" w:hAnsi="宋体" w:cs="宋体"/>
          <w:b/>
          <w:color w:val="auto"/>
          <w:kern w:val="0"/>
          <w:sz w:val="22"/>
          <w:szCs w:val="22"/>
          <w:highlight w:val="none"/>
          <w:u w:val="single"/>
        </w:rPr>
        <w:t>本项目拟派所有监理人员必须为投标单位正式人员。</w:t>
      </w:r>
    </w:p>
    <w:p w14:paraId="31C239EC">
      <w:pPr>
        <w:pStyle w:val="4"/>
        <w:spacing w:line="440" w:lineRule="exact"/>
        <w:rPr>
          <w:rFonts w:ascii="宋体" w:hAnsi="宋体" w:eastAsia="宋体" w:cs="宋体"/>
          <w:b/>
          <w:color w:val="auto"/>
          <w:sz w:val="22"/>
          <w:szCs w:val="22"/>
          <w:highlight w:val="none"/>
        </w:rPr>
      </w:pPr>
      <w:bookmarkStart w:id="16" w:name="_Toc7834"/>
      <w:bookmarkStart w:id="17" w:name="_Toc497463997"/>
      <w:r>
        <w:rPr>
          <w:rFonts w:hint="eastAsia" w:ascii="宋体" w:hAnsi="宋体" w:eastAsia="宋体" w:cs="宋体"/>
          <w:b/>
          <w:color w:val="auto"/>
          <w:sz w:val="22"/>
          <w:szCs w:val="22"/>
          <w:highlight w:val="none"/>
        </w:rPr>
        <w:t>1.5 费用承担</w:t>
      </w:r>
      <w:bookmarkEnd w:id="16"/>
      <w:bookmarkEnd w:id="17"/>
    </w:p>
    <w:p w14:paraId="1863858F">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1.5.1</w:t>
      </w:r>
      <w:r>
        <w:rPr>
          <w:rFonts w:hint="eastAsia" w:ascii="宋体" w:hAnsi="宋体" w:cs="宋体"/>
          <w:color w:val="auto"/>
          <w:kern w:val="0"/>
          <w:sz w:val="22"/>
          <w:szCs w:val="22"/>
          <w:highlight w:val="none"/>
        </w:rPr>
        <w:t>本项目招标代理服务费2000元及专家评审费（具体以实际支出为准）由中标单位支付，投标单位在报价时需综合考虑此费用，此费用在领取中标通知书之前一次性支付给招标代理机构。</w:t>
      </w:r>
    </w:p>
    <w:p w14:paraId="4793B5CC">
      <w:pPr>
        <w:autoSpaceDE w:val="0"/>
        <w:autoSpaceDN w:val="0"/>
        <w:spacing w:line="44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1.5.2</w:t>
      </w:r>
      <w:r>
        <w:rPr>
          <w:rFonts w:hint="eastAsia" w:ascii="宋体" w:hAnsi="宋体" w:cs="宋体"/>
          <w:color w:val="auto"/>
          <w:kern w:val="0"/>
          <w:sz w:val="22"/>
          <w:szCs w:val="22"/>
          <w:highlight w:val="none"/>
        </w:rPr>
        <w:t>投标人应承担其编制投标文件以及递交投标文件所涉及的一切费用。无论投标结果如何，招标人对上述费用不负任何责任。</w:t>
      </w:r>
    </w:p>
    <w:p w14:paraId="1CD97946">
      <w:pPr>
        <w:pStyle w:val="4"/>
        <w:spacing w:line="440" w:lineRule="exact"/>
        <w:rPr>
          <w:rFonts w:ascii="宋体" w:hAnsi="宋体" w:eastAsia="宋体" w:cs="宋体"/>
          <w:b/>
          <w:color w:val="auto"/>
          <w:sz w:val="22"/>
          <w:szCs w:val="22"/>
          <w:highlight w:val="none"/>
        </w:rPr>
      </w:pPr>
      <w:bookmarkStart w:id="18" w:name="_Toc1167"/>
      <w:bookmarkStart w:id="19" w:name="_Toc497463998"/>
      <w:r>
        <w:rPr>
          <w:rFonts w:hint="eastAsia" w:ascii="宋体" w:hAnsi="宋体" w:eastAsia="宋体" w:cs="宋体"/>
          <w:b/>
          <w:color w:val="auto"/>
          <w:sz w:val="22"/>
          <w:szCs w:val="22"/>
          <w:highlight w:val="none"/>
        </w:rPr>
        <w:t>1.6 保密</w:t>
      </w:r>
      <w:bookmarkEnd w:id="18"/>
      <w:bookmarkEnd w:id="19"/>
    </w:p>
    <w:p w14:paraId="5E0C4D78">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参与招标投标活动的各方应对招标文件和投标文件中的商业和技术等秘密保密，违者应对由此造成的后果承担法律责任。</w:t>
      </w:r>
    </w:p>
    <w:p w14:paraId="2FA1EF65">
      <w:pPr>
        <w:pStyle w:val="4"/>
        <w:spacing w:line="440" w:lineRule="exact"/>
        <w:rPr>
          <w:rFonts w:ascii="宋体" w:hAnsi="宋体" w:eastAsia="宋体" w:cs="宋体"/>
          <w:b/>
          <w:color w:val="auto"/>
          <w:sz w:val="22"/>
          <w:szCs w:val="22"/>
          <w:highlight w:val="none"/>
        </w:rPr>
      </w:pPr>
      <w:bookmarkStart w:id="20" w:name="_Toc497463999"/>
      <w:bookmarkStart w:id="21" w:name="_Toc31924"/>
      <w:r>
        <w:rPr>
          <w:rFonts w:hint="eastAsia" w:ascii="宋体" w:hAnsi="宋体" w:eastAsia="宋体" w:cs="宋体"/>
          <w:b/>
          <w:color w:val="auto"/>
          <w:sz w:val="22"/>
          <w:szCs w:val="22"/>
          <w:highlight w:val="none"/>
        </w:rPr>
        <w:t>1.7 语言文字</w:t>
      </w:r>
      <w:bookmarkEnd w:id="20"/>
      <w:bookmarkEnd w:id="21"/>
    </w:p>
    <w:p w14:paraId="481AFB95">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除专用术语外，与招标投标有关的语言均使用简体中文。必要时专用术语应附有中文注释。</w:t>
      </w:r>
    </w:p>
    <w:p w14:paraId="78C7B2B5">
      <w:pPr>
        <w:pStyle w:val="4"/>
        <w:spacing w:line="440" w:lineRule="exact"/>
        <w:rPr>
          <w:rFonts w:ascii="宋体" w:hAnsi="宋体" w:eastAsia="宋体" w:cs="宋体"/>
          <w:b/>
          <w:color w:val="auto"/>
          <w:sz w:val="22"/>
          <w:szCs w:val="22"/>
          <w:highlight w:val="none"/>
        </w:rPr>
      </w:pPr>
      <w:bookmarkStart w:id="22" w:name="_Toc497464000"/>
      <w:bookmarkStart w:id="23" w:name="_Toc3753"/>
      <w:r>
        <w:rPr>
          <w:rFonts w:hint="eastAsia" w:ascii="宋体" w:hAnsi="宋体" w:eastAsia="宋体" w:cs="宋体"/>
          <w:b/>
          <w:color w:val="auto"/>
          <w:sz w:val="22"/>
          <w:szCs w:val="22"/>
          <w:highlight w:val="none"/>
        </w:rPr>
        <w:t>1.8 计量单位</w:t>
      </w:r>
      <w:bookmarkEnd w:id="22"/>
      <w:bookmarkEnd w:id="23"/>
    </w:p>
    <w:p w14:paraId="1ECAFC22">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所有计量均采用中华人民共和国法定计量单位。</w:t>
      </w:r>
    </w:p>
    <w:p w14:paraId="0D350650">
      <w:pPr>
        <w:pStyle w:val="4"/>
        <w:spacing w:line="440" w:lineRule="exact"/>
        <w:rPr>
          <w:rFonts w:ascii="宋体" w:hAnsi="宋体" w:eastAsia="宋体" w:cs="宋体"/>
          <w:b/>
          <w:color w:val="auto"/>
          <w:sz w:val="22"/>
          <w:szCs w:val="22"/>
          <w:highlight w:val="none"/>
        </w:rPr>
      </w:pPr>
      <w:bookmarkStart w:id="24" w:name="_Toc16457"/>
      <w:bookmarkStart w:id="25" w:name="_Toc497464001"/>
      <w:r>
        <w:rPr>
          <w:rFonts w:hint="eastAsia" w:ascii="宋体" w:hAnsi="宋体" w:eastAsia="宋体" w:cs="宋体"/>
          <w:b/>
          <w:color w:val="auto"/>
          <w:sz w:val="22"/>
          <w:szCs w:val="22"/>
          <w:highlight w:val="none"/>
        </w:rPr>
        <w:t>1.9 踏勘现场</w:t>
      </w:r>
      <w:bookmarkEnd w:id="24"/>
      <w:bookmarkEnd w:id="25"/>
    </w:p>
    <w:p w14:paraId="1B34B052">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1.9.1招标人不组织投标人踏勘现场，投标人可以自行对工程施工现场和周围环境进行勘察，以获取编制投标文件和签署合同所需的所有资料。施工现场的联系方式见须知前附表。</w:t>
      </w:r>
    </w:p>
    <w:p w14:paraId="531DD338">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1.9.2 投标人踏勘现场发生的费用自理。</w:t>
      </w:r>
    </w:p>
    <w:p w14:paraId="3B4FEC99">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1.9.3 除招标人的原因外，投标人自行负责在踏勘现场中所发生的人员伤亡和财产损失。</w:t>
      </w:r>
    </w:p>
    <w:p w14:paraId="6E72EA49">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1.9.4 招标人向投标人提供的有关施工现场的资料和数据是招标人现有的能使投标人利用的资料。招标人对投标人由此而作出的推论、理解和结论概不负责。</w:t>
      </w:r>
    </w:p>
    <w:p w14:paraId="006C1DFD">
      <w:pPr>
        <w:pStyle w:val="4"/>
        <w:spacing w:line="440" w:lineRule="exact"/>
        <w:rPr>
          <w:rFonts w:ascii="宋体" w:hAnsi="宋体" w:eastAsia="宋体" w:cs="宋体"/>
          <w:b/>
          <w:color w:val="auto"/>
          <w:sz w:val="22"/>
          <w:szCs w:val="22"/>
          <w:highlight w:val="none"/>
        </w:rPr>
      </w:pPr>
      <w:bookmarkStart w:id="26" w:name="_Toc12512"/>
      <w:bookmarkStart w:id="27" w:name="_Toc497464002"/>
      <w:r>
        <w:rPr>
          <w:rFonts w:hint="eastAsia" w:ascii="宋体" w:hAnsi="宋体" w:eastAsia="宋体" w:cs="宋体"/>
          <w:b/>
          <w:color w:val="auto"/>
          <w:sz w:val="22"/>
          <w:szCs w:val="22"/>
          <w:highlight w:val="none"/>
        </w:rPr>
        <w:t>1.10 投标预备会</w:t>
      </w:r>
      <w:bookmarkEnd w:id="26"/>
      <w:bookmarkEnd w:id="27"/>
    </w:p>
    <w:p w14:paraId="670BA507">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1.10.1 投标人须知前附表规定召开投标预备会的，招标人按投标人须知前附表规定的时间和地点召开投标预备会，澄清投标人提出的问题。</w:t>
      </w:r>
    </w:p>
    <w:p w14:paraId="4417D124">
      <w:pPr>
        <w:pStyle w:val="3"/>
        <w:spacing w:line="440" w:lineRule="exact"/>
        <w:rPr>
          <w:rFonts w:ascii="宋体" w:hAnsi="宋体" w:eastAsia="宋体" w:cs="宋体"/>
          <w:b/>
          <w:color w:val="auto"/>
          <w:sz w:val="22"/>
          <w:szCs w:val="22"/>
          <w:highlight w:val="none"/>
        </w:rPr>
      </w:pPr>
      <w:bookmarkStart w:id="28" w:name="_Toc497464003"/>
      <w:bookmarkStart w:id="29" w:name="_Toc23275"/>
      <w:r>
        <w:rPr>
          <w:rFonts w:hint="eastAsia" w:ascii="宋体" w:hAnsi="宋体" w:eastAsia="宋体" w:cs="宋体"/>
          <w:b/>
          <w:color w:val="auto"/>
          <w:sz w:val="22"/>
          <w:szCs w:val="22"/>
          <w:highlight w:val="none"/>
        </w:rPr>
        <w:t>2  招标文件</w:t>
      </w:r>
      <w:bookmarkEnd w:id="28"/>
      <w:bookmarkEnd w:id="29"/>
    </w:p>
    <w:p w14:paraId="2CDE7FBE">
      <w:pPr>
        <w:pStyle w:val="4"/>
        <w:spacing w:line="440" w:lineRule="exact"/>
        <w:rPr>
          <w:rFonts w:ascii="宋体" w:hAnsi="宋体" w:eastAsia="宋体" w:cs="宋体"/>
          <w:b/>
          <w:color w:val="auto"/>
          <w:sz w:val="22"/>
          <w:szCs w:val="22"/>
          <w:highlight w:val="none"/>
        </w:rPr>
      </w:pPr>
      <w:bookmarkStart w:id="30" w:name="_Toc497464004"/>
      <w:bookmarkStart w:id="31" w:name="_Toc1226"/>
      <w:r>
        <w:rPr>
          <w:rFonts w:hint="eastAsia" w:ascii="宋体" w:hAnsi="宋体" w:eastAsia="宋体" w:cs="宋体"/>
          <w:b/>
          <w:color w:val="auto"/>
          <w:sz w:val="22"/>
          <w:szCs w:val="22"/>
          <w:highlight w:val="none"/>
        </w:rPr>
        <w:t>2.1 招标文件的组成</w:t>
      </w:r>
      <w:bookmarkEnd w:id="30"/>
      <w:bookmarkEnd w:id="31"/>
    </w:p>
    <w:p w14:paraId="0EA6D2E9">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2.1.1 本招标文件包括：</w:t>
      </w:r>
    </w:p>
    <w:p w14:paraId="12F9E6F9">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（1）招标公告；</w:t>
      </w:r>
    </w:p>
    <w:p w14:paraId="248B98B1">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（2）投标人须知；</w:t>
      </w:r>
    </w:p>
    <w:p w14:paraId="12B7D1F1">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（3）评标办法；</w:t>
      </w:r>
    </w:p>
    <w:p w14:paraId="34056169">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（4）合同条款及格式；</w:t>
      </w:r>
    </w:p>
    <w:p w14:paraId="5F7CAAE9">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（5）技术资料和文件；</w:t>
      </w:r>
    </w:p>
    <w:p w14:paraId="3AE5AFEF">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（6）投标文件格式；</w:t>
      </w:r>
    </w:p>
    <w:p w14:paraId="4F34F650">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（7）投标人须知前附表规定的其他材料。</w:t>
      </w:r>
    </w:p>
    <w:p w14:paraId="45C21D08">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2.1.2 根据本章第1.10款、第2.2款和第2.3款对招标文件所作的澄清、修改，构成招标文件的组成部分。当招标文件相互之间发生矛盾时，以最后发出的文件为准。</w:t>
      </w:r>
    </w:p>
    <w:p w14:paraId="5B882808">
      <w:pPr>
        <w:pStyle w:val="4"/>
        <w:spacing w:line="440" w:lineRule="exact"/>
        <w:rPr>
          <w:rFonts w:ascii="宋体" w:hAnsi="宋体" w:eastAsia="宋体" w:cs="宋体"/>
          <w:b/>
          <w:color w:val="auto"/>
          <w:sz w:val="22"/>
          <w:szCs w:val="22"/>
          <w:highlight w:val="none"/>
        </w:rPr>
      </w:pPr>
      <w:bookmarkStart w:id="32" w:name="_Toc31965"/>
      <w:bookmarkStart w:id="33" w:name="_Toc497464005"/>
      <w:r>
        <w:rPr>
          <w:rFonts w:hint="eastAsia" w:ascii="宋体" w:hAnsi="宋体" w:eastAsia="宋体" w:cs="宋体"/>
          <w:b/>
          <w:color w:val="auto"/>
          <w:sz w:val="22"/>
          <w:szCs w:val="22"/>
          <w:highlight w:val="none"/>
        </w:rPr>
        <w:t>2.2 招标文件的澄清</w:t>
      </w:r>
      <w:bookmarkEnd w:id="32"/>
      <w:bookmarkEnd w:id="33"/>
    </w:p>
    <w:p w14:paraId="57DDC431">
      <w:pPr>
        <w:spacing w:line="440" w:lineRule="exact"/>
        <w:ind w:firstLine="440" w:firstLineChars="200"/>
        <w:rPr>
          <w:rFonts w:ascii="宋体" w:hAnsi="宋体" w:cs="宋体"/>
          <w:color w:val="auto"/>
          <w:sz w:val="22"/>
          <w:szCs w:val="22"/>
          <w:highlight w:val="none"/>
        </w:rPr>
      </w:pPr>
      <w:bookmarkStart w:id="34" w:name="_Toc497464006"/>
      <w:r>
        <w:rPr>
          <w:rFonts w:hint="eastAsia" w:ascii="宋体" w:hAnsi="宋体" w:cs="宋体"/>
          <w:color w:val="auto"/>
          <w:sz w:val="22"/>
          <w:szCs w:val="22"/>
          <w:highlight w:val="none"/>
        </w:rPr>
        <w:t>2.2.1 投标人从南通市崇川区人民政府网-我要看-公示公告栏下载招标文件后应仔细阅读和检查招标文件的全部内容。如发现缺页或附件不全，应及时向招标人提出，以便补齐。如有疑问，应在投标人须知前附表规定的时间前要求招标人对招标文件予以澄清。</w:t>
      </w:r>
    </w:p>
    <w:p w14:paraId="01A7E209">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2.2.2招标人不组织集中答疑，投标人如对招标公告、招标文件等文件存在前后矛盾，部分条款说明不清、存在歧义、违反相关法律法规，存在限制性条款等有疑问的应在投标人须知前附表规定的时间前向招标人提出澄清要求，以电子文件形式发送至指定邮箱526134514@qq.com(不具单位名称，不加盖单位公章）。招标人在收到疑问材料后予以解答，并将解答内容（若有）以电子文档上传至南通市崇川区人民政府网-我要看-公示公告栏，请各潜在投标人在南通市崇川区人民政府网-我要看-公示公告栏自行下载。</w:t>
      </w:r>
    </w:p>
    <w:p w14:paraId="3CC5D64E">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14:paraId="6D4EC76F">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2.2.3招标文件的澄清答疑将在投标人须知前附表规定的时间前，在南通市崇川区人民政府网-我要看-公示公告栏向所有投标人公示，但招标人不指明澄清问题的来源。</w:t>
      </w:r>
    </w:p>
    <w:p w14:paraId="649ED75E">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投标人对招标人提供的招标文件所做出的推论、解释和结论，招标人概不负责。投标人由于对招标文件的任何推论和误解均由投标人自负。</w:t>
      </w:r>
    </w:p>
    <w:p w14:paraId="7BD1DE75">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在投标截止时间3天前，招标人可以修改招标文件，并以电子文档形式在南通市崇川区人民政府网-我要看-公示公告栏发布。</w:t>
      </w:r>
    </w:p>
    <w:p w14:paraId="7AD2A8CF">
      <w:pPr>
        <w:pStyle w:val="4"/>
        <w:spacing w:line="440" w:lineRule="exact"/>
        <w:rPr>
          <w:rFonts w:ascii="宋体" w:hAnsi="宋体" w:eastAsia="宋体" w:cs="宋体"/>
          <w:b/>
          <w:color w:val="auto"/>
          <w:sz w:val="22"/>
          <w:szCs w:val="22"/>
          <w:highlight w:val="none"/>
        </w:rPr>
      </w:pPr>
      <w:bookmarkStart w:id="35" w:name="_Toc10881"/>
      <w:r>
        <w:rPr>
          <w:rFonts w:hint="eastAsia" w:ascii="宋体" w:hAnsi="宋体" w:eastAsia="宋体" w:cs="宋体"/>
          <w:b/>
          <w:color w:val="auto"/>
          <w:sz w:val="22"/>
          <w:szCs w:val="22"/>
          <w:highlight w:val="none"/>
        </w:rPr>
        <w:t>2.3 招标文件的修改和补充</w:t>
      </w:r>
      <w:bookmarkEnd w:id="34"/>
      <w:bookmarkEnd w:id="35"/>
    </w:p>
    <w:p w14:paraId="670E976D">
      <w:pPr>
        <w:tabs>
          <w:tab w:val="left" w:pos="2410"/>
        </w:tabs>
        <w:spacing w:line="440" w:lineRule="exact"/>
        <w:ind w:firstLine="480"/>
        <w:rPr>
          <w:rFonts w:ascii="宋体" w:hAnsi="宋体" w:cs="宋体"/>
          <w:color w:val="auto"/>
          <w:sz w:val="22"/>
          <w:szCs w:val="22"/>
          <w:highlight w:val="none"/>
        </w:rPr>
      </w:pPr>
      <w:bookmarkStart w:id="36" w:name="_Toc497464007"/>
      <w:r>
        <w:rPr>
          <w:rFonts w:hint="eastAsia" w:ascii="宋体" w:hAnsi="宋体" w:cs="宋体"/>
          <w:color w:val="auto"/>
          <w:sz w:val="22"/>
          <w:szCs w:val="22"/>
          <w:highlight w:val="none"/>
        </w:rPr>
        <w:t>2.3.1招标文件发布后，在投标截止期前，确需对招标文件进行修改的，招标人以招标文件澄清、答疑方式，经南通市崇川区人民政府网-我要看-公示公告栏向所有投标人公示。</w:t>
      </w:r>
    </w:p>
    <w:p w14:paraId="606223E9">
      <w:pPr>
        <w:tabs>
          <w:tab w:val="left" w:pos="2410"/>
        </w:tabs>
        <w:spacing w:line="44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2.3.2招标人在投标截止期前对招标文件的所作澄清、答疑、修改作为招标文件的组成部分，对招标人、投标人均具有约束力。如果对招标文件澄清或答疑或修改时间距投标截止时间不足3天且影响投标文件编制的，招标人应合理延长递交投标文件的截止日期。</w:t>
      </w:r>
    </w:p>
    <w:p w14:paraId="19CBDF83">
      <w:pPr>
        <w:tabs>
          <w:tab w:val="left" w:pos="2410"/>
        </w:tabs>
        <w:spacing w:line="44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2.3.3本工程采用电子答疑，招标人对招标文件的所作澄清、答疑、修改均以南通市崇川区人民政府网-我要看-公示公告栏上公布的内容为准。招标文件的答疑内容前后期相互矛盾时，以公示时间在后的文件为准。投标人应在投标截止时间前随时查看南通市崇川区人民政府网-我要看-公示公告栏中有关该工程招标文件的答疑内容。投标人因自身原因未能及时掌握上述网上公示信息，由此造成投标损失自负。</w:t>
      </w:r>
    </w:p>
    <w:p w14:paraId="1FED42F5">
      <w:pPr>
        <w:pStyle w:val="3"/>
        <w:spacing w:line="440" w:lineRule="exact"/>
        <w:rPr>
          <w:rFonts w:ascii="宋体" w:hAnsi="宋体" w:eastAsia="宋体" w:cs="宋体"/>
          <w:b/>
          <w:color w:val="auto"/>
          <w:sz w:val="22"/>
          <w:szCs w:val="22"/>
          <w:highlight w:val="none"/>
        </w:rPr>
      </w:pPr>
      <w:bookmarkStart w:id="37" w:name="_Toc15149"/>
      <w:r>
        <w:rPr>
          <w:rFonts w:hint="eastAsia" w:ascii="宋体" w:hAnsi="宋体" w:eastAsia="宋体" w:cs="宋体"/>
          <w:b/>
          <w:color w:val="auto"/>
          <w:sz w:val="22"/>
          <w:szCs w:val="22"/>
          <w:highlight w:val="none"/>
        </w:rPr>
        <w:t>3  投标文件</w:t>
      </w:r>
      <w:bookmarkEnd w:id="36"/>
      <w:bookmarkEnd w:id="37"/>
    </w:p>
    <w:p w14:paraId="74A47DB2">
      <w:pPr>
        <w:pStyle w:val="4"/>
        <w:spacing w:line="440" w:lineRule="exact"/>
        <w:rPr>
          <w:rFonts w:ascii="宋体" w:hAnsi="宋体" w:eastAsia="宋体" w:cs="宋体"/>
          <w:b/>
          <w:color w:val="auto"/>
          <w:sz w:val="22"/>
          <w:szCs w:val="22"/>
          <w:highlight w:val="none"/>
        </w:rPr>
      </w:pPr>
      <w:bookmarkStart w:id="38" w:name="_Toc497464008"/>
      <w:bookmarkStart w:id="39" w:name="_Toc27344"/>
      <w:r>
        <w:rPr>
          <w:rFonts w:hint="eastAsia" w:ascii="宋体" w:hAnsi="宋体" w:eastAsia="宋体" w:cs="宋体"/>
          <w:b/>
          <w:color w:val="auto"/>
          <w:sz w:val="22"/>
          <w:szCs w:val="22"/>
          <w:highlight w:val="none"/>
        </w:rPr>
        <w:t>3.1 投标文件的组成</w:t>
      </w:r>
      <w:bookmarkEnd w:id="38"/>
      <w:bookmarkEnd w:id="39"/>
    </w:p>
    <w:p w14:paraId="7352FA71">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本工程投标文件由</w:t>
      </w:r>
      <w:r>
        <w:rPr>
          <w:rFonts w:hint="eastAsia" w:ascii="宋体" w:hAnsi="宋体" w:cs="宋体"/>
          <w:b/>
          <w:color w:val="auto"/>
          <w:sz w:val="22"/>
          <w:szCs w:val="22"/>
          <w:highlight w:val="none"/>
          <w:u w:val="single"/>
        </w:rPr>
        <w:t>资格审查文件、商务标</w:t>
      </w:r>
      <w:r>
        <w:rPr>
          <w:rFonts w:hint="eastAsia" w:ascii="宋体" w:hAnsi="宋体" w:cs="宋体"/>
          <w:bCs/>
          <w:color w:val="auto"/>
          <w:sz w:val="22"/>
          <w:szCs w:val="22"/>
          <w:highlight w:val="none"/>
        </w:rPr>
        <w:t>两</w:t>
      </w:r>
      <w:r>
        <w:rPr>
          <w:rFonts w:hint="eastAsia" w:ascii="宋体" w:hAnsi="宋体" w:cs="宋体"/>
          <w:color w:val="auto"/>
          <w:sz w:val="22"/>
          <w:szCs w:val="22"/>
          <w:highlight w:val="none"/>
        </w:rPr>
        <w:t>部分组成，具体应包括以下内容：</w:t>
      </w:r>
    </w:p>
    <w:p w14:paraId="3B98365E">
      <w:pPr>
        <w:spacing w:line="44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3.1.1.资格审查文件包括内容：</w:t>
      </w:r>
    </w:p>
    <w:p w14:paraId="3DE47E43">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(1)法定代表人身份证明原件；</w:t>
      </w:r>
    </w:p>
    <w:p w14:paraId="288999B3">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(2)法人授权委托书原件；（如有授权）</w:t>
      </w:r>
    </w:p>
    <w:p w14:paraId="38057CC8">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(3)有效的企业法人营业执照复印件;</w:t>
      </w:r>
    </w:p>
    <w:p w14:paraId="7CD505F3">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(4)有效的企业资质证书复印件；</w:t>
      </w:r>
    </w:p>
    <w:p w14:paraId="0CE821A3">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(5)拟派项目总监的</w:t>
      </w:r>
      <w:r>
        <w:rPr>
          <w:rFonts w:hint="eastAsia" w:ascii="宋体" w:hAnsi="宋体" w:cs="宋体"/>
          <w:color w:val="auto"/>
          <w:sz w:val="22"/>
          <w:szCs w:val="22"/>
          <w:highlight w:val="none"/>
          <w:lang w:val="en-US" w:eastAsia="zh-CN"/>
        </w:rPr>
        <w:t>监理工程师执业证书与注册</w:t>
      </w:r>
      <w:r>
        <w:rPr>
          <w:rFonts w:hint="eastAsia" w:ascii="宋体" w:hAnsi="宋体" w:cs="宋体"/>
          <w:color w:val="auto"/>
          <w:sz w:val="22"/>
          <w:szCs w:val="22"/>
          <w:highlight w:val="none"/>
        </w:rPr>
        <w:t>证书复印件；</w:t>
      </w:r>
    </w:p>
    <w:p w14:paraId="49640459">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(6)拟派的总监理工程师与投标企业签订的有效劳动合同复印件</w:t>
      </w:r>
      <w:r>
        <w:rPr>
          <w:rFonts w:hint="eastAsia" w:ascii="宋体" w:hAnsi="宋体" w:cs="宋体"/>
          <w:color w:val="auto"/>
          <w:sz w:val="22"/>
          <w:szCs w:val="22"/>
          <w:highlight w:val="none"/>
          <w:lang w:val="en-US" w:eastAsia="zh-CN"/>
        </w:rPr>
        <w:t>及近三个月（不含投标当月）任意一个月的社会保险缴纳记录凭证</w:t>
      </w:r>
      <w:r>
        <w:rPr>
          <w:rFonts w:hint="eastAsia" w:ascii="宋体" w:hAnsi="宋体" w:cs="宋体"/>
          <w:color w:val="auto"/>
          <w:sz w:val="22"/>
          <w:szCs w:val="22"/>
          <w:highlight w:val="none"/>
        </w:rPr>
        <w:t>；</w:t>
      </w:r>
    </w:p>
    <w:p w14:paraId="3AFE0CE1">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w:t>
      </w:r>
      <w:r>
        <w:rPr>
          <w:rFonts w:hint="eastAsia" w:ascii="宋体" w:hAnsi="宋体" w:cs="宋体"/>
          <w:color w:val="auto"/>
          <w:sz w:val="22"/>
          <w:szCs w:val="22"/>
          <w:highlight w:val="none"/>
          <w:lang w:val="en-US" w:eastAsia="zh-CN"/>
        </w:rPr>
        <w:t>拟派项目组人员一览表（格式自拟）；</w:t>
      </w:r>
    </w:p>
    <w:p w14:paraId="15982375">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(8)有效的诚信承诺书原件。</w:t>
      </w:r>
    </w:p>
    <w:p w14:paraId="4BDDC52D">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(9)有效的超期费用承诺书原件。</w:t>
      </w:r>
    </w:p>
    <w:p w14:paraId="226C5CE8">
      <w:pPr>
        <w:spacing w:line="440" w:lineRule="exact"/>
        <w:ind w:firstLine="442" w:firstLineChars="200"/>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具体要求详见本招标文件第三章中《资格审查汇总表》。提供的资格审查材料及审查标准，前后矛盾的以《资格审查汇总表》为准。</w:t>
      </w:r>
    </w:p>
    <w:p w14:paraId="6FEF4143">
      <w:pPr>
        <w:spacing w:line="440" w:lineRule="exact"/>
        <w:ind w:firstLine="442" w:firstLineChars="200"/>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以上复印件须为有效原件的复印件并加盖投标单位公章，所有材料须统一密封在一个封袋中，并在封袋上加盖投标单位公章和法定代表人印章。</w:t>
      </w:r>
    </w:p>
    <w:p w14:paraId="501C4D19">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3.1.2商务标</w:t>
      </w:r>
    </w:p>
    <w:p w14:paraId="4538C728">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（1）投标函（格式详见第六章投标函）；</w:t>
      </w:r>
    </w:p>
    <w:p w14:paraId="1CEA7C31">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3.1.3招标文件提供的文件格式(第六章)投标人必须使用。但表式可以按同样格式进行扩展。</w:t>
      </w:r>
    </w:p>
    <w:p w14:paraId="36A46CFD">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3.1.4 投标文件正本须用不能擦去的墨水书写或打印，投标文件副本可以复印，其正、副本都应装订成册，并在封面上正确标明“正本”、“副本”字样。资格审查文件、商务标分开装袋密封。</w:t>
      </w:r>
    </w:p>
    <w:p w14:paraId="0C51A65F">
      <w:pPr>
        <w:tabs>
          <w:tab w:val="left" w:pos="2410"/>
        </w:tabs>
        <w:spacing w:line="44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全套投标文件应无修改和行间插字。如有修改，须在修改处加盖投标人法定代表人或其代理人的印鉴。</w:t>
      </w:r>
    </w:p>
    <w:p w14:paraId="3A0B4666">
      <w:pPr>
        <w:pStyle w:val="4"/>
        <w:spacing w:line="440" w:lineRule="exact"/>
        <w:rPr>
          <w:rFonts w:ascii="宋体" w:hAnsi="宋体" w:eastAsia="宋体" w:cs="宋体"/>
          <w:b/>
          <w:color w:val="auto"/>
          <w:sz w:val="22"/>
          <w:szCs w:val="22"/>
          <w:highlight w:val="none"/>
        </w:rPr>
      </w:pPr>
      <w:bookmarkStart w:id="40" w:name="_Toc497464009"/>
      <w:bookmarkStart w:id="41" w:name="_Toc13714"/>
      <w:bookmarkStart w:id="42" w:name="_Toc27558"/>
      <w:bookmarkStart w:id="43" w:name="_Toc24988"/>
      <w:r>
        <w:rPr>
          <w:rFonts w:hint="eastAsia" w:ascii="宋体" w:hAnsi="宋体" w:eastAsia="宋体" w:cs="宋体"/>
          <w:b/>
          <w:color w:val="auto"/>
          <w:sz w:val="22"/>
          <w:szCs w:val="22"/>
          <w:highlight w:val="none"/>
        </w:rPr>
        <w:t>3.2 投标报价</w:t>
      </w:r>
      <w:bookmarkEnd w:id="40"/>
      <w:bookmarkEnd w:id="41"/>
      <w:bookmarkEnd w:id="42"/>
      <w:bookmarkEnd w:id="43"/>
    </w:p>
    <w:p w14:paraId="6822BF41">
      <w:pPr>
        <w:spacing w:line="440" w:lineRule="exact"/>
        <w:ind w:firstLine="440" w:firstLineChars="200"/>
        <w:rPr>
          <w:rFonts w:ascii="宋体" w:hAnsi="宋体" w:cs="宋体"/>
          <w:b/>
          <w:bCs/>
          <w:color w:val="auto"/>
          <w:kern w:val="0"/>
          <w:sz w:val="22"/>
          <w:szCs w:val="22"/>
          <w:highlight w:val="none"/>
        </w:rPr>
      </w:pPr>
      <w:r>
        <w:rPr>
          <w:rFonts w:hint="eastAsia" w:ascii="宋体" w:hAnsi="宋体" w:cs="宋体"/>
          <w:color w:val="auto"/>
          <w:kern w:val="0"/>
          <w:sz w:val="22"/>
          <w:szCs w:val="22"/>
          <w:highlight w:val="none"/>
        </w:rPr>
        <w:t>工程监理费报价采用固定总价报价。投标报价应包括完成招标文件所确定的委托监理的范围和监理业务的整个招标范围进行投标报价，包括全部的工期内为完成全部监理工作任务所需要的全部监理服务费（投标单位必须将交通工具、设备投入等一切费用全部考虑在内）。</w:t>
      </w:r>
    </w:p>
    <w:p w14:paraId="69303243">
      <w:pPr>
        <w:pStyle w:val="4"/>
        <w:spacing w:line="440" w:lineRule="exact"/>
        <w:rPr>
          <w:rFonts w:ascii="宋体" w:hAnsi="宋体" w:eastAsia="宋体" w:cs="宋体"/>
          <w:b/>
          <w:color w:val="auto"/>
          <w:sz w:val="22"/>
          <w:szCs w:val="22"/>
          <w:highlight w:val="none"/>
        </w:rPr>
      </w:pPr>
      <w:bookmarkStart w:id="44" w:name="_Toc497464010"/>
      <w:bookmarkStart w:id="45" w:name="_Toc23508"/>
      <w:r>
        <w:rPr>
          <w:rFonts w:hint="eastAsia" w:ascii="宋体" w:hAnsi="宋体" w:eastAsia="宋体" w:cs="宋体"/>
          <w:b/>
          <w:color w:val="auto"/>
          <w:sz w:val="22"/>
          <w:szCs w:val="22"/>
          <w:highlight w:val="none"/>
        </w:rPr>
        <w:t>3.3 投标有效期</w:t>
      </w:r>
      <w:bookmarkEnd w:id="44"/>
      <w:bookmarkEnd w:id="45"/>
    </w:p>
    <w:p w14:paraId="5F98C154">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3.3.1 投标有效期从投标人提交投标文件截止之日起计算。在投标人须知前附表规定的投标有效期内，投标人不得要求撤销或修改其投标文件。</w:t>
      </w:r>
    </w:p>
    <w:p w14:paraId="66015AAA">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3.3.2 在本招标文件规定的投标有效期结束前，出现特殊情况的，招标人可以书面形式通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14:paraId="4810A68F">
      <w:pPr>
        <w:pStyle w:val="4"/>
        <w:spacing w:line="440" w:lineRule="exact"/>
        <w:rPr>
          <w:rFonts w:ascii="宋体" w:hAnsi="宋体" w:eastAsia="宋体" w:cs="宋体"/>
          <w:b/>
          <w:color w:val="auto"/>
          <w:sz w:val="22"/>
          <w:szCs w:val="22"/>
          <w:highlight w:val="none"/>
        </w:rPr>
      </w:pPr>
      <w:bookmarkStart w:id="46" w:name="_Toc497464011"/>
      <w:bookmarkStart w:id="47" w:name="_Toc3433"/>
      <w:r>
        <w:rPr>
          <w:rFonts w:hint="eastAsia" w:ascii="宋体" w:hAnsi="宋体" w:eastAsia="宋体" w:cs="宋体"/>
          <w:b/>
          <w:color w:val="auto"/>
          <w:sz w:val="22"/>
          <w:szCs w:val="22"/>
          <w:highlight w:val="none"/>
        </w:rPr>
        <w:t>3.4 投标保证金</w:t>
      </w:r>
      <w:bookmarkEnd w:id="46"/>
      <w:bookmarkEnd w:id="47"/>
    </w:p>
    <w:p w14:paraId="1712845D">
      <w:pPr>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3.4.1投标人应按投标人须知前附表规定的金额和形式缴纳投标保证金。投标保证金应当在投标截止时间前缴纳。投标保证金的核查方式见投标人须知前附表。</w:t>
      </w:r>
    </w:p>
    <w:p w14:paraId="70430C39">
      <w:pPr>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3.4.2投标保证金退还</w:t>
      </w:r>
    </w:p>
    <w:p w14:paraId="4CC7CC08">
      <w:pPr>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3.4.2.1未中标单位的投标保证金在定标后予以退还。</w:t>
      </w:r>
    </w:p>
    <w:p w14:paraId="015FCEF5">
      <w:pPr>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3.4.2.2 中标单位的投标保证金在施工合同签订后5日内予以退还。</w:t>
      </w:r>
    </w:p>
    <w:p w14:paraId="03FCEE4A">
      <w:pPr>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3.4.2.3 投标人出现下列情况，其投标保证金一律不予退还。</w:t>
      </w:r>
    </w:p>
    <w:p w14:paraId="2A3A45FA">
      <w:pPr>
        <w:numPr>
          <w:ilvl w:val="0"/>
          <w:numId w:val="1"/>
        </w:numPr>
        <w:spacing w:line="440" w:lineRule="exact"/>
        <w:ind w:left="0"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投标人在投标有效期内撤回其投标文件；</w:t>
      </w:r>
    </w:p>
    <w:p w14:paraId="66B451DA">
      <w:pPr>
        <w:numPr>
          <w:ilvl w:val="0"/>
          <w:numId w:val="1"/>
        </w:numPr>
        <w:spacing w:line="440" w:lineRule="exact"/>
        <w:ind w:left="0"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投标人存在《江苏省房屋建筑和市政基础设施工程招标投标中串通投标和弄虚作假行为认定处理办法（试行）》（苏建规字〔2014〕2号）第四条、第五条、第六条、第七条规定的串通投标、弄虚作假等行为的；</w:t>
      </w:r>
    </w:p>
    <w:p w14:paraId="3E9F15D1">
      <w:pPr>
        <w:numPr>
          <w:ilvl w:val="0"/>
          <w:numId w:val="1"/>
        </w:numPr>
        <w:spacing w:line="440" w:lineRule="exact"/>
        <w:ind w:left="0"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不同投标人的投标文件，出现了评标委员会认为不应当雷同的情况（相同错误）的，且被评委认定为串标的。</w:t>
      </w:r>
    </w:p>
    <w:p w14:paraId="6B7E16F2">
      <w:pPr>
        <w:numPr>
          <w:ilvl w:val="0"/>
          <w:numId w:val="1"/>
        </w:numPr>
        <w:spacing w:line="440" w:lineRule="exact"/>
        <w:ind w:left="0"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投标人已签订《诚信承诺书》（详见招标文件标准格式）的，自投标之日起，领取中标通知书之日止，经举报或区招标监管机构（评标委员会）复核，有悖于《诚信承诺书》相关承诺的，且查证属实的。</w:t>
      </w:r>
    </w:p>
    <w:p w14:paraId="1209EBA1">
      <w:pPr>
        <w:numPr>
          <w:ilvl w:val="0"/>
          <w:numId w:val="1"/>
        </w:numPr>
        <w:spacing w:line="440" w:lineRule="exact"/>
        <w:ind w:left="0"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中标通知书发出后，除不可抗力情况外，中标人出现下列情形之一的，招标人必须取消其中标资格，并不予退还其投标保证金：</w:t>
      </w:r>
    </w:p>
    <w:p w14:paraId="35CAA5FE">
      <w:pPr>
        <w:widowControl/>
        <w:numPr>
          <w:ilvl w:val="0"/>
          <w:numId w:val="1"/>
        </w:numPr>
        <w:spacing w:line="440" w:lineRule="exact"/>
        <w:ind w:left="0"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放弃中标项目的；</w:t>
      </w:r>
    </w:p>
    <w:p w14:paraId="51D45676">
      <w:pPr>
        <w:widowControl/>
        <w:numPr>
          <w:ilvl w:val="0"/>
          <w:numId w:val="1"/>
        </w:numPr>
        <w:spacing w:line="440" w:lineRule="exact"/>
        <w:ind w:left="0"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拒不按照招标文件的要求提交履约保证金的；</w:t>
      </w:r>
    </w:p>
    <w:p w14:paraId="213764E0">
      <w:pPr>
        <w:widowControl/>
        <w:numPr>
          <w:ilvl w:val="0"/>
          <w:numId w:val="1"/>
        </w:numPr>
        <w:spacing w:line="440" w:lineRule="exact"/>
        <w:ind w:left="0"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不与招标人签订合同的，或者在签订合同时向招标人提出附加条件或者更改合同实质性内容的。</w:t>
      </w:r>
    </w:p>
    <w:p w14:paraId="54922C3D">
      <w:pPr>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存在上述行为的，招标人不退还投标保证金，并自认定之日起一年内不得参与本项目招标人组织的任何招投标活动。参与投标的企业将视为遵守以上处理条款。</w:t>
      </w:r>
    </w:p>
    <w:p w14:paraId="2DBE44EE">
      <w:pPr>
        <w:pStyle w:val="4"/>
        <w:spacing w:line="440" w:lineRule="exact"/>
        <w:rPr>
          <w:rFonts w:ascii="宋体" w:hAnsi="宋体" w:eastAsia="宋体" w:cs="宋体"/>
          <w:b/>
          <w:color w:val="auto"/>
          <w:sz w:val="22"/>
          <w:szCs w:val="22"/>
          <w:highlight w:val="none"/>
        </w:rPr>
      </w:pPr>
      <w:bookmarkStart w:id="48" w:name="_Toc9151"/>
      <w:bookmarkStart w:id="49" w:name="_Toc497464012"/>
      <w:r>
        <w:rPr>
          <w:rFonts w:hint="eastAsia" w:ascii="宋体" w:hAnsi="宋体" w:eastAsia="宋体" w:cs="宋体"/>
          <w:b/>
          <w:color w:val="auto"/>
          <w:sz w:val="22"/>
          <w:szCs w:val="22"/>
          <w:highlight w:val="none"/>
        </w:rPr>
        <w:t>3.5备选投标方案（本项目不适用）</w:t>
      </w:r>
    </w:p>
    <w:p w14:paraId="7E633CBA">
      <w:pPr>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bookmarkEnd w:id="48"/>
      <w:bookmarkEnd w:id="49"/>
    </w:p>
    <w:p w14:paraId="2BC51BFF">
      <w:pPr>
        <w:pStyle w:val="4"/>
        <w:spacing w:line="440" w:lineRule="exact"/>
        <w:rPr>
          <w:rFonts w:ascii="宋体" w:hAnsi="宋体" w:eastAsia="宋体" w:cs="宋体"/>
          <w:b/>
          <w:color w:val="auto"/>
          <w:sz w:val="22"/>
          <w:szCs w:val="22"/>
          <w:highlight w:val="none"/>
        </w:rPr>
      </w:pPr>
      <w:bookmarkStart w:id="50" w:name="_Toc2855"/>
      <w:bookmarkStart w:id="51" w:name="_Toc497464013"/>
      <w:r>
        <w:rPr>
          <w:rFonts w:hint="eastAsia" w:ascii="宋体" w:hAnsi="宋体" w:eastAsia="宋体" w:cs="宋体"/>
          <w:b/>
          <w:color w:val="auto"/>
          <w:sz w:val="22"/>
          <w:szCs w:val="22"/>
          <w:highlight w:val="none"/>
        </w:rPr>
        <w:t>3.6投标文件的编制</w:t>
      </w:r>
    </w:p>
    <w:p w14:paraId="25D3EB5B">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3.6.1 投标文件应按第六章“投标文件格式”的要求进行编写，如有必要，可以增加附页，作为投标文件的组成部分。</w:t>
      </w:r>
    </w:p>
    <w:p w14:paraId="3FAAB49E">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3.6.2 投标文件应用不褪色的材料书写或打印，投标文件应当对招标文件有关监理服务期限、投标有效期、质量要求、技术标准和要求、招标范围等实质性内容作出响应。</w:t>
      </w:r>
    </w:p>
    <w:p w14:paraId="4D2DE642">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3.6.3 投标文件必须按照招标文件的规定进行签署（加盖投标人公章、投标人法定代表人或其授权委托代理人签字或印章）。投标文件应尽量避免涂改、行间插字或删除。如果出现上述情况，改动之处应加盖投标人公章或由投标人的法定代表人（或其授权的代理人）签字（或印章）确认。</w:t>
      </w:r>
      <w:bookmarkEnd w:id="50"/>
      <w:bookmarkEnd w:id="51"/>
    </w:p>
    <w:p w14:paraId="5F2B8434">
      <w:pPr>
        <w:pStyle w:val="4"/>
        <w:spacing w:line="440" w:lineRule="exact"/>
        <w:ind w:firstLine="118"/>
        <w:rPr>
          <w:rFonts w:ascii="宋体" w:hAnsi="宋体" w:eastAsia="宋体" w:cs="宋体"/>
          <w:b/>
          <w:color w:val="auto"/>
          <w:sz w:val="22"/>
          <w:szCs w:val="22"/>
          <w:highlight w:val="none"/>
        </w:rPr>
      </w:pPr>
      <w:bookmarkStart w:id="52" w:name="_Toc387526397"/>
      <w:bookmarkStart w:id="53" w:name="_Toc387526305"/>
      <w:bookmarkStart w:id="54" w:name="_Toc397928572"/>
      <w:bookmarkStart w:id="55" w:name="_Toc497464014"/>
      <w:bookmarkStart w:id="56" w:name="_Toc16855"/>
      <w:bookmarkStart w:id="57" w:name="_Toc4769"/>
      <w:bookmarkStart w:id="58" w:name="_Toc387526201"/>
      <w:r>
        <w:rPr>
          <w:rFonts w:hint="eastAsia" w:ascii="宋体" w:hAnsi="宋体" w:eastAsia="宋体" w:cs="宋体"/>
          <w:b/>
          <w:color w:val="auto"/>
          <w:sz w:val="22"/>
          <w:szCs w:val="22"/>
          <w:highlight w:val="none"/>
        </w:rPr>
        <w:t>3.7投标文件的份数和装订</w:t>
      </w:r>
      <w:bookmarkEnd w:id="52"/>
      <w:bookmarkEnd w:id="53"/>
      <w:bookmarkEnd w:id="54"/>
      <w:bookmarkEnd w:id="55"/>
      <w:bookmarkEnd w:id="56"/>
      <w:bookmarkEnd w:id="57"/>
      <w:bookmarkEnd w:id="58"/>
    </w:p>
    <w:p w14:paraId="587BAFD5">
      <w:pPr>
        <w:autoSpaceDE w:val="0"/>
        <w:autoSpaceDN w:val="0"/>
        <w:spacing w:line="440" w:lineRule="exact"/>
        <w:ind w:firstLine="550" w:firstLineChars="250"/>
        <w:jc w:val="left"/>
        <w:rPr>
          <w:rFonts w:ascii="宋体" w:hAnsi="宋体" w:cs="宋体"/>
          <w:color w:val="auto"/>
          <w:kern w:val="0"/>
          <w:sz w:val="22"/>
          <w:szCs w:val="22"/>
          <w:highlight w:val="none"/>
        </w:rPr>
      </w:pPr>
      <w:bookmarkStart w:id="59" w:name="_Toc398107861"/>
      <w:r>
        <w:rPr>
          <w:rFonts w:hint="eastAsia" w:ascii="宋体" w:hAnsi="宋体" w:cs="宋体"/>
          <w:color w:val="auto"/>
          <w:kern w:val="0"/>
          <w:sz w:val="22"/>
          <w:szCs w:val="22"/>
          <w:highlight w:val="none"/>
        </w:rPr>
        <w:t>3.7.1 投标文件正本一份, 副本份数见投标人须知前附表。正本和副本的封面上应清楚地标记“正本”或“副本”的字样。当副本和正本不一致时，以正本为准。</w:t>
      </w:r>
    </w:p>
    <w:p w14:paraId="1702B762">
      <w:pPr>
        <w:autoSpaceDE w:val="0"/>
        <w:autoSpaceDN w:val="0"/>
        <w:spacing w:line="440" w:lineRule="exact"/>
        <w:ind w:firstLine="550" w:firstLineChars="25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3.7.2 投标文件应当按本招标文件规定的正本与副本数量分别装订成册，并编制目录。</w:t>
      </w:r>
    </w:p>
    <w:p w14:paraId="47ACB155">
      <w:pPr>
        <w:autoSpaceDE w:val="0"/>
        <w:autoSpaceDN w:val="0"/>
        <w:spacing w:line="440" w:lineRule="exact"/>
        <w:ind w:firstLine="552" w:firstLineChars="250"/>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3.7.3本项目需提供</w:t>
      </w:r>
      <w:r>
        <w:rPr>
          <w:rFonts w:hint="eastAsia" w:ascii="宋体" w:hAnsi="宋体" w:eastAsia="宋体" w:cs="宋体"/>
          <w:b/>
          <w:bCs/>
          <w:color w:val="auto"/>
          <w:kern w:val="0"/>
          <w:sz w:val="22"/>
          <w:szCs w:val="22"/>
          <w:highlight w:val="none"/>
          <w:lang w:val="zh-CN"/>
        </w:rPr>
        <w:t>电子响应文件一份，电子响应文件的内容为</w:t>
      </w:r>
      <w:r>
        <w:rPr>
          <w:rFonts w:hint="eastAsia" w:ascii="宋体" w:hAnsi="宋体" w:eastAsia="宋体" w:cs="宋体"/>
          <w:b/>
          <w:bCs/>
          <w:color w:val="auto"/>
          <w:kern w:val="0"/>
          <w:sz w:val="22"/>
          <w:szCs w:val="22"/>
          <w:highlight w:val="none"/>
        </w:rPr>
        <w:t>资格审查文件、</w:t>
      </w:r>
      <w:r>
        <w:rPr>
          <w:rFonts w:hint="eastAsia" w:ascii="宋体" w:hAnsi="宋体" w:eastAsia="宋体" w:cs="宋体"/>
          <w:b/>
          <w:bCs/>
          <w:color w:val="auto"/>
          <w:kern w:val="0"/>
          <w:sz w:val="22"/>
          <w:szCs w:val="22"/>
          <w:highlight w:val="none"/>
          <w:lang w:eastAsia="zh-CN"/>
        </w:rPr>
        <w:t>商务标</w:t>
      </w:r>
      <w:r>
        <w:rPr>
          <w:rFonts w:hint="eastAsia" w:ascii="宋体" w:hAnsi="宋体" w:eastAsia="宋体" w:cs="宋体"/>
          <w:b/>
          <w:bCs/>
          <w:color w:val="auto"/>
          <w:kern w:val="0"/>
          <w:sz w:val="22"/>
          <w:szCs w:val="22"/>
          <w:highlight w:val="none"/>
          <w:lang w:val="zh-CN"/>
        </w:rPr>
        <w:t>的打印盖章后的响应文件的扫描件（</w:t>
      </w:r>
      <w:r>
        <w:rPr>
          <w:rFonts w:hint="eastAsia" w:ascii="宋体" w:hAnsi="宋体" w:eastAsia="宋体" w:cs="宋体"/>
          <w:b/>
          <w:bCs/>
          <w:color w:val="auto"/>
          <w:kern w:val="0"/>
          <w:sz w:val="22"/>
          <w:szCs w:val="22"/>
          <w:highlight w:val="none"/>
        </w:rPr>
        <w:t>资格审查文件、</w:t>
      </w:r>
      <w:r>
        <w:rPr>
          <w:rFonts w:hint="eastAsia" w:ascii="宋体" w:hAnsi="宋体" w:eastAsia="宋体" w:cs="宋体"/>
          <w:b/>
          <w:bCs/>
          <w:color w:val="auto"/>
          <w:kern w:val="0"/>
          <w:sz w:val="22"/>
          <w:szCs w:val="22"/>
          <w:highlight w:val="none"/>
          <w:lang w:eastAsia="zh-CN"/>
        </w:rPr>
        <w:t>商务标</w:t>
      </w:r>
      <w:r>
        <w:rPr>
          <w:rFonts w:hint="eastAsia" w:ascii="宋体" w:hAnsi="宋体" w:eastAsia="宋体" w:cs="宋体"/>
          <w:b/>
          <w:bCs/>
          <w:color w:val="auto"/>
          <w:kern w:val="0"/>
          <w:sz w:val="22"/>
          <w:szCs w:val="22"/>
          <w:highlight w:val="none"/>
          <w:lang w:val="zh-CN"/>
        </w:rPr>
        <w:t>需分别逐页连续扫描为</w:t>
      </w:r>
      <w:r>
        <w:rPr>
          <w:rFonts w:hint="eastAsia" w:ascii="宋体" w:hAnsi="宋体" w:eastAsia="宋体" w:cs="宋体"/>
          <w:b/>
          <w:bCs/>
          <w:color w:val="auto"/>
          <w:kern w:val="0"/>
          <w:sz w:val="22"/>
          <w:szCs w:val="22"/>
          <w:highlight w:val="none"/>
          <w:lang w:val="en-US" w:eastAsia="zh-CN"/>
        </w:rPr>
        <w:t>两</w:t>
      </w:r>
      <w:r>
        <w:rPr>
          <w:rFonts w:hint="eastAsia" w:ascii="宋体" w:hAnsi="宋体" w:eastAsia="宋体" w:cs="宋体"/>
          <w:b/>
          <w:bCs/>
          <w:color w:val="auto"/>
          <w:kern w:val="0"/>
          <w:sz w:val="22"/>
          <w:szCs w:val="22"/>
          <w:highlight w:val="none"/>
          <w:lang w:val="zh-CN"/>
        </w:rPr>
        <w:t>个独立的PDF文件）。可以采取U盘或电子光盘的方式单独密封提交。</w:t>
      </w:r>
    </w:p>
    <w:p w14:paraId="0EDB344C">
      <w:pPr>
        <w:pStyle w:val="4"/>
        <w:spacing w:line="440" w:lineRule="exact"/>
        <w:ind w:firstLine="118"/>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3.8 资格审查文件</w:t>
      </w:r>
    </w:p>
    <w:p w14:paraId="11C0331F">
      <w:pPr>
        <w:autoSpaceDE w:val="0"/>
        <w:autoSpaceDN w:val="0"/>
        <w:spacing w:line="440" w:lineRule="exact"/>
        <w:ind w:firstLine="550" w:firstLineChars="25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投标人在编制投标文件时，应按本章第3.1项的要求在投标文件中提供与资格审查相关的资料，且符合本章第3.6.1项的要求。</w:t>
      </w:r>
    </w:p>
    <w:bookmarkEnd w:id="59"/>
    <w:p w14:paraId="3BD8D292">
      <w:pPr>
        <w:pStyle w:val="3"/>
        <w:spacing w:line="440" w:lineRule="exact"/>
        <w:rPr>
          <w:rFonts w:ascii="宋体" w:hAnsi="宋体" w:eastAsia="宋体" w:cs="宋体"/>
          <w:b/>
          <w:color w:val="auto"/>
          <w:sz w:val="22"/>
          <w:szCs w:val="22"/>
          <w:highlight w:val="none"/>
        </w:rPr>
      </w:pPr>
      <w:bookmarkStart w:id="60" w:name="_Toc497464016"/>
      <w:bookmarkStart w:id="61" w:name="_Toc21329"/>
      <w:r>
        <w:rPr>
          <w:rFonts w:hint="eastAsia" w:ascii="宋体" w:hAnsi="宋体" w:eastAsia="宋体" w:cs="宋体"/>
          <w:b/>
          <w:color w:val="auto"/>
          <w:sz w:val="22"/>
          <w:szCs w:val="22"/>
          <w:highlight w:val="none"/>
        </w:rPr>
        <w:t>4  投标</w:t>
      </w:r>
      <w:bookmarkEnd w:id="60"/>
      <w:bookmarkEnd w:id="61"/>
    </w:p>
    <w:p w14:paraId="23BD9326">
      <w:pPr>
        <w:autoSpaceDE w:val="0"/>
        <w:autoSpaceDN w:val="0"/>
        <w:spacing w:line="440" w:lineRule="exact"/>
        <w:ind w:firstLine="550" w:firstLineChars="250"/>
        <w:jc w:val="left"/>
        <w:rPr>
          <w:rFonts w:ascii="宋体" w:hAnsi="宋体" w:cs="宋体"/>
          <w:color w:val="auto"/>
          <w:kern w:val="0"/>
          <w:sz w:val="22"/>
          <w:szCs w:val="22"/>
          <w:highlight w:val="none"/>
        </w:rPr>
      </w:pPr>
      <w:bookmarkStart w:id="62" w:name="_Toc398107863"/>
      <w:bookmarkStart w:id="63" w:name="_Toc497464018"/>
      <w:bookmarkStart w:id="64" w:name="_Toc462759118"/>
      <w:bookmarkStart w:id="65" w:name="_Toc518910189"/>
      <w:r>
        <w:rPr>
          <w:rFonts w:hint="eastAsia" w:ascii="宋体" w:hAnsi="宋体" w:cs="宋体"/>
          <w:color w:val="auto"/>
          <w:kern w:val="0"/>
          <w:sz w:val="22"/>
          <w:szCs w:val="22"/>
          <w:highlight w:val="none"/>
        </w:rPr>
        <w:t>4.1 投标文件的密封和标记</w:t>
      </w:r>
      <w:bookmarkEnd w:id="62"/>
    </w:p>
    <w:p w14:paraId="67DB63BC">
      <w:pPr>
        <w:autoSpaceDE w:val="0"/>
        <w:autoSpaceDN w:val="0"/>
        <w:spacing w:line="440" w:lineRule="exact"/>
        <w:ind w:firstLine="550" w:firstLineChars="25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4.1.1 投标文件应按以下要求进行密封：资格审查文件、商务标须分别分开密封，正本与副本可合并密封于同一档案袋或分开包装密封，并在封套上加盖投标人公章。</w:t>
      </w:r>
    </w:p>
    <w:p w14:paraId="29E2D93D">
      <w:pPr>
        <w:autoSpaceDE w:val="0"/>
        <w:autoSpaceDN w:val="0"/>
        <w:spacing w:line="440" w:lineRule="exact"/>
        <w:ind w:firstLine="550" w:firstLineChars="25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4.1.2 投标文件的封套应按以下要求进行标记：资格审查文件、商务标均须写明招标人名称、工程名称、投标人名称和包件名称（资格审查文件、商务标），正本与副本分开密封的还须清楚地在封袋上标明正本、副本字样。</w:t>
      </w:r>
      <w:bookmarkStart w:id="66" w:name="_Toc398107864"/>
    </w:p>
    <w:p w14:paraId="4037DF8B">
      <w:pPr>
        <w:autoSpaceDE w:val="0"/>
        <w:autoSpaceDN w:val="0"/>
        <w:spacing w:line="440" w:lineRule="exact"/>
        <w:ind w:firstLine="550" w:firstLineChars="25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4.2 投标文件的递交</w:t>
      </w:r>
      <w:bookmarkEnd w:id="66"/>
    </w:p>
    <w:p w14:paraId="55B52F0D">
      <w:pPr>
        <w:autoSpaceDE w:val="0"/>
        <w:autoSpaceDN w:val="0"/>
        <w:spacing w:line="440" w:lineRule="exact"/>
        <w:ind w:firstLine="550" w:firstLineChars="25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4.2.1 投标人应在投标人须知前附表规定的投标截止时间前递交投标文件，以及第六章“投标文件格式”要求投标人提交的有关证明。</w:t>
      </w:r>
    </w:p>
    <w:p w14:paraId="54B08F4C">
      <w:pPr>
        <w:autoSpaceDE w:val="0"/>
        <w:autoSpaceDN w:val="0"/>
        <w:spacing w:line="440" w:lineRule="exact"/>
        <w:ind w:firstLine="550" w:firstLineChars="25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4.2.2 投标人递交投标文件的地点：见投标人须知前附表。</w:t>
      </w:r>
    </w:p>
    <w:p w14:paraId="661A28B4">
      <w:pPr>
        <w:autoSpaceDE w:val="0"/>
        <w:autoSpaceDN w:val="0"/>
        <w:spacing w:line="440" w:lineRule="exact"/>
        <w:ind w:firstLine="550" w:firstLineChars="25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4.2.3 投标人所递交的投标文件不予退还。</w:t>
      </w:r>
    </w:p>
    <w:p w14:paraId="5F69883F">
      <w:pPr>
        <w:autoSpaceDE w:val="0"/>
        <w:autoSpaceDN w:val="0"/>
        <w:spacing w:line="440" w:lineRule="exact"/>
        <w:ind w:firstLine="550" w:firstLineChars="250"/>
        <w:jc w:val="left"/>
        <w:rPr>
          <w:rFonts w:ascii="宋体" w:hAnsi="宋体" w:cs="宋体"/>
          <w:color w:val="auto"/>
          <w:kern w:val="0"/>
          <w:sz w:val="22"/>
          <w:szCs w:val="22"/>
          <w:highlight w:val="none"/>
        </w:rPr>
      </w:pPr>
      <w:bookmarkStart w:id="67" w:name="_Toc398107865"/>
      <w:r>
        <w:rPr>
          <w:rFonts w:hint="eastAsia" w:ascii="宋体" w:hAnsi="宋体" w:cs="宋体"/>
          <w:color w:val="auto"/>
          <w:kern w:val="0"/>
          <w:sz w:val="22"/>
          <w:szCs w:val="22"/>
          <w:highlight w:val="none"/>
        </w:rPr>
        <w:t>4.3 投标文件的修改与撤回</w:t>
      </w:r>
      <w:bookmarkEnd w:id="67"/>
    </w:p>
    <w:p w14:paraId="26F581A9">
      <w:pPr>
        <w:autoSpaceDE w:val="0"/>
        <w:autoSpaceDN w:val="0"/>
        <w:spacing w:line="440" w:lineRule="exact"/>
        <w:ind w:firstLine="550" w:firstLineChars="25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4.3.1投标截止期以后，在投标有效期内，投标人不得撤回其投标文件，否则其投标保证金将不予退还。</w:t>
      </w:r>
    </w:p>
    <w:p w14:paraId="37AA4F77">
      <w:pPr>
        <w:autoSpaceDE w:val="0"/>
        <w:autoSpaceDN w:val="0"/>
        <w:spacing w:line="440" w:lineRule="exact"/>
        <w:ind w:firstLine="550" w:firstLineChars="250"/>
        <w:jc w:val="left"/>
        <w:rPr>
          <w:rFonts w:ascii="宋体" w:hAnsi="宋体" w:cs="宋体"/>
          <w:color w:val="auto"/>
          <w:kern w:val="0"/>
          <w:sz w:val="22"/>
          <w:szCs w:val="22"/>
          <w:highlight w:val="none"/>
        </w:rPr>
      </w:pPr>
      <w:bookmarkStart w:id="68" w:name="_Toc398107866"/>
      <w:r>
        <w:rPr>
          <w:rFonts w:hint="eastAsia" w:ascii="宋体" w:hAnsi="宋体" w:cs="宋体"/>
          <w:color w:val="auto"/>
          <w:kern w:val="0"/>
          <w:sz w:val="22"/>
          <w:szCs w:val="22"/>
          <w:highlight w:val="none"/>
        </w:rPr>
        <w:t>4.4 不予接收的投标文件</w:t>
      </w:r>
      <w:bookmarkEnd w:id="68"/>
    </w:p>
    <w:p w14:paraId="4F257110">
      <w:pPr>
        <w:autoSpaceDE w:val="0"/>
        <w:autoSpaceDN w:val="0"/>
        <w:spacing w:line="440" w:lineRule="exact"/>
        <w:ind w:firstLine="550" w:firstLineChars="25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4.4.1 未按规定密封的投标文件，招标人不予接收。</w:t>
      </w:r>
    </w:p>
    <w:p w14:paraId="63DB7C8C">
      <w:pPr>
        <w:autoSpaceDE w:val="0"/>
        <w:autoSpaceDN w:val="0"/>
        <w:spacing w:line="440" w:lineRule="exact"/>
        <w:ind w:firstLine="550" w:firstLineChars="25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4.4.2 逾期送达或者未送达指定地点的投标文件，招标人不予接收。</w:t>
      </w:r>
    </w:p>
    <w:bookmarkEnd w:id="63"/>
    <w:bookmarkEnd w:id="64"/>
    <w:bookmarkEnd w:id="65"/>
    <w:p w14:paraId="723935E4">
      <w:pPr>
        <w:pStyle w:val="3"/>
        <w:spacing w:line="440" w:lineRule="exact"/>
        <w:rPr>
          <w:rFonts w:ascii="宋体" w:hAnsi="宋体" w:eastAsia="宋体" w:cs="宋体"/>
          <w:color w:val="auto"/>
          <w:sz w:val="22"/>
          <w:szCs w:val="22"/>
          <w:highlight w:val="none"/>
        </w:rPr>
      </w:pPr>
      <w:bookmarkStart w:id="69" w:name="_Toc497464019"/>
      <w:bookmarkStart w:id="70" w:name="_Toc28341"/>
      <w:r>
        <w:rPr>
          <w:rFonts w:hint="eastAsia" w:ascii="宋体" w:hAnsi="宋体" w:eastAsia="宋体" w:cs="宋体"/>
          <w:color w:val="auto"/>
          <w:sz w:val="22"/>
          <w:szCs w:val="22"/>
          <w:highlight w:val="none"/>
        </w:rPr>
        <w:t>5  开标</w:t>
      </w:r>
      <w:bookmarkEnd w:id="69"/>
      <w:bookmarkEnd w:id="70"/>
    </w:p>
    <w:p w14:paraId="3586DC33">
      <w:pPr>
        <w:pStyle w:val="4"/>
        <w:spacing w:line="440" w:lineRule="exact"/>
        <w:rPr>
          <w:rFonts w:ascii="宋体" w:hAnsi="宋体" w:eastAsia="宋体" w:cs="宋体"/>
          <w:b/>
          <w:color w:val="auto"/>
          <w:sz w:val="22"/>
          <w:szCs w:val="22"/>
          <w:highlight w:val="none"/>
        </w:rPr>
      </w:pPr>
      <w:bookmarkStart w:id="71" w:name="_Toc497464020"/>
      <w:bookmarkStart w:id="72" w:name="_Toc23027"/>
      <w:r>
        <w:rPr>
          <w:rFonts w:hint="eastAsia" w:ascii="宋体" w:hAnsi="宋体" w:eastAsia="宋体" w:cs="宋体"/>
          <w:b/>
          <w:color w:val="auto"/>
          <w:sz w:val="22"/>
          <w:szCs w:val="22"/>
          <w:highlight w:val="none"/>
        </w:rPr>
        <w:t>5.1开标时间和地点</w:t>
      </w:r>
      <w:bookmarkEnd w:id="71"/>
      <w:bookmarkEnd w:id="72"/>
    </w:p>
    <w:p w14:paraId="551B6F45">
      <w:pPr>
        <w:autoSpaceDE w:val="0"/>
        <w:autoSpaceDN w:val="0"/>
        <w:spacing w:line="440" w:lineRule="exact"/>
        <w:ind w:firstLine="550" w:firstLineChars="250"/>
        <w:jc w:val="left"/>
        <w:rPr>
          <w:rFonts w:ascii="宋体" w:hAnsi="宋体" w:cs="宋体"/>
          <w:color w:val="auto"/>
          <w:kern w:val="0"/>
          <w:sz w:val="22"/>
          <w:szCs w:val="22"/>
          <w:highlight w:val="none"/>
        </w:rPr>
      </w:pPr>
      <w:bookmarkStart w:id="73" w:name="_Toc497464021"/>
      <w:r>
        <w:rPr>
          <w:rFonts w:hint="eastAsia" w:ascii="宋体" w:hAnsi="宋体" w:cs="宋体"/>
          <w:color w:val="auto"/>
          <w:kern w:val="0"/>
          <w:sz w:val="22"/>
          <w:szCs w:val="22"/>
          <w:highlight w:val="none"/>
        </w:rPr>
        <w:t>5.1.1招标人在投标人须知前附表规定的时间和地点公开开标；</w:t>
      </w:r>
    </w:p>
    <w:p w14:paraId="2FF74A97">
      <w:pPr>
        <w:autoSpaceDE w:val="0"/>
        <w:autoSpaceDN w:val="0"/>
        <w:spacing w:line="440" w:lineRule="exact"/>
        <w:ind w:firstLine="550" w:firstLineChars="25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5.1.2参加开标会的投标人代表的要求见投标人须知前附表。未按要求派相关人员参加开标的，其投标将被拒绝。</w:t>
      </w:r>
    </w:p>
    <w:p w14:paraId="067CF62E">
      <w:pPr>
        <w:pStyle w:val="4"/>
        <w:spacing w:line="440" w:lineRule="exact"/>
        <w:rPr>
          <w:rFonts w:ascii="宋体" w:hAnsi="宋体" w:eastAsia="宋体" w:cs="宋体"/>
          <w:b/>
          <w:color w:val="auto"/>
          <w:sz w:val="22"/>
          <w:szCs w:val="22"/>
          <w:highlight w:val="none"/>
        </w:rPr>
      </w:pPr>
      <w:bookmarkStart w:id="74" w:name="_Toc30923"/>
      <w:r>
        <w:rPr>
          <w:rFonts w:hint="eastAsia" w:ascii="宋体" w:hAnsi="宋体" w:eastAsia="宋体" w:cs="宋体"/>
          <w:b/>
          <w:color w:val="auto"/>
          <w:sz w:val="22"/>
          <w:szCs w:val="22"/>
          <w:highlight w:val="none"/>
        </w:rPr>
        <w:t>5.2开标程序</w:t>
      </w:r>
      <w:bookmarkEnd w:id="73"/>
      <w:bookmarkEnd w:id="74"/>
    </w:p>
    <w:p w14:paraId="0FCAAB75">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5.2.1开标时，由招标人代表或代理机构检查投标文件的密封情况，经确认无误后，由主持人当众宣读投标人名称、监理报价和其他招标人认为有必要的内容。投标文件未按照招标文件的要求予以密封的，将作为无效投标文件，退回投标人。</w:t>
      </w:r>
    </w:p>
    <w:p w14:paraId="2E9FA515">
      <w:pPr>
        <w:spacing w:line="440" w:lineRule="exact"/>
        <w:ind w:firstLine="440" w:firstLineChars="200"/>
        <w:rPr>
          <w:rFonts w:ascii="宋体" w:hAnsi="宋体" w:cs="宋体"/>
          <w:color w:val="auto"/>
          <w:sz w:val="22"/>
          <w:szCs w:val="22"/>
          <w:highlight w:val="none"/>
        </w:rPr>
      </w:pPr>
      <w:bookmarkStart w:id="75" w:name="_Toc497464023"/>
      <w:r>
        <w:rPr>
          <w:rFonts w:hint="eastAsia" w:ascii="宋体" w:hAnsi="宋体" w:cs="宋体"/>
          <w:color w:val="auto"/>
          <w:sz w:val="22"/>
          <w:szCs w:val="22"/>
          <w:highlight w:val="none"/>
        </w:rPr>
        <w:t>5.3招标人在招标文件要求提交投标文件的截止时间前收到的所有投标文件，开标时都将当众予以宣读、记录。</w:t>
      </w:r>
    </w:p>
    <w:p w14:paraId="4D510E76">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5.4在开标时，投标文件出现下列情况之一的，将作为无效投标文件，不得进入评标：</w:t>
      </w:r>
    </w:p>
    <w:p w14:paraId="3DC2BDE5">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（1）投标文件未按照招标文件的要求予以密封和标志的；</w:t>
      </w:r>
    </w:p>
    <w:p w14:paraId="7F28EB42">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（2）投标文件中的投标函未加盖投标人的企业或企业法定代表人印章的，或者企业法定代表人委托代理人没有合法、有效的委托书（原件）；</w:t>
      </w:r>
    </w:p>
    <w:p w14:paraId="18966A25">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（3）投标文件的关键内容字迹模糊、无法辨认的；</w:t>
      </w:r>
    </w:p>
    <w:p w14:paraId="6F83647F">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（4）投标人未按照招标文件的要求提交投标保证金的；</w:t>
      </w:r>
    </w:p>
    <w:p w14:paraId="20BF4AAA">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（5）在一份投标文件中，对同一招标项目报有两个或多个报价，且未书面声明以哪个报价为准；</w:t>
      </w:r>
    </w:p>
    <w:p w14:paraId="08910B9D">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（6）投标文件附有招标人不能接受的条件。</w:t>
      </w:r>
    </w:p>
    <w:p w14:paraId="5E69C881">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（7）投标人所报价格高于招标文件设定的最高投标限价；</w:t>
      </w:r>
    </w:p>
    <w:p w14:paraId="622B8CCD">
      <w:pPr>
        <w:pStyle w:val="3"/>
        <w:spacing w:line="440" w:lineRule="exact"/>
        <w:rPr>
          <w:rFonts w:ascii="宋体" w:hAnsi="宋体" w:eastAsia="宋体" w:cs="宋体"/>
          <w:b/>
          <w:color w:val="auto"/>
          <w:sz w:val="22"/>
          <w:szCs w:val="22"/>
          <w:highlight w:val="none"/>
        </w:rPr>
      </w:pPr>
      <w:bookmarkStart w:id="76" w:name="_Toc773"/>
      <w:r>
        <w:rPr>
          <w:rFonts w:hint="eastAsia" w:ascii="宋体" w:hAnsi="宋体" w:eastAsia="宋体" w:cs="宋体"/>
          <w:b/>
          <w:color w:val="auto"/>
          <w:sz w:val="22"/>
          <w:szCs w:val="22"/>
          <w:highlight w:val="none"/>
        </w:rPr>
        <w:t>6  评标</w:t>
      </w:r>
      <w:bookmarkEnd w:id="75"/>
      <w:bookmarkEnd w:id="76"/>
    </w:p>
    <w:p w14:paraId="46C7B5A6">
      <w:pPr>
        <w:pStyle w:val="4"/>
        <w:spacing w:line="440" w:lineRule="exact"/>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6.1 评标工作</w:t>
      </w:r>
    </w:p>
    <w:p w14:paraId="6008E84F">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评标工作由招标人依法组建的评标委员会组织进行。</w:t>
      </w:r>
    </w:p>
    <w:p w14:paraId="638704C2">
      <w:pPr>
        <w:pStyle w:val="4"/>
        <w:spacing w:line="440" w:lineRule="exact"/>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6.2评标标准与方法</w:t>
      </w:r>
    </w:p>
    <w:p w14:paraId="283A7BE2">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本项目采用（价格单因素评标办法），详见第三章评标办法。</w:t>
      </w:r>
    </w:p>
    <w:p w14:paraId="29E42492">
      <w:pPr>
        <w:pStyle w:val="4"/>
        <w:spacing w:line="440" w:lineRule="exact"/>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6.3投标文件的澄清</w:t>
      </w:r>
    </w:p>
    <w:p w14:paraId="18C852D2">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6.3.1 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14:paraId="3DE6D2B7">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6.3.2 投标文件中的大写金额和小写金额不一致，以大写金额为准；总价金额与单价金额不一致，以单价金额为准，但单价金额小数点有明显错误的除外；对不同文字文本投标文件的解释发生异议的，以中文文本为准。</w:t>
      </w:r>
    </w:p>
    <w:p w14:paraId="1FB4FCC4">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6.4 在评标过程中，评标委员会若发现投标人以他人的名义投标、串通投标、以行贿手段谋取中标或者以其他弄虚作假方式投标的，该投标人的投标书将作废标处理。</w:t>
      </w:r>
    </w:p>
    <w:p w14:paraId="257BB513">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6.5 投标人资格条件不符合国家有关规定和招标文件要求的，或者不按照要求对投标文件进行澄清、说明或者补正的，评标委员会可以否决其投标。</w:t>
      </w:r>
    </w:p>
    <w:p w14:paraId="675FA7AD">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6.6 评标委员会将审查每一投标文件是否对招标文件提出的所有实质性要求和条件做出响应。未能在实质上响应的投标，将作废标处理。</w:t>
      </w:r>
    </w:p>
    <w:p w14:paraId="7FF05B8F">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6.7 投标文件有下述情形之一的，属于重大偏差、视为未能对招标文件作出实质性响应，并按前条规定作废标处理：</w:t>
      </w:r>
    </w:p>
    <w:p w14:paraId="5E372A2B">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(1)投标文件中的投标函未加盖投标人的公章；</w:t>
      </w:r>
    </w:p>
    <w:p w14:paraId="0B81CE8F">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(2)投标文件中的投标函未加盖企业法定代表人（或委托代理人）印章（或签字）的；</w:t>
      </w:r>
    </w:p>
    <w:p w14:paraId="682B7EAF">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(3)投标函加盖企业委托代理人印章（或签字），委托代理人没有合法、有效的委托书（原件）的；</w:t>
      </w:r>
    </w:p>
    <w:p w14:paraId="7E9F05A6">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(4)投标人资质条件不符合国家有关规定，或者不满足招标文件规定的资格条件的；</w:t>
      </w:r>
    </w:p>
    <w:p w14:paraId="487C41F1">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(5)投标人名称或组织结构与资格预审时不一致的；（本项目不适用）</w:t>
      </w:r>
    </w:p>
    <w:p w14:paraId="30F7E5EF">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(6)除在投标截止时间前经招标人书面同意外，项目负责人与资格预审时不一致的；（本项目不适用）</w:t>
      </w:r>
    </w:p>
    <w:p w14:paraId="7642208F">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(7)组成联合体投标未提供联合体各方共同投标协议的；（本工程不接受联合体）</w:t>
      </w:r>
    </w:p>
    <w:p w14:paraId="3F8A1334">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(8)在同一招标项目中，联合体成员以自己名义单独投标或者参加其他联合体投标的；（本工程不接受联合体）</w:t>
      </w:r>
    </w:p>
    <w:p w14:paraId="750B6B42">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(9)联合体成员与资格预审确定的结果不一致的；（本工程不接受联合体）</w:t>
      </w:r>
    </w:p>
    <w:p w14:paraId="3D828B5F">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(10)投标人所报价格高于招标文件设定的最高投标限价；</w:t>
      </w:r>
    </w:p>
    <w:p w14:paraId="35DD35B0">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(11)同一投标人提交两个及以上不同的投标文件或者投标报价，但招标文件要求提交备选投标的除外；</w:t>
      </w:r>
    </w:p>
    <w:p w14:paraId="0C043D6E">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(12)未按招标文件要求提供投标保证金的；</w:t>
      </w:r>
    </w:p>
    <w:p w14:paraId="45633DFA">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(13)明显不符合技术规范、技术标准的要求的；</w:t>
      </w:r>
    </w:p>
    <w:p w14:paraId="5819DF18">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(14)投标文件提出了不能满足招标文件要求或招标人不能接受的工程验收、计量、价款结算和支付办法的；</w:t>
      </w:r>
    </w:p>
    <w:p w14:paraId="59FA26ED">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(15)不同投标人的投标文件以及投标文件制作过程出现了评标委员会认为不应当雷同的情况的；</w:t>
      </w:r>
    </w:p>
    <w:p w14:paraId="145A4A95">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(16)以他人的名义投标、串通投标、以行贿手段谋取中标或者以其他弄虚作假方式投标的；</w:t>
      </w:r>
    </w:p>
    <w:p w14:paraId="2ED14825">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(17)投标文件关键内容模糊、无法辨认的；</w:t>
      </w:r>
    </w:p>
    <w:p w14:paraId="71DC02FF">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6.8 评标委员会根据规定否决不合格投标或者界定为废标后，因有效投标不足三个使得投标明显缺乏竞争的，评标委员会可以否决全部投标。所有投标被否决的，招标人重新招标。</w:t>
      </w:r>
    </w:p>
    <w:p w14:paraId="591C343E">
      <w:pPr>
        <w:pStyle w:val="3"/>
        <w:spacing w:line="440" w:lineRule="exact"/>
        <w:rPr>
          <w:rFonts w:ascii="宋体" w:hAnsi="宋体" w:eastAsia="宋体" w:cs="宋体"/>
          <w:b/>
          <w:color w:val="auto"/>
          <w:sz w:val="22"/>
          <w:szCs w:val="22"/>
          <w:highlight w:val="none"/>
        </w:rPr>
      </w:pPr>
      <w:bookmarkStart w:id="77" w:name="_Toc497464027"/>
      <w:bookmarkStart w:id="78" w:name="_Toc10557"/>
      <w:r>
        <w:rPr>
          <w:rFonts w:hint="eastAsia" w:ascii="宋体" w:hAnsi="宋体" w:eastAsia="宋体" w:cs="宋体"/>
          <w:b/>
          <w:color w:val="auto"/>
          <w:sz w:val="22"/>
          <w:szCs w:val="22"/>
          <w:highlight w:val="none"/>
        </w:rPr>
        <w:t>7 评标结果公示</w:t>
      </w:r>
      <w:bookmarkEnd w:id="77"/>
      <w:bookmarkEnd w:id="78"/>
    </w:p>
    <w:p w14:paraId="04333FCE">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7.1 招标人在收到评标报告后在与招标公告相同的发布媒介上对评标结果进行公示，公示期不少于3日。</w:t>
      </w:r>
    </w:p>
    <w:p w14:paraId="3909FDE4">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7.2 投标人或者其他利害关系人对评标结果有异议的，应当在评标结果公示期间向招标人提出异议。招标人自收到异议之日起3日内作出答复，并在作出答复前暂停招标投标活动。</w:t>
      </w:r>
    </w:p>
    <w:p w14:paraId="5589F8CF">
      <w:pPr>
        <w:pStyle w:val="3"/>
        <w:spacing w:line="440" w:lineRule="exact"/>
        <w:rPr>
          <w:rFonts w:ascii="宋体" w:hAnsi="宋体" w:eastAsia="宋体" w:cs="宋体"/>
          <w:b/>
          <w:color w:val="auto"/>
          <w:sz w:val="22"/>
          <w:szCs w:val="22"/>
          <w:highlight w:val="none"/>
        </w:rPr>
      </w:pPr>
      <w:bookmarkStart w:id="79" w:name="_Toc497464028"/>
      <w:bookmarkStart w:id="80" w:name="_Toc29331"/>
      <w:r>
        <w:rPr>
          <w:rFonts w:hint="eastAsia" w:ascii="宋体" w:hAnsi="宋体" w:eastAsia="宋体" w:cs="宋体"/>
          <w:b/>
          <w:color w:val="auto"/>
          <w:sz w:val="22"/>
          <w:szCs w:val="22"/>
          <w:highlight w:val="none"/>
        </w:rPr>
        <w:t>8  合同授予</w:t>
      </w:r>
      <w:bookmarkEnd w:id="79"/>
      <w:bookmarkEnd w:id="80"/>
    </w:p>
    <w:p w14:paraId="4AF00AB2">
      <w:pPr>
        <w:pStyle w:val="4"/>
        <w:spacing w:line="440" w:lineRule="exact"/>
        <w:rPr>
          <w:rFonts w:ascii="宋体" w:hAnsi="宋体" w:eastAsia="宋体" w:cs="宋体"/>
          <w:b/>
          <w:color w:val="auto"/>
          <w:sz w:val="22"/>
          <w:szCs w:val="22"/>
          <w:highlight w:val="none"/>
        </w:rPr>
      </w:pPr>
      <w:bookmarkStart w:id="81" w:name="_Toc497464029"/>
      <w:bookmarkStart w:id="82" w:name="_Toc1214"/>
      <w:r>
        <w:rPr>
          <w:rFonts w:hint="eastAsia" w:ascii="宋体" w:hAnsi="宋体" w:eastAsia="宋体" w:cs="宋体"/>
          <w:b/>
          <w:color w:val="auto"/>
          <w:sz w:val="22"/>
          <w:szCs w:val="22"/>
          <w:highlight w:val="none"/>
        </w:rPr>
        <w:t>8.1 定标方式</w:t>
      </w:r>
      <w:bookmarkEnd w:id="81"/>
      <w:bookmarkEnd w:id="82"/>
    </w:p>
    <w:p w14:paraId="1A23F02F">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除投标人须知前附表规定评标委员会直接确定中标人外，招标人依据评标委员会推荐的中标候选人确定中标人，评标委员会推荐中标候选人的人数不超过3个。</w:t>
      </w:r>
    </w:p>
    <w:p w14:paraId="27629A46">
      <w:pPr>
        <w:pStyle w:val="4"/>
        <w:spacing w:line="440" w:lineRule="exact"/>
        <w:rPr>
          <w:rFonts w:ascii="宋体" w:hAnsi="宋体" w:eastAsia="宋体" w:cs="宋体"/>
          <w:b/>
          <w:color w:val="auto"/>
          <w:sz w:val="22"/>
          <w:szCs w:val="22"/>
          <w:highlight w:val="none"/>
        </w:rPr>
      </w:pPr>
      <w:bookmarkStart w:id="83" w:name="_Toc497464030"/>
      <w:bookmarkStart w:id="84" w:name="_Toc3238"/>
      <w:r>
        <w:rPr>
          <w:rFonts w:hint="eastAsia" w:ascii="宋体" w:hAnsi="宋体" w:eastAsia="宋体" w:cs="宋体"/>
          <w:b/>
          <w:color w:val="auto"/>
          <w:sz w:val="22"/>
          <w:szCs w:val="22"/>
          <w:highlight w:val="none"/>
        </w:rPr>
        <w:t>8.2 中标人公告及中标通知</w:t>
      </w:r>
      <w:bookmarkEnd w:id="83"/>
      <w:bookmarkEnd w:id="84"/>
    </w:p>
    <w:p w14:paraId="36A33DC3">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评标结果公示期间无异议的，招标人在本招标文件规定的投标有效期内将中标人名称、中标价和总监理工程师在与招标公告相同的发布媒介上予以公告，并以书面形式向中标人发出中标通知书。</w:t>
      </w:r>
    </w:p>
    <w:p w14:paraId="26076285">
      <w:pPr>
        <w:pStyle w:val="4"/>
        <w:spacing w:line="440" w:lineRule="exact"/>
        <w:rPr>
          <w:rFonts w:ascii="宋体" w:hAnsi="宋体" w:eastAsia="宋体" w:cs="宋体"/>
          <w:b/>
          <w:color w:val="auto"/>
          <w:sz w:val="22"/>
          <w:szCs w:val="22"/>
          <w:highlight w:val="none"/>
        </w:rPr>
      </w:pPr>
      <w:bookmarkStart w:id="85" w:name="_Toc24295"/>
      <w:bookmarkStart w:id="86" w:name="_Toc497464031"/>
      <w:r>
        <w:rPr>
          <w:rFonts w:hint="eastAsia" w:ascii="宋体" w:hAnsi="宋体" w:eastAsia="宋体" w:cs="宋体"/>
          <w:b/>
          <w:color w:val="auto"/>
          <w:sz w:val="22"/>
          <w:szCs w:val="22"/>
          <w:highlight w:val="none"/>
        </w:rPr>
        <w:t>8.3 签订合同</w:t>
      </w:r>
      <w:bookmarkEnd w:id="85"/>
      <w:bookmarkEnd w:id="86"/>
    </w:p>
    <w:p w14:paraId="65470A1C">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8.3.1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10E6E8B9">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8.3.2 发出中标通知书后，招标人无正当理由拒签合同的，招标人向中标人退还投标保证金；给中标人造成损失的，还应当赔偿损失。 </w:t>
      </w:r>
    </w:p>
    <w:p w14:paraId="59577DB8">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8.3.3中标人应按本须知前附表规定的时间、金额向招标人提交履约保证金。 </w:t>
      </w:r>
    </w:p>
    <w:p w14:paraId="64DB78E4">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8.3.4 若中标人不能按本须知第 8.3.1 条、第 8.3.3 条的规定执行，招标人将有充分的理由视为中标人放弃中标项目和签订合同的权利，并没收其投标保证金。该行为给招标人造成损失超过投标保证金数额的，还应当对超过部分予以赔偿。 </w:t>
      </w:r>
    </w:p>
    <w:p w14:paraId="689D71BA">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8.3.5 中标人在中标后或施工期间不得随意变更中标总监理工程师。如果出现特殊情况，确需更换的，应当经招标人同意，并提供必要的证明文件报招标投标行政监督部门备案。</w:t>
      </w:r>
    </w:p>
    <w:p w14:paraId="41608E8D">
      <w:pPr>
        <w:autoSpaceDE w:val="0"/>
        <w:autoSpaceDN w:val="0"/>
        <w:spacing w:line="440" w:lineRule="exact"/>
        <w:ind w:firstLine="440" w:firstLineChars="200"/>
        <w:jc w:val="left"/>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8.3.6自备案之日起至原合同工期期满之日止，原中标总监理工程师不得作为项目负责人承接其他工程，如备案之日至原合同工期期满之日不足六个月，则限制其承接工程的期限为六个月。 </w:t>
      </w:r>
    </w:p>
    <w:p w14:paraId="3D09AAA4">
      <w:pPr>
        <w:pStyle w:val="3"/>
        <w:spacing w:line="440" w:lineRule="exact"/>
        <w:rPr>
          <w:rFonts w:ascii="宋体" w:hAnsi="宋体" w:eastAsia="宋体" w:cs="宋体"/>
          <w:b/>
          <w:color w:val="auto"/>
          <w:sz w:val="22"/>
          <w:szCs w:val="22"/>
          <w:highlight w:val="none"/>
        </w:rPr>
      </w:pPr>
      <w:bookmarkStart w:id="87" w:name="_Toc497464032"/>
      <w:bookmarkStart w:id="88" w:name="_Toc31400"/>
      <w:r>
        <w:rPr>
          <w:rFonts w:hint="eastAsia" w:ascii="宋体" w:hAnsi="宋体" w:eastAsia="宋体" w:cs="宋体"/>
          <w:b/>
          <w:color w:val="auto"/>
          <w:sz w:val="22"/>
          <w:szCs w:val="22"/>
          <w:highlight w:val="none"/>
        </w:rPr>
        <w:t>9  纪律和监督</w:t>
      </w:r>
      <w:bookmarkEnd w:id="87"/>
      <w:bookmarkEnd w:id="88"/>
    </w:p>
    <w:p w14:paraId="1360FD10">
      <w:pPr>
        <w:pStyle w:val="4"/>
        <w:spacing w:line="440" w:lineRule="exact"/>
        <w:rPr>
          <w:rFonts w:ascii="宋体" w:hAnsi="宋体" w:eastAsia="宋体" w:cs="宋体"/>
          <w:b/>
          <w:color w:val="auto"/>
          <w:sz w:val="22"/>
          <w:szCs w:val="22"/>
          <w:highlight w:val="none"/>
        </w:rPr>
      </w:pPr>
      <w:bookmarkStart w:id="89" w:name="_Toc497464033"/>
      <w:bookmarkStart w:id="90" w:name="_Toc16010"/>
      <w:r>
        <w:rPr>
          <w:rFonts w:hint="eastAsia" w:ascii="宋体" w:hAnsi="宋体" w:eastAsia="宋体" w:cs="宋体"/>
          <w:b/>
          <w:color w:val="auto"/>
          <w:sz w:val="22"/>
          <w:szCs w:val="22"/>
          <w:highlight w:val="none"/>
        </w:rPr>
        <w:t>9.1 对招标人的纪律要求</w:t>
      </w:r>
      <w:bookmarkEnd w:id="89"/>
      <w:bookmarkEnd w:id="90"/>
    </w:p>
    <w:p w14:paraId="4DBD7E6A">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招标人不得泄露招标投标活动中应当保密的情况和资料，不得与投标人串通损害国家利益、社会公共利益或者他人合法权益。</w:t>
      </w:r>
    </w:p>
    <w:p w14:paraId="3F376E09">
      <w:pPr>
        <w:pStyle w:val="4"/>
        <w:spacing w:line="440" w:lineRule="exact"/>
        <w:rPr>
          <w:rFonts w:ascii="宋体" w:hAnsi="宋体" w:eastAsia="宋体" w:cs="宋体"/>
          <w:b/>
          <w:color w:val="auto"/>
          <w:sz w:val="22"/>
          <w:szCs w:val="22"/>
          <w:highlight w:val="none"/>
        </w:rPr>
      </w:pPr>
      <w:bookmarkStart w:id="91" w:name="_Toc497464034"/>
      <w:bookmarkStart w:id="92" w:name="_Toc358"/>
      <w:r>
        <w:rPr>
          <w:rFonts w:hint="eastAsia" w:ascii="宋体" w:hAnsi="宋体" w:eastAsia="宋体" w:cs="宋体"/>
          <w:b/>
          <w:color w:val="auto"/>
          <w:sz w:val="22"/>
          <w:szCs w:val="22"/>
          <w:highlight w:val="none"/>
        </w:rPr>
        <w:t>9.2 对投标人的纪律要求</w:t>
      </w:r>
      <w:bookmarkEnd w:id="91"/>
      <w:bookmarkEnd w:id="92"/>
    </w:p>
    <w:p w14:paraId="08E598C5">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F9BB038">
      <w:pPr>
        <w:pStyle w:val="4"/>
        <w:spacing w:line="440" w:lineRule="exact"/>
        <w:rPr>
          <w:rFonts w:ascii="宋体" w:hAnsi="宋体" w:eastAsia="宋体" w:cs="宋体"/>
          <w:b/>
          <w:color w:val="auto"/>
          <w:sz w:val="22"/>
          <w:szCs w:val="22"/>
          <w:highlight w:val="none"/>
        </w:rPr>
      </w:pPr>
      <w:bookmarkStart w:id="93" w:name="_Toc497464035"/>
      <w:bookmarkStart w:id="94" w:name="_Toc20855"/>
      <w:r>
        <w:rPr>
          <w:rFonts w:hint="eastAsia" w:ascii="宋体" w:hAnsi="宋体" w:eastAsia="宋体" w:cs="宋体"/>
          <w:b/>
          <w:color w:val="auto"/>
          <w:sz w:val="22"/>
          <w:szCs w:val="22"/>
          <w:highlight w:val="none"/>
        </w:rPr>
        <w:t>9.3 对评标委员会成员的纪律要求</w:t>
      </w:r>
      <w:bookmarkEnd w:id="93"/>
      <w:bookmarkEnd w:id="94"/>
    </w:p>
    <w:p w14:paraId="64A1409B">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14:paraId="0DB07506">
      <w:pPr>
        <w:pStyle w:val="4"/>
        <w:spacing w:line="440" w:lineRule="exact"/>
        <w:rPr>
          <w:rFonts w:ascii="宋体" w:hAnsi="宋体" w:eastAsia="宋体" w:cs="宋体"/>
          <w:b/>
          <w:color w:val="auto"/>
          <w:sz w:val="22"/>
          <w:szCs w:val="22"/>
          <w:highlight w:val="none"/>
        </w:rPr>
      </w:pPr>
      <w:bookmarkStart w:id="95" w:name="_Toc497464036"/>
      <w:bookmarkStart w:id="96" w:name="_Toc2754"/>
      <w:r>
        <w:rPr>
          <w:rFonts w:hint="eastAsia" w:ascii="宋体" w:hAnsi="宋体" w:eastAsia="宋体" w:cs="宋体"/>
          <w:b/>
          <w:color w:val="auto"/>
          <w:sz w:val="22"/>
          <w:szCs w:val="22"/>
          <w:highlight w:val="none"/>
        </w:rPr>
        <w:t>9.4 对与评标活动有关的工作人员的纪律要求</w:t>
      </w:r>
      <w:bookmarkEnd w:id="95"/>
      <w:bookmarkEnd w:id="96"/>
    </w:p>
    <w:p w14:paraId="19F7107B">
      <w:pPr>
        <w:autoSpaceDE w:val="0"/>
        <w:autoSpaceDN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p>
    <w:p w14:paraId="51F2A8C0">
      <w:pPr>
        <w:pStyle w:val="4"/>
        <w:spacing w:line="440" w:lineRule="exact"/>
        <w:rPr>
          <w:rFonts w:ascii="宋体" w:hAnsi="宋体" w:eastAsia="宋体" w:cs="宋体"/>
          <w:b/>
          <w:color w:val="auto"/>
          <w:sz w:val="22"/>
          <w:szCs w:val="22"/>
          <w:highlight w:val="none"/>
        </w:rPr>
      </w:pPr>
      <w:bookmarkStart w:id="97" w:name="_Toc18457"/>
      <w:bookmarkStart w:id="98" w:name="_Toc497464037"/>
      <w:r>
        <w:rPr>
          <w:rFonts w:hint="eastAsia" w:ascii="宋体" w:hAnsi="宋体" w:eastAsia="宋体" w:cs="宋体"/>
          <w:b/>
          <w:color w:val="auto"/>
          <w:sz w:val="22"/>
          <w:szCs w:val="22"/>
          <w:highlight w:val="none"/>
        </w:rPr>
        <w:t>9.5 投诉</w:t>
      </w:r>
      <w:bookmarkEnd w:id="97"/>
      <w:bookmarkEnd w:id="98"/>
    </w:p>
    <w:p w14:paraId="5DC5A06F">
      <w:pPr>
        <w:autoSpaceDE w:val="0"/>
        <w:autoSpaceDN w:val="0"/>
        <w:spacing w:line="44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人和其他利害关系人认为本次招标活动违反法律法规和规章规定的，有权向有关行政监督部门投诉。投标人或者其他利害关系人就资格预审文件、招标文件、开标、评标结果事项投诉的，应当先向招标人提出异议。</w:t>
      </w:r>
    </w:p>
    <w:p w14:paraId="3B6EE59B">
      <w:pPr>
        <w:autoSpaceDE w:val="0"/>
        <w:autoSpaceDN w:val="0"/>
        <w:ind w:firstLine="442" w:firstLineChars="200"/>
        <w:jc w:val="left"/>
        <w:rPr>
          <w:rFonts w:ascii="宋体" w:hAnsi="宋体" w:eastAsia="宋体" w:cs="宋体"/>
          <w:b/>
          <w:color w:val="auto"/>
          <w:sz w:val="22"/>
          <w:szCs w:val="22"/>
          <w:highlight w:val="none"/>
        </w:rPr>
      </w:pPr>
      <w:bookmarkStart w:id="99" w:name="_Toc497464038"/>
      <w:bookmarkStart w:id="100" w:name="_Toc25438"/>
      <w:r>
        <w:rPr>
          <w:rFonts w:hint="eastAsia" w:ascii="宋体" w:hAnsi="宋体" w:eastAsia="宋体" w:cs="宋体"/>
          <w:b/>
          <w:color w:val="auto"/>
          <w:sz w:val="22"/>
          <w:szCs w:val="22"/>
          <w:highlight w:val="none"/>
        </w:rPr>
        <w:t>10 需要补充的其他内容</w:t>
      </w:r>
      <w:bookmarkEnd w:id="99"/>
      <w:bookmarkEnd w:id="100"/>
    </w:p>
    <w:p w14:paraId="6E36E81F">
      <w:pPr>
        <w:spacing w:line="440" w:lineRule="exact"/>
        <w:ind w:firstLine="440" w:firstLineChars="200"/>
        <w:rPr>
          <w:rFonts w:ascii="宋体" w:hAnsi="宋体" w:cs="宋体"/>
          <w:color w:val="auto"/>
          <w:kern w:val="0"/>
          <w:sz w:val="22"/>
          <w:szCs w:val="22"/>
          <w:highlight w:val="none"/>
        </w:rPr>
      </w:pPr>
      <w:bookmarkStart w:id="101" w:name="_Toc152045600"/>
      <w:bookmarkStart w:id="102" w:name="_Toc144974567"/>
      <w:bookmarkStart w:id="103" w:name="_Toc152042377"/>
      <w:bookmarkStart w:id="104" w:name="_Toc179632618"/>
      <w:r>
        <w:rPr>
          <w:rFonts w:hint="eastAsia" w:ascii="宋体" w:hAnsi="宋体" w:cs="宋体"/>
          <w:color w:val="auto"/>
          <w:kern w:val="0"/>
          <w:sz w:val="22"/>
          <w:szCs w:val="22"/>
          <w:highlight w:val="none"/>
        </w:rPr>
        <w:t>10.1需要补充的其他内容：见投标人须知前附表。</w:t>
      </w:r>
    </w:p>
    <w:p w14:paraId="27289955">
      <w:pPr>
        <w:snapToGrid w:val="0"/>
        <w:spacing w:line="360" w:lineRule="auto"/>
        <w:ind w:firstLine="470"/>
        <w:jc w:val="center"/>
        <w:rPr>
          <w:rFonts w:ascii="宋体" w:hAnsi="宋体" w:cs="宋体"/>
          <w:color w:val="auto"/>
          <w:sz w:val="32"/>
          <w:szCs w:val="32"/>
          <w:highlight w:val="none"/>
        </w:rPr>
      </w:pPr>
      <w:r>
        <w:rPr>
          <w:rFonts w:hint="eastAsia" w:ascii="宋体" w:hAnsi="宋体" w:cs="宋体"/>
          <w:color w:val="auto"/>
          <w:szCs w:val="21"/>
          <w:highlight w:val="none"/>
        </w:rPr>
        <w:br w:type="page"/>
      </w:r>
      <w:bookmarkStart w:id="105" w:name="_Toc497464039"/>
      <w:r>
        <w:rPr>
          <w:rFonts w:hint="eastAsia" w:ascii="宋体" w:hAnsi="宋体" w:cs="宋体"/>
          <w:color w:val="auto"/>
          <w:sz w:val="32"/>
          <w:szCs w:val="32"/>
          <w:highlight w:val="none"/>
        </w:rPr>
        <w:t>第三章 评标办法</w:t>
      </w:r>
      <w:bookmarkEnd w:id="101"/>
      <w:bookmarkEnd w:id="102"/>
      <w:bookmarkEnd w:id="103"/>
      <w:bookmarkEnd w:id="104"/>
      <w:bookmarkEnd w:id="105"/>
      <w:r>
        <w:rPr>
          <w:rFonts w:hint="eastAsia" w:ascii="宋体" w:hAnsi="宋体" w:cs="宋体"/>
          <w:color w:val="auto"/>
          <w:sz w:val="32"/>
          <w:szCs w:val="32"/>
          <w:highlight w:val="none"/>
        </w:rPr>
        <w:t>（价格单因素评标办法）</w:t>
      </w:r>
    </w:p>
    <w:p w14:paraId="158D099F">
      <w:pPr>
        <w:spacing w:line="440" w:lineRule="exact"/>
        <w:ind w:firstLine="440" w:firstLineChars="200"/>
        <w:rPr>
          <w:rFonts w:ascii="宋体" w:hAnsi="宋体"/>
          <w:color w:val="auto"/>
          <w:sz w:val="22"/>
          <w:szCs w:val="22"/>
          <w:highlight w:val="none"/>
        </w:rPr>
      </w:pPr>
      <w:bookmarkStart w:id="106" w:name="_Toc497464043"/>
      <w:r>
        <w:rPr>
          <w:rFonts w:hint="eastAsia" w:ascii="宋体" w:hAnsi="宋体"/>
          <w:color w:val="auto"/>
          <w:sz w:val="22"/>
          <w:szCs w:val="22"/>
          <w:highlight w:val="none"/>
        </w:rPr>
        <w:t>本次招标投标遵循公开、公平、诚实信用的原则，根据《中华人民共和国招标投标法》及《评标委员会和评标方法暂行规定》的有关规定，评标委员会从投标人的资格及服务价格方面选择监理单位。</w:t>
      </w:r>
    </w:p>
    <w:p w14:paraId="3E21FB14">
      <w:pPr>
        <w:spacing w:line="440" w:lineRule="exact"/>
        <w:ind w:firstLine="482"/>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一、本工程采用价格单因素评标办法，且采用资格后审，具体资格审查及评标细则如下：</w:t>
      </w:r>
    </w:p>
    <w:p w14:paraId="0D742B64">
      <w:pPr>
        <w:spacing w:line="440" w:lineRule="exact"/>
        <w:ind w:firstLine="482"/>
        <w:rPr>
          <w:rFonts w:ascii="宋体" w:hAnsi="宋体" w:cs="宋体"/>
          <w:color w:val="auto"/>
          <w:kern w:val="0"/>
          <w:sz w:val="22"/>
          <w:szCs w:val="22"/>
          <w:highlight w:val="none"/>
        </w:rPr>
      </w:pPr>
      <w:r>
        <w:rPr>
          <w:rFonts w:hint="eastAsia" w:ascii="宋体" w:hAnsi="宋体" w:cs="宋体"/>
          <w:color w:val="auto"/>
          <w:kern w:val="0"/>
          <w:sz w:val="22"/>
          <w:szCs w:val="22"/>
          <w:highlight w:val="none"/>
        </w:rPr>
        <w:t>（一）评标程序</w:t>
      </w:r>
    </w:p>
    <w:p w14:paraId="7D9E0CA1">
      <w:pPr>
        <w:widowControl/>
        <w:spacing w:line="440" w:lineRule="exact"/>
        <w:ind w:firstLine="420"/>
        <w:jc w:val="left"/>
        <w:rPr>
          <w:rFonts w:ascii="宋体" w:cs="宋体"/>
          <w:color w:val="auto"/>
          <w:kern w:val="0"/>
          <w:sz w:val="22"/>
          <w:szCs w:val="22"/>
          <w:highlight w:val="none"/>
        </w:rPr>
      </w:pPr>
      <w:r>
        <w:rPr>
          <w:rFonts w:hint="eastAsia" w:ascii="宋体" w:cs="宋体"/>
          <w:color w:val="auto"/>
          <w:kern w:val="0"/>
          <w:sz w:val="22"/>
          <w:szCs w:val="22"/>
          <w:highlight w:val="none"/>
        </w:rPr>
        <w:t xml:space="preserve">资格符合性评审→商务标评标→确定中标候选人 </w:t>
      </w:r>
    </w:p>
    <w:p w14:paraId="40AF704D">
      <w:pPr>
        <w:spacing w:line="440" w:lineRule="exact"/>
        <w:ind w:firstLine="482"/>
        <w:rPr>
          <w:rFonts w:ascii="宋体" w:hAnsi="宋体" w:cs="宋体"/>
          <w:b/>
          <w:bCs/>
          <w:color w:val="auto"/>
          <w:kern w:val="0"/>
          <w:sz w:val="22"/>
          <w:szCs w:val="22"/>
          <w:highlight w:val="none"/>
        </w:rPr>
      </w:pPr>
      <w:r>
        <w:rPr>
          <w:rFonts w:hint="eastAsia" w:ascii="宋体" w:hAnsi="宋体" w:cs="宋体"/>
          <w:color w:val="auto"/>
          <w:kern w:val="0"/>
          <w:sz w:val="22"/>
          <w:szCs w:val="22"/>
          <w:highlight w:val="none"/>
        </w:rPr>
        <w:t>（二）评审标准</w:t>
      </w:r>
    </w:p>
    <w:p w14:paraId="0E7E219B">
      <w:pPr>
        <w:spacing w:line="440" w:lineRule="exact"/>
        <w:ind w:firstLine="440" w:firstLineChars="200"/>
        <w:rPr>
          <w:rFonts w:ascii="宋体" w:hAnsi="宋体" w:cs="宋体"/>
          <w:color w:val="auto"/>
          <w:kern w:val="0"/>
          <w:szCs w:val="21"/>
          <w:highlight w:val="none"/>
        </w:rPr>
      </w:pPr>
      <w:r>
        <w:rPr>
          <w:rFonts w:hint="eastAsia" w:ascii="宋体" w:hAnsi="宋体" w:cs="宋体"/>
          <w:color w:val="auto"/>
          <w:kern w:val="0"/>
          <w:sz w:val="22"/>
          <w:szCs w:val="22"/>
          <w:highlight w:val="none"/>
        </w:rPr>
        <w:t>评标委员会将按评审标准、资格评审标准的合格条件，对各投标人递交的资格审查书面资料进行评审，并公布资格审查合格者名单。</w:t>
      </w:r>
    </w:p>
    <w:p w14:paraId="1F4C6144">
      <w:pPr>
        <w:widowControl/>
        <w:spacing w:line="400" w:lineRule="exact"/>
        <w:ind w:firstLine="42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资格审查汇总表</w:t>
      </w:r>
    </w:p>
    <w:tbl>
      <w:tblPr>
        <w:tblStyle w:val="34"/>
        <w:tblW w:w="94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2"/>
        <w:gridCol w:w="1661"/>
        <w:gridCol w:w="4188"/>
        <w:gridCol w:w="2960"/>
      </w:tblGrid>
      <w:tr w14:paraId="4B606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tblHeader/>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6E21">
            <w:pPr>
              <w:widowControl/>
              <w:adjustRightInd w:val="0"/>
              <w:snapToGrid w:val="0"/>
              <w:spacing w:line="240" w:lineRule="auto"/>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序号</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0413">
            <w:pPr>
              <w:widowControl/>
              <w:adjustRightInd w:val="0"/>
              <w:snapToGrid w:val="0"/>
              <w:spacing w:line="240" w:lineRule="auto"/>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项目内容</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482D">
            <w:pPr>
              <w:widowControl/>
              <w:adjustRightInd w:val="0"/>
              <w:snapToGrid w:val="0"/>
              <w:spacing w:line="240" w:lineRule="auto"/>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合格条件</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7908">
            <w:pPr>
              <w:widowControl/>
              <w:adjustRightInd w:val="0"/>
              <w:snapToGrid w:val="0"/>
              <w:spacing w:line="240" w:lineRule="auto"/>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投标人需提供的材料</w:t>
            </w:r>
          </w:p>
        </w:tc>
      </w:tr>
      <w:tr w14:paraId="642D9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92B6">
            <w:pPr>
              <w:widowControl/>
              <w:adjustRightInd w:val="0"/>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8972">
            <w:pPr>
              <w:widowControl/>
              <w:adjustRightInd w:val="0"/>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法定代表人身份证明</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6D0B">
            <w:pPr>
              <w:widowControl/>
              <w:adjustRightInd w:val="0"/>
              <w:spacing w:line="240" w:lineRule="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有效的法定代表人身份证明书</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00EC">
            <w:pPr>
              <w:widowControl/>
              <w:adjustRightInd w:val="0"/>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法定代表人身份证明书原件</w:t>
            </w:r>
          </w:p>
          <w:p w14:paraId="60149783">
            <w:pPr>
              <w:widowControl/>
              <w:adjustRightInd w:val="0"/>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（格式详见第六章）</w:t>
            </w:r>
          </w:p>
        </w:tc>
      </w:tr>
      <w:tr w14:paraId="5833E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278D">
            <w:pPr>
              <w:widowControl/>
              <w:adjustRightInd w:val="0"/>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30CB">
            <w:pPr>
              <w:widowControl/>
              <w:adjustRightInd w:val="0"/>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授权委托书</w:t>
            </w:r>
          </w:p>
          <w:p w14:paraId="030D383D">
            <w:pPr>
              <w:widowControl/>
              <w:adjustRightInd w:val="0"/>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（如有授权）</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00FC">
            <w:pPr>
              <w:widowControl/>
              <w:adjustRightInd w:val="0"/>
              <w:spacing w:line="240" w:lineRule="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有效的授权委托书</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5A7D">
            <w:pPr>
              <w:widowControl/>
              <w:adjustRightInd w:val="0"/>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授权委托书原件</w:t>
            </w:r>
          </w:p>
          <w:p w14:paraId="0C1824E2">
            <w:pPr>
              <w:widowControl/>
              <w:adjustRightInd w:val="0"/>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（格式详见第六章）</w:t>
            </w:r>
          </w:p>
        </w:tc>
      </w:tr>
      <w:tr w14:paraId="36D60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EB86">
            <w:pPr>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D7FE">
            <w:pPr>
              <w:adjustRightInd w:val="0"/>
              <w:spacing w:line="240" w:lineRule="auto"/>
              <w:rPr>
                <w:rFonts w:ascii="宋体" w:hAnsi="宋体" w:cs="宋体"/>
                <w:color w:val="auto"/>
                <w:sz w:val="20"/>
                <w:szCs w:val="20"/>
                <w:highlight w:val="none"/>
              </w:rPr>
            </w:pPr>
            <w:r>
              <w:rPr>
                <w:rFonts w:hint="eastAsia" w:ascii="宋体" w:hAnsi="宋体" w:cs="宋体"/>
                <w:color w:val="auto"/>
                <w:sz w:val="20"/>
                <w:szCs w:val="20"/>
                <w:highlight w:val="none"/>
              </w:rPr>
              <w:t>企业法人营业执照</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1026">
            <w:pPr>
              <w:adjustRightInd w:val="0"/>
              <w:spacing w:line="240" w:lineRule="auto"/>
              <w:rPr>
                <w:rFonts w:ascii="宋体" w:hAnsi="宋体" w:cs="宋体"/>
                <w:color w:val="auto"/>
                <w:sz w:val="20"/>
                <w:szCs w:val="20"/>
                <w:highlight w:val="none"/>
              </w:rPr>
            </w:pPr>
            <w:r>
              <w:rPr>
                <w:rFonts w:hint="eastAsia" w:ascii="宋体" w:hAnsi="宋体" w:cs="宋体"/>
                <w:color w:val="auto"/>
                <w:sz w:val="20"/>
                <w:szCs w:val="20"/>
                <w:highlight w:val="none"/>
              </w:rPr>
              <w:t>行政管理部门颁发的有效的企业法人营业执照</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B3E2">
            <w:pPr>
              <w:adjustRightIn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有效的企业营业执照复印件</w:t>
            </w:r>
          </w:p>
        </w:tc>
      </w:tr>
      <w:tr w14:paraId="0F79A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A929">
            <w:pPr>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C3C0">
            <w:pPr>
              <w:adjustRightInd w:val="0"/>
              <w:spacing w:line="240" w:lineRule="auto"/>
              <w:rPr>
                <w:rFonts w:ascii="宋体" w:hAnsi="宋体" w:cs="宋体"/>
                <w:color w:val="auto"/>
                <w:sz w:val="20"/>
                <w:szCs w:val="20"/>
                <w:highlight w:val="none"/>
              </w:rPr>
            </w:pPr>
            <w:r>
              <w:rPr>
                <w:rFonts w:hint="eastAsia" w:ascii="宋体" w:hAnsi="宋体" w:cs="宋体"/>
                <w:color w:val="auto"/>
                <w:sz w:val="20"/>
                <w:szCs w:val="20"/>
                <w:highlight w:val="none"/>
              </w:rPr>
              <w:t>企业资质类别等级</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B38B">
            <w:pPr>
              <w:adjustRightInd w:val="0"/>
              <w:spacing w:line="240" w:lineRule="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rPr>
              <w:t>必须具有建设部核发的</w:t>
            </w:r>
            <w:r>
              <w:rPr>
                <w:rFonts w:hint="eastAsia" w:ascii="宋体" w:hAnsi="宋体" w:cs="宋体"/>
                <w:color w:val="auto"/>
                <w:sz w:val="20"/>
                <w:szCs w:val="20"/>
                <w:highlight w:val="none"/>
                <w:lang w:eastAsia="zh-CN"/>
              </w:rPr>
              <w:t>工程监理综合资质或</w:t>
            </w:r>
            <w:r>
              <w:rPr>
                <w:rFonts w:hint="eastAsia" w:ascii="宋体" w:hAnsi="宋体" w:cs="宋体"/>
                <w:color w:val="auto"/>
                <w:sz w:val="20"/>
                <w:szCs w:val="20"/>
                <w:highlight w:val="none"/>
                <w:lang w:val="en-US" w:eastAsia="zh-CN"/>
              </w:rPr>
              <w:t>市政公用</w:t>
            </w:r>
            <w:r>
              <w:rPr>
                <w:rFonts w:hint="eastAsia" w:ascii="宋体" w:hAnsi="宋体" w:cs="宋体"/>
                <w:color w:val="auto"/>
                <w:sz w:val="20"/>
                <w:szCs w:val="20"/>
                <w:highlight w:val="none"/>
                <w:lang w:eastAsia="zh-CN"/>
              </w:rPr>
              <w:t>工程监理乙级</w:t>
            </w:r>
            <w:r>
              <w:rPr>
                <w:rFonts w:hint="eastAsia" w:ascii="宋体" w:hAnsi="宋体" w:cs="宋体"/>
                <w:color w:val="auto"/>
                <w:sz w:val="20"/>
                <w:szCs w:val="20"/>
                <w:highlight w:val="none"/>
                <w:lang w:val="en-US" w:eastAsia="zh-CN"/>
              </w:rPr>
              <w:t>及以上</w:t>
            </w:r>
            <w:r>
              <w:rPr>
                <w:rFonts w:hint="eastAsia" w:ascii="宋体" w:hAnsi="宋体" w:cs="宋体"/>
                <w:color w:val="auto"/>
                <w:sz w:val="20"/>
                <w:szCs w:val="20"/>
                <w:highlight w:val="none"/>
              </w:rPr>
              <w:t>资质</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2221">
            <w:pPr>
              <w:adjustRightIn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有效的企业资质证书复印件</w:t>
            </w:r>
          </w:p>
        </w:tc>
      </w:tr>
      <w:tr w14:paraId="420AF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D058">
            <w:pPr>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F1B7">
            <w:pPr>
              <w:adjustRightInd w:val="0"/>
              <w:spacing w:line="240" w:lineRule="auto"/>
              <w:rPr>
                <w:rFonts w:ascii="宋体" w:hAnsi="宋体" w:cs="宋体"/>
                <w:color w:val="auto"/>
                <w:sz w:val="20"/>
                <w:szCs w:val="20"/>
                <w:highlight w:val="none"/>
              </w:rPr>
            </w:pPr>
            <w:r>
              <w:rPr>
                <w:rFonts w:hint="eastAsia" w:ascii="宋体" w:hAnsi="宋体" w:cs="宋体"/>
                <w:color w:val="auto"/>
                <w:sz w:val="20"/>
                <w:szCs w:val="20"/>
                <w:highlight w:val="none"/>
              </w:rPr>
              <w:t>拟派项目总监资质</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21AD">
            <w:pPr>
              <w:pStyle w:val="82"/>
              <w:widowControl/>
              <w:adjustRightInd w:val="0"/>
              <w:spacing w:line="240" w:lineRule="auto"/>
              <w:ind w:firstLine="0" w:firstLineChars="0"/>
              <w:rPr>
                <w:rFonts w:ascii="宋体" w:hAnsi="宋体" w:cs="宋体"/>
                <w:bCs/>
                <w:color w:val="auto"/>
                <w:kern w:val="0"/>
                <w:sz w:val="20"/>
                <w:szCs w:val="20"/>
                <w:highlight w:val="none"/>
              </w:rPr>
            </w:pPr>
            <w:r>
              <w:rPr>
                <w:rFonts w:ascii="宋体" w:hAnsi="宋体" w:cs="宋体"/>
                <w:bCs/>
                <w:color w:val="auto"/>
                <w:kern w:val="0"/>
                <w:sz w:val="20"/>
                <w:szCs w:val="20"/>
                <w:highlight w:val="none"/>
              </w:rPr>
              <w:t>国家注册监理工程师执业资格（注册专业为</w:t>
            </w:r>
            <w:r>
              <w:rPr>
                <w:rFonts w:hint="eastAsia" w:ascii="宋体" w:hAnsi="宋体" w:cs="宋体"/>
                <w:bCs/>
                <w:color w:val="auto"/>
                <w:kern w:val="0"/>
                <w:sz w:val="20"/>
                <w:szCs w:val="20"/>
                <w:highlight w:val="none"/>
                <w:lang w:eastAsia="zh-CN"/>
              </w:rPr>
              <w:t>市政公用工程</w:t>
            </w:r>
            <w:r>
              <w:rPr>
                <w:rFonts w:ascii="宋体" w:hAnsi="宋体" w:cs="宋体"/>
                <w:bCs/>
                <w:color w:val="auto"/>
                <w:kern w:val="0"/>
                <w:sz w:val="20"/>
                <w:szCs w:val="20"/>
                <w:highlight w:val="none"/>
              </w:rPr>
              <w:t>专业，注册单位为投标人本单位）</w:t>
            </w:r>
            <w:r>
              <w:rPr>
                <w:rFonts w:hint="eastAsia" w:ascii="宋体" w:hAnsi="宋体" w:cs="宋体"/>
                <w:bCs/>
                <w:color w:val="auto"/>
                <w:kern w:val="0"/>
                <w:sz w:val="20"/>
                <w:szCs w:val="20"/>
                <w:highlight w:val="none"/>
              </w:rPr>
              <w:t>，年龄不得超过5</w:t>
            </w:r>
            <w:r>
              <w:rPr>
                <w:rFonts w:ascii="宋体" w:hAnsi="宋体" w:cs="宋体"/>
                <w:bCs/>
                <w:color w:val="auto"/>
                <w:kern w:val="0"/>
                <w:sz w:val="20"/>
                <w:szCs w:val="20"/>
                <w:highlight w:val="none"/>
              </w:rPr>
              <w:t>5</w:t>
            </w:r>
            <w:r>
              <w:rPr>
                <w:rFonts w:hint="eastAsia" w:ascii="宋体" w:hAnsi="宋体" w:cs="宋体"/>
                <w:bCs/>
                <w:color w:val="auto"/>
                <w:kern w:val="0"/>
                <w:sz w:val="20"/>
                <w:szCs w:val="20"/>
                <w:highlight w:val="none"/>
              </w:rPr>
              <w:t>周岁</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264F">
            <w:pPr>
              <w:pStyle w:val="33"/>
              <w:widowControl/>
              <w:spacing w:after="0" w:line="240" w:lineRule="auto"/>
              <w:ind w:left="0" w:leftChars="0" w:firstLine="0" w:firstLineChars="0"/>
              <w:rPr>
                <w:rFonts w:hint="eastAsia" w:ascii="宋体" w:hAnsi="宋体" w:eastAsia="宋体" w:cs="宋体"/>
                <w:color w:val="auto"/>
                <w:sz w:val="20"/>
                <w:szCs w:val="20"/>
                <w:highlight w:val="none"/>
                <w:lang w:eastAsia="zh-CN"/>
              </w:rPr>
            </w:pPr>
            <w:r>
              <w:rPr>
                <w:rFonts w:ascii="宋体" w:hAnsi="宋体" w:cs="宋体"/>
                <w:bCs/>
                <w:color w:val="auto"/>
                <w:kern w:val="0"/>
                <w:sz w:val="20"/>
                <w:szCs w:val="20"/>
                <w:highlight w:val="none"/>
              </w:rPr>
              <w:t>国家注册监理工程师执业资格</w:t>
            </w:r>
            <w:r>
              <w:rPr>
                <w:rFonts w:hint="eastAsia" w:ascii="宋体" w:hAnsi="宋体" w:cs="宋体"/>
                <w:bCs/>
                <w:color w:val="auto"/>
                <w:kern w:val="0"/>
                <w:sz w:val="20"/>
                <w:szCs w:val="20"/>
                <w:highlight w:val="none"/>
                <w:lang w:val="en-US" w:eastAsia="zh-CN"/>
              </w:rPr>
              <w:t>证书及注册证书，</w:t>
            </w:r>
            <w:r>
              <w:rPr>
                <w:rFonts w:ascii="宋体" w:hAnsi="宋体" w:cs="宋体"/>
                <w:bCs/>
                <w:color w:val="auto"/>
                <w:kern w:val="0"/>
                <w:sz w:val="20"/>
                <w:szCs w:val="20"/>
                <w:highlight w:val="none"/>
              </w:rPr>
              <w:t>注册专业为</w:t>
            </w:r>
            <w:r>
              <w:rPr>
                <w:rFonts w:hint="eastAsia" w:ascii="宋体" w:hAnsi="宋体" w:cs="宋体"/>
                <w:bCs/>
                <w:color w:val="auto"/>
                <w:kern w:val="0"/>
                <w:sz w:val="20"/>
                <w:szCs w:val="20"/>
                <w:highlight w:val="none"/>
                <w:lang w:eastAsia="zh-CN"/>
              </w:rPr>
              <w:t>市政公用工程</w:t>
            </w:r>
            <w:r>
              <w:rPr>
                <w:rFonts w:ascii="宋体" w:hAnsi="宋体" w:cs="宋体"/>
                <w:bCs/>
                <w:color w:val="auto"/>
                <w:kern w:val="0"/>
                <w:sz w:val="20"/>
                <w:szCs w:val="20"/>
                <w:highlight w:val="none"/>
              </w:rPr>
              <w:t>专业</w:t>
            </w:r>
            <w:r>
              <w:rPr>
                <w:rFonts w:hint="eastAsia" w:ascii="宋体" w:hAnsi="宋体" w:cs="宋体"/>
                <w:color w:val="auto"/>
                <w:sz w:val="20"/>
                <w:szCs w:val="20"/>
                <w:highlight w:val="none"/>
              </w:rPr>
              <w:t>,聘用单位为投标单位。</w:t>
            </w:r>
            <w:r>
              <w:rPr>
                <w:rFonts w:hint="eastAsia" w:ascii="宋体" w:hAnsi="宋体" w:cs="宋体"/>
                <w:color w:val="auto"/>
                <w:sz w:val="20"/>
                <w:szCs w:val="20"/>
                <w:highlight w:val="none"/>
                <w:lang w:eastAsia="zh-CN"/>
              </w:rPr>
              <w:t>（不接受退休返聘人员）</w:t>
            </w:r>
          </w:p>
        </w:tc>
      </w:tr>
      <w:tr w14:paraId="6AA9A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D6E1">
            <w:pPr>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8011">
            <w:pPr>
              <w:adjustRightInd w:val="0"/>
              <w:spacing w:line="240" w:lineRule="auto"/>
              <w:rPr>
                <w:rFonts w:ascii="宋体" w:hAnsi="宋体" w:cs="宋体"/>
                <w:color w:val="auto"/>
                <w:sz w:val="20"/>
                <w:szCs w:val="20"/>
                <w:highlight w:val="none"/>
              </w:rPr>
            </w:pPr>
            <w:r>
              <w:rPr>
                <w:rFonts w:hint="eastAsia" w:ascii="宋体" w:hAnsi="宋体" w:cs="宋体"/>
                <w:color w:val="auto"/>
                <w:kern w:val="0"/>
                <w:sz w:val="20"/>
                <w:szCs w:val="20"/>
                <w:highlight w:val="none"/>
              </w:rPr>
              <w:t>拟派的总监理工程师须为投标企业的正式员工</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39CD">
            <w:pPr>
              <w:adjustRightInd w:val="0"/>
              <w:spacing w:line="240" w:lineRule="auto"/>
              <w:rPr>
                <w:rFonts w:ascii="宋体" w:hAnsi="宋体" w:cs="宋体"/>
                <w:color w:val="auto"/>
                <w:sz w:val="20"/>
                <w:szCs w:val="20"/>
                <w:highlight w:val="none"/>
              </w:rPr>
            </w:pPr>
            <w:r>
              <w:rPr>
                <w:rFonts w:hint="eastAsia" w:ascii="宋体" w:hAnsi="宋体" w:cs="宋体"/>
                <w:color w:val="auto"/>
                <w:sz w:val="20"/>
                <w:szCs w:val="20"/>
                <w:highlight w:val="none"/>
              </w:rPr>
              <w:t>拟派总监理工程师不得同时在两个或两个以上单位受聘或执业，具体指以下两点：</w:t>
            </w:r>
          </w:p>
          <w:p w14:paraId="760D83B9">
            <w:pPr>
              <w:adjustRightInd w:val="0"/>
              <w:spacing w:line="240" w:lineRule="auto"/>
              <w:rPr>
                <w:rFonts w:ascii="宋体" w:hAnsi="宋体" w:cs="宋体"/>
                <w:color w:val="auto"/>
                <w:sz w:val="20"/>
                <w:szCs w:val="20"/>
                <w:highlight w:val="none"/>
              </w:rPr>
            </w:pPr>
            <w:r>
              <w:rPr>
                <w:rFonts w:hint="eastAsia" w:ascii="宋体" w:hAnsi="宋体" w:cs="宋体"/>
                <w:color w:val="auto"/>
                <w:sz w:val="20"/>
                <w:szCs w:val="20"/>
                <w:highlight w:val="none"/>
              </w:rPr>
              <w:t>①未同时在两个及以上单位交纳社会保险；</w:t>
            </w:r>
          </w:p>
          <w:p w14:paraId="5B159349">
            <w:pPr>
              <w:adjustRightInd w:val="0"/>
              <w:spacing w:line="240" w:lineRule="auto"/>
              <w:rPr>
                <w:rFonts w:ascii="宋体" w:hAnsi="宋体" w:cs="宋体"/>
                <w:color w:val="auto"/>
                <w:sz w:val="20"/>
                <w:szCs w:val="20"/>
                <w:highlight w:val="none"/>
              </w:rPr>
            </w:pPr>
            <w:r>
              <w:rPr>
                <w:rFonts w:hint="eastAsia" w:ascii="宋体" w:hAnsi="宋体" w:cs="宋体"/>
                <w:color w:val="auto"/>
                <w:sz w:val="20"/>
                <w:szCs w:val="20"/>
                <w:highlight w:val="none"/>
              </w:rPr>
              <w:t>②未将本人执（职）业资格证书同时注册在两个及以上单位。</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9A9F">
            <w:pPr>
              <w:adjustRightInd w:val="0"/>
              <w:spacing w:line="240" w:lineRule="auto"/>
              <w:rPr>
                <w:rFonts w:ascii="宋体" w:hAnsi="宋体" w:cs="宋体"/>
                <w:color w:val="auto"/>
                <w:sz w:val="20"/>
                <w:szCs w:val="20"/>
                <w:highlight w:val="none"/>
              </w:rPr>
            </w:pPr>
            <w:r>
              <w:rPr>
                <w:rFonts w:hint="eastAsia" w:ascii="宋体" w:hAnsi="宋体" w:cs="宋体"/>
                <w:bCs/>
                <w:color w:val="auto"/>
                <w:kern w:val="0"/>
                <w:sz w:val="20"/>
                <w:szCs w:val="20"/>
                <w:highlight w:val="none"/>
              </w:rPr>
              <w:t>投标企业与拟派项目总监签订的有效劳动合同书</w:t>
            </w:r>
            <w:r>
              <w:rPr>
                <w:rFonts w:hint="eastAsia" w:ascii="宋体" w:hAnsi="宋体" w:cs="宋体"/>
                <w:bCs/>
                <w:color w:val="auto"/>
                <w:kern w:val="0"/>
                <w:sz w:val="20"/>
                <w:szCs w:val="20"/>
                <w:highlight w:val="none"/>
                <w:lang w:val="en-US" w:eastAsia="zh-CN"/>
              </w:rPr>
              <w:t>及近三个月</w:t>
            </w:r>
            <w:r>
              <w:rPr>
                <w:rFonts w:hint="eastAsia" w:ascii="宋体" w:hAnsi="宋体" w:cs="宋体"/>
                <w:color w:val="auto"/>
                <w:sz w:val="22"/>
                <w:szCs w:val="22"/>
                <w:highlight w:val="none"/>
                <w:lang w:val="en-US" w:eastAsia="zh-CN"/>
              </w:rPr>
              <w:t>（不含投标当月）</w:t>
            </w:r>
            <w:r>
              <w:rPr>
                <w:rFonts w:hint="eastAsia" w:ascii="宋体" w:hAnsi="宋体" w:cs="宋体"/>
                <w:bCs/>
                <w:color w:val="auto"/>
                <w:kern w:val="0"/>
                <w:sz w:val="20"/>
                <w:szCs w:val="20"/>
                <w:highlight w:val="none"/>
                <w:lang w:val="en-US" w:eastAsia="zh-CN"/>
              </w:rPr>
              <w:t>任意一个月的社会保险缴纳记录凭证</w:t>
            </w:r>
            <w:r>
              <w:rPr>
                <w:rFonts w:hint="eastAsia" w:ascii="宋体" w:hAnsi="宋体" w:cs="宋体"/>
                <w:bCs/>
                <w:color w:val="auto"/>
                <w:kern w:val="0"/>
                <w:sz w:val="20"/>
                <w:szCs w:val="20"/>
                <w:highlight w:val="none"/>
              </w:rPr>
              <w:t>；</w:t>
            </w:r>
          </w:p>
        </w:tc>
      </w:tr>
      <w:tr w14:paraId="72A18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234E">
            <w:pPr>
              <w:adjustRightInd w:val="0"/>
              <w:snapToGrid w:val="0"/>
              <w:spacing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A477">
            <w:pPr>
              <w:adjustRightInd w:val="0"/>
              <w:spacing w:line="240" w:lineRule="auto"/>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拟派项目组人员一览表</w:t>
            </w:r>
            <w:r>
              <w:rPr>
                <w:rFonts w:hint="eastAsia" w:ascii="宋体" w:hAnsi="宋体" w:cs="宋体"/>
                <w:b/>
                <w:bCs/>
                <w:color w:val="auto"/>
                <w:kern w:val="0"/>
                <w:sz w:val="20"/>
                <w:szCs w:val="20"/>
                <w:highlight w:val="none"/>
                <w:lang w:val="en-US" w:eastAsia="zh-CN"/>
              </w:rPr>
              <w:t>（格式自拟）</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79A9">
            <w:pPr>
              <w:adjustRightInd/>
              <w:spacing w:line="240" w:lineRule="auto"/>
              <w:rPr>
                <w:rFonts w:hint="eastAsia" w:ascii="宋体" w:hAnsi="宋体" w:cs="宋体"/>
                <w:color w:val="auto"/>
                <w:kern w:val="0"/>
                <w:sz w:val="20"/>
                <w:szCs w:val="20"/>
                <w:highlight w:val="none"/>
                <w:lang w:val="en-US" w:eastAsia="zh-CN"/>
              </w:rPr>
            </w:pPr>
            <w:r>
              <w:rPr>
                <w:rFonts w:hint="eastAsia" w:ascii="宋体" w:hAnsi="宋体" w:cs="TimesNewRomanPSMT"/>
                <w:color w:val="auto"/>
                <w:kern w:val="0"/>
                <w:szCs w:val="21"/>
                <w:highlight w:val="none"/>
              </w:rPr>
              <w:t>省级及以上注册监理工程师执业资格（提供注册证 书或专业监理工程师培训合格证、培训学时证明）</w:t>
            </w:r>
            <w:r>
              <w:rPr>
                <w:rFonts w:hint="eastAsia" w:ascii="宋体" w:hAnsi="宋体" w:cs="TimesNewRomanPSMT"/>
                <w:color w:val="auto"/>
                <w:kern w:val="0"/>
                <w:szCs w:val="21"/>
                <w:highlight w:val="none"/>
                <w:lang w:eastAsia="zh-CN"/>
              </w:rPr>
              <w:t>，市政和机电安装专业各</w:t>
            </w:r>
            <w:r>
              <w:rPr>
                <w:rFonts w:hint="eastAsia" w:ascii="宋体" w:hAnsi="宋体" w:cs="TimesNewRomanPSMT"/>
                <w:color w:val="auto"/>
                <w:kern w:val="0"/>
                <w:szCs w:val="21"/>
                <w:highlight w:val="none"/>
                <w:lang w:val="en-US" w:eastAsia="zh-CN"/>
              </w:rPr>
              <w:t>1人，</w:t>
            </w:r>
            <w:r>
              <w:rPr>
                <w:rFonts w:hint="eastAsia" w:ascii="宋体" w:hAnsi="宋体" w:cs="TimesNewRomanPSMT"/>
                <w:b/>
                <w:bCs/>
                <w:i/>
                <w:iCs/>
                <w:color w:val="auto"/>
                <w:kern w:val="0"/>
                <w:szCs w:val="21"/>
                <w:highlight w:val="none"/>
                <w:u w:val="single"/>
                <w:lang w:val="en-US" w:eastAsia="zh-CN"/>
              </w:rPr>
              <w:t>其中一人</w:t>
            </w:r>
            <w:r>
              <w:rPr>
                <w:rFonts w:hint="eastAsia" w:ascii="宋体" w:hAnsi="宋体" w:cs="宋体"/>
                <w:b/>
                <w:bCs/>
                <w:i/>
                <w:iCs/>
                <w:color w:val="auto"/>
                <w:kern w:val="0"/>
                <w:szCs w:val="21"/>
                <w:highlight w:val="none"/>
                <w:u w:val="single"/>
              </w:rPr>
              <w:t>须具有《工程质量检测见证取样人员岗位证书》，否则另需增加一名见证取样人员。</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FC37">
            <w:pPr>
              <w:adjustRightInd w:val="0"/>
              <w:spacing w:line="240" w:lineRule="auto"/>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拟派项目组人员一览表</w:t>
            </w:r>
            <w:r>
              <w:rPr>
                <w:rFonts w:hint="eastAsia" w:ascii="宋体" w:hAnsi="宋体" w:cs="宋体"/>
                <w:b/>
                <w:bCs/>
                <w:color w:val="auto"/>
                <w:kern w:val="0"/>
                <w:sz w:val="20"/>
                <w:szCs w:val="20"/>
                <w:highlight w:val="none"/>
                <w:lang w:val="en-US" w:eastAsia="zh-CN"/>
              </w:rPr>
              <w:t>（格式自拟）</w:t>
            </w:r>
            <w:r>
              <w:rPr>
                <w:rFonts w:hint="eastAsia" w:ascii="宋体" w:hAnsi="宋体" w:cs="宋体"/>
                <w:color w:val="auto"/>
                <w:kern w:val="0"/>
                <w:sz w:val="20"/>
                <w:szCs w:val="20"/>
                <w:highlight w:val="none"/>
                <w:lang w:val="en-US" w:eastAsia="zh-CN"/>
              </w:rPr>
              <w:t>，同时按第二章-投标人须知-1.4.4监理机构人员配备（项总监里工程师除外）要求提供相关资格证书及近三个月</w:t>
            </w:r>
            <w:r>
              <w:rPr>
                <w:rFonts w:hint="eastAsia" w:ascii="宋体" w:hAnsi="宋体" w:cs="宋体"/>
                <w:color w:val="auto"/>
                <w:sz w:val="22"/>
                <w:szCs w:val="22"/>
                <w:highlight w:val="none"/>
                <w:lang w:val="en-US" w:eastAsia="zh-CN"/>
              </w:rPr>
              <w:t>（不含投标当月）</w:t>
            </w:r>
            <w:r>
              <w:rPr>
                <w:rFonts w:hint="eastAsia" w:ascii="宋体" w:hAnsi="宋体" w:cs="宋体"/>
                <w:color w:val="auto"/>
                <w:kern w:val="0"/>
                <w:sz w:val="20"/>
                <w:szCs w:val="20"/>
                <w:highlight w:val="none"/>
                <w:lang w:val="en-US" w:eastAsia="zh-CN"/>
              </w:rPr>
              <w:t>任意一个月的社会保险缴纳记录凭证</w:t>
            </w:r>
            <w:r>
              <w:rPr>
                <w:rFonts w:hint="eastAsia" w:ascii="宋体" w:hAnsi="宋体" w:cs="宋体"/>
                <w:color w:val="auto"/>
                <w:kern w:val="0"/>
                <w:sz w:val="20"/>
                <w:szCs w:val="20"/>
                <w:highlight w:val="none"/>
              </w:rPr>
              <w:t>；</w:t>
            </w:r>
          </w:p>
        </w:tc>
      </w:tr>
      <w:tr w14:paraId="2EF25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957E">
            <w:pPr>
              <w:adjustRightInd w:val="0"/>
              <w:snapToGrid w:val="0"/>
              <w:spacing w:line="24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E07A">
            <w:pPr>
              <w:adjustRightInd w:val="0"/>
              <w:snapToGrid w:val="0"/>
              <w:spacing w:line="240" w:lineRule="auto"/>
              <w:rPr>
                <w:rFonts w:ascii="宋体" w:hAnsi="宋体" w:cs="宋体"/>
                <w:color w:val="auto"/>
                <w:sz w:val="20"/>
                <w:szCs w:val="20"/>
                <w:highlight w:val="none"/>
              </w:rPr>
            </w:pPr>
            <w:r>
              <w:rPr>
                <w:rFonts w:hint="eastAsia" w:ascii="宋体" w:hAnsi="宋体" w:cs="宋体"/>
                <w:color w:val="auto"/>
                <w:sz w:val="20"/>
                <w:szCs w:val="20"/>
                <w:highlight w:val="none"/>
              </w:rPr>
              <w:t>诚信承诺书</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6115">
            <w:pPr>
              <w:adjustRightInd w:val="0"/>
              <w:snapToGrid w:val="0"/>
              <w:spacing w:line="240" w:lineRule="auto"/>
              <w:rPr>
                <w:rFonts w:ascii="宋体" w:hAnsi="宋体" w:cs="宋体"/>
                <w:color w:val="auto"/>
                <w:sz w:val="20"/>
                <w:szCs w:val="20"/>
                <w:highlight w:val="none"/>
              </w:rPr>
            </w:pPr>
            <w:r>
              <w:rPr>
                <w:rFonts w:hint="eastAsia" w:ascii="宋体" w:hAnsi="宋体" w:cs="宋体"/>
                <w:color w:val="auto"/>
                <w:sz w:val="20"/>
                <w:szCs w:val="20"/>
                <w:highlight w:val="none"/>
              </w:rPr>
              <w:t>诚信承诺书</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F436">
            <w:pPr>
              <w:adjustRightInd w:val="0"/>
              <w:spacing w:line="240" w:lineRule="auto"/>
              <w:rPr>
                <w:rFonts w:ascii="宋体" w:hAnsi="宋体" w:cs="宋体"/>
                <w:color w:val="auto"/>
                <w:sz w:val="20"/>
                <w:szCs w:val="20"/>
                <w:highlight w:val="none"/>
              </w:rPr>
            </w:pPr>
            <w:r>
              <w:rPr>
                <w:rFonts w:hint="eastAsia" w:ascii="宋体" w:hAnsi="宋体" w:cs="宋体"/>
                <w:color w:val="auto"/>
                <w:sz w:val="20"/>
                <w:szCs w:val="20"/>
                <w:highlight w:val="none"/>
              </w:rPr>
              <w:t>有效的诚信承诺书原件</w:t>
            </w:r>
          </w:p>
          <w:p w14:paraId="1DCF4D3F">
            <w:pPr>
              <w:adjustRightInd w:val="0"/>
              <w:spacing w:line="240" w:lineRule="auto"/>
              <w:rPr>
                <w:rFonts w:ascii="宋体" w:hAnsi="宋体" w:cs="宋体"/>
                <w:color w:val="auto"/>
                <w:sz w:val="20"/>
                <w:szCs w:val="20"/>
                <w:highlight w:val="none"/>
              </w:rPr>
            </w:pPr>
            <w:r>
              <w:rPr>
                <w:rFonts w:hint="eastAsia" w:ascii="宋体" w:hAnsi="宋体" w:cs="宋体"/>
                <w:color w:val="auto"/>
                <w:kern w:val="0"/>
                <w:sz w:val="20"/>
                <w:szCs w:val="20"/>
                <w:highlight w:val="none"/>
              </w:rPr>
              <w:t>（格式详见第六章）</w:t>
            </w:r>
          </w:p>
        </w:tc>
      </w:tr>
      <w:tr w14:paraId="490CA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C5C8">
            <w:pPr>
              <w:adjustRightInd w:val="0"/>
              <w:snapToGrid w:val="0"/>
              <w:spacing w:line="24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DFE4">
            <w:pPr>
              <w:adjustRightInd w:val="0"/>
              <w:snapToGrid w:val="0"/>
              <w:spacing w:line="240" w:lineRule="auto"/>
              <w:rPr>
                <w:rFonts w:ascii="宋体" w:hAnsi="宋体" w:cs="宋体"/>
                <w:color w:val="auto"/>
                <w:sz w:val="20"/>
                <w:szCs w:val="20"/>
                <w:highlight w:val="none"/>
              </w:rPr>
            </w:pPr>
            <w:r>
              <w:rPr>
                <w:rFonts w:hint="eastAsia" w:ascii="宋体" w:hAnsi="宋体" w:cs="宋体"/>
                <w:color w:val="auto"/>
                <w:sz w:val="20"/>
                <w:szCs w:val="20"/>
                <w:highlight w:val="none"/>
              </w:rPr>
              <w:t>超期费用承诺书</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8C27">
            <w:pPr>
              <w:adjustRightInd w:val="0"/>
              <w:snapToGrid w:val="0"/>
              <w:spacing w:line="240" w:lineRule="auto"/>
              <w:rPr>
                <w:rFonts w:ascii="宋体" w:hAnsi="宋体" w:cs="宋体"/>
                <w:color w:val="auto"/>
                <w:sz w:val="20"/>
                <w:szCs w:val="20"/>
                <w:highlight w:val="none"/>
              </w:rPr>
            </w:pPr>
            <w:r>
              <w:rPr>
                <w:rFonts w:hint="eastAsia" w:ascii="宋体" w:hAnsi="宋体" w:cs="宋体"/>
                <w:color w:val="auto"/>
                <w:sz w:val="20"/>
                <w:szCs w:val="20"/>
                <w:highlight w:val="none"/>
              </w:rPr>
              <w:t>超期费用承诺书</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A498">
            <w:pPr>
              <w:adjustRightInd w:val="0"/>
              <w:spacing w:line="240" w:lineRule="auto"/>
              <w:rPr>
                <w:rFonts w:ascii="宋体" w:hAnsi="宋体" w:cs="宋体"/>
                <w:color w:val="auto"/>
                <w:sz w:val="20"/>
                <w:szCs w:val="20"/>
                <w:highlight w:val="none"/>
              </w:rPr>
            </w:pPr>
            <w:r>
              <w:rPr>
                <w:rFonts w:hint="eastAsia" w:ascii="宋体" w:hAnsi="宋体" w:cs="宋体"/>
                <w:color w:val="auto"/>
                <w:sz w:val="20"/>
                <w:szCs w:val="20"/>
                <w:highlight w:val="none"/>
              </w:rPr>
              <w:t>有效的超期费用承诺书原件</w:t>
            </w:r>
          </w:p>
          <w:p w14:paraId="07BE2BC9">
            <w:pPr>
              <w:adjustRightInd w:val="0"/>
              <w:spacing w:line="240" w:lineRule="auto"/>
              <w:rPr>
                <w:rFonts w:ascii="宋体" w:hAnsi="宋体" w:cs="宋体"/>
                <w:color w:val="auto"/>
                <w:sz w:val="20"/>
                <w:szCs w:val="20"/>
                <w:highlight w:val="none"/>
              </w:rPr>
            </w:pPr>
            <w:r>
              <w:rPr>
                <w:rFonts w:hint="eastAsia" w:ascii="宋体" w:hAnsi="宋体" w:cs="宋体"/>
                <w:color w:val="auto"/>
                <w:kern w:val="0"/>
                <w:sz w:val="20"/>
                <w:szCs w:val="20"/>
                <w:highlight w:val="none"/>
              </w:rPr>
              <w:t>（格式详见第六章）</w:t>
            </w:r>
          </w:p>
        </w:tc>
      </w:tr>
      <w:tr w14:paraId="5F42C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9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FCEA91">
            <w:pPr>
              <w:autoSpaceDE w:val="0"/>
              <w:autoSpaceDN w:val="0"/>
              <w:adjustRightInd w:val="0"/>
              <w:spacing w:line="240" w:lineRule="auto"/>
              <w:jc w:val="left"/>
              <w:rPr>
                <w:rFonts w:ascii="宋体" w:hAnsi="宋体" w:cs="宋体"/>
                <w:color w:val="auto"/>
                <w:sz w:val="20"/>
                <w:szCs w:val="20"/>
                <w:highlight w:val="none"/>
              </w:rPr>
            </w:pPr>
            <w:r>
              <w:rPr>
                <w:rFonts w:hint="eastAsia" w:ascii="宋体" w:hAnsi="宋体" w:cs="宋体"/>
                <w:color w:val="auto"/>
                <w:sz w:val="20"/>
                <w:szCs w:val="20"/>
                <w:highlight w:val="none"/>
              </w:rPr>
              <w:t>注：</w:t>
            </w:r>
          </w:p>
          <w:p w14:paraId="62456BE4">
            <w:pPr>
              <w:autoSpaceDE w:val="0"/>
              <w:autoSpaceDN w:val="0"/>
              <w:adjustRightInd w:val="0"/>
              <w:spacing w:line="240" w:lineRule="auto"/>
              <w:ind w:firstLine="400" w:firstLineChars="200"/>
              <w:jc w:val="left"/>
              <w:rPr>
                <w:rFonts w:ascii="宋体" w:hAnsi="宋体" w:cs="宋体"/>
                <w:b/>
                <w:color w:val="auto"/>
                <w:kern w:val="0"/>
                <w:sz w:val="20"/>
                <w:szCs w:val="20"/>
                <w:highlight w:val="none"/>
              </w:rPr>
            </w:pPr>
            <w:r>
              <w:rPr>
                <w:rFonts w:hint="eastAsia" w:ascii="宋体" w:hAnsi="宋体" w:cs="宋体"/>
                <w:color w:val="auto"/>
                <w:sz w:val="20"/>
                <w:szCs w:val="20"/>
                <w:highlight w:val="none"/>
              </w:rPr>
              <w:t>（1）</w:t>
            </w:r>
            <w:r>
              <w:rPr>
                <w:rFonts w:hint="eastAsia" w:ascii="宋体" w:hAnsi="宋体" w:cs="宋体"/>
                <w:color w:val="auto"/>
                <w:kern w:val="0"/>
                <w:sz w:val="20"/>
                <w:szCs w:val="20"/>
                <w:highlight w:val="none"/>
              </w:rPr>
              <w:t>资格审查阶段，评标委员会根据</w:t>
            </w:r>
            <w:r>
              <w:rPr>
                <w:rFonts w:hint="eastAsia" w:ascii="宋体" w:hAnsi="宋体" w:cs="宋体"/>
                <w:bCs/>
                <w:color w:val="auto"/>
                <w:kern w:val="0"/>
                <w:sz w:val="20"/>
                <w:szCs w:val="20"/>
                <w:highlight w:val="none"/>
              </w:rPr>
              <w:t>资格审查标准、</w:t>
            </w:r>
            <w:r>
              <w:rPr>
                <w:rFonts w:hint="eastAsia" w:ascii="宋体" w:hAnsi="宋体" w:cs="宋体"/>
                <w:color w:val="auto"/>
                <w:kern w:val="0"/>
                <w:sz w:val="20"/>
                <w:szCs w:val="20"/>
                <w:highlight w:val="none"/>
              </w:rPr>
              <w:t>资格审查条件、“资格审查文件”中的资料进行资格评审，请投标人按照本招标文件要求准确提供全部资料，否则</w:t>
            </w:r>
            <w:r>
              <w:rPr>
                <w:rFonts w:hint="eastAsia" w:ascii="宋体" w:hAnsi="宋体" w:cs="宋体"/>
                <w:color w:val="auto"/>
                <w:kern w:val="0"/>
                <w:sz w:val="20"/>
                <w:szCs w:val="20"/>
                <w:highlight w:val="none"/>
                <w:lang w:eastAsia="zh-CN"/>
              </w:rPr>
              <w:t>作废标处理</w:t>
            </w:r>
            <w:r>
              <w:rPr>
                <w:rFonts w:hint="eastAsia" w:ascii="宋体" w:hAnsi="宋体" w:cs="宋体"/>
                <w:b/>
                <w:color w:val="auto"/>
                <w:kern w:val="0"/>
                <w:sz w:val="20"/>
                <w:szCs w:val="20"/>
                <w:highlight w:val="none"/>
                <w:lang w:val="zh-CN"/>
              </w:rPr>
              <w:t>。</w:t>
            </w:r>
          </w:p>
          <w:p w14:paraId="1A7E2A68">
            <w:pPr>
              <w:widowControl/>
              <w:adjustRightInd w:val="0"/>
              <w:spacing w:line="240" w:lineRule="auto"/>
              <w:ind w:firstLine="400" w:firstLineChars="2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（2）上述表中1-</w:t>
            </w:r>
            <w:r>
              <w:rPr>
                <w:rFonts w:hint="eastAsia" w:ascii="宋体" w:hAnsi="宋体" w:cs="宋体"/>
                <w:color w:val="auto"/>
                <w:kern w:val="0"/>
                <w:sz w:val="20"/>
                <w:szCs w:val="20"/>
                <w:highlight w:val="none"/>
                <w:lang w:val="en-US" w:eastAsia="zh-CN"/>
              </w:rPr>
              <w:t>9</w:t>
            </w:r>
            <w:r>
              <w:rPr>
                <w:rFonts w:hint="eastAsia" w:ascii="宋体" w:hAnsi="宋体" w:cs="宋体"/>
                <w:color w:val="auto"/>
                <w:kern w:val="0"/>
                <w:sz w:val="20"/>
                <w:szCs w:val="20"/>
                <w:highlight w:val="none"/>
              </w:rPr>
              <w:t>项</w:t>
            </w:r>
            <w:r>
              <w:rPr>
                <w:rFonts w:hint="eastAsia" w:ascii="宋体" w:hAnsi="宋体" w:cs="宋体"/>
                <w:color w:val="auto"/>
                <w:kern w:val="0"/>
                <w:sz w:val="20"/>
                <w:szCs w:val="20"/>
                <w:highlight w:val="none"/>
                <w:lang w:val="zh-CN"/>
              </w:rPr>
              <w:t>中任何一条不符合要求的，则资格审查不通过。且上述</w:t>
            </w:r>
            <w:r>
              <w:rPr>
                <w:rFonts w:hint="eastAsia" w:ascii="宋体" w:hAnsi="宋体" w:cs="宋体"/>
                <w:color w:val="auto"/>
                <w:kern w:val="0"/>
                <w:sz w:val="20"/>
                <w:szCs w:val="20"/>
                <w:highlight w:val="none"/>
              </w:rPr>
              <w:t>表中</w:t>
            </w:r>
            <w:r>
              <w:rPr>
                <w:rFonts w:hint="eastAsia" w:ascii="宋体" w:hAnsi="宋体" w:cs="宋体"/>
                <w:color w:val="auto"/>
                <w:kern w:val="0"/>
                <w:sz w:val="20"/>
                <w:szCs w:val="20"/>
                <w:highlight w:val="none"/>
                <w:lang w:val="en-US" w:eastAsia="zh-CN"/>
              </w:rPr>
              <w:t>4</w:t>
            </w:r>
            <w:r>
              <w:rPr>
                <w:rFonts w:hint="eastAsia" w:ascii="宋体" w:hAnsi="宋体" w:cs="宋体"/>
                <w:color w:val="auto"/>
                <w:kern w:val="0"/>
                <w:sz w:val="20"/>
                <w:szCs w:val="20"/>
                <w:highlight w:val="none"/>
                <w:lang w:val="zh-CN"/>
              </w:rPr>
              <w:t>-</w:t>
            </w:r>
            <w:r>
              <w:rPr>
                <w:rFonts w:hint="eastAsia" w:ascii="宋体" w:hAnsi="宋体" w:cs="宋体"/>
                <w:color w:val="auto"/>
                <w:kern w:val="0"/>
                <w:sz w:val="20"/>
                <w:szCs w:val="20"/>
                <w:highlight w:val="none"/>
                <w:lang w:val="en-US" w:eastAsia="zh-CN"/>
              </w:rPr>
              <w:t>7</w:t>
            </w:r>
            <w:r>
              <w:rPr>
                <w:rFonts w:hint="eastAsia" w:ascii="宋体" w:hAnsi="宋体" w:cs="宋体"/>
                <w:color w:val="auto"/>
                <w:kern w:val="0"/>
                <w:sz w:val="20"/>
                <w:szCs w:val="20"/>
                <w:highlight w:val="none"/>
              </w:rPr>
              <w:t>项</w:t>
            </w:r>
            <w:r>
              <w:rPr>
                <w:rFonts w:hint="eastAsia" w:ascii="宋体" w:hAnsi="宋体" w:cs="宋体"/>
                <w:color w:val="auto"/>
                <w:kern w:val="0"/>
                <w:sz w:val="20"/>
                <w:szCs w:val="20"/>
                <w:highlight w:val="none"/>
                <w:lang w:val="zh-CN"/>
              </w:rPr>
              <w:t>提供</w:t>
            </w:r>
            <w:r>
              <w:rPr>
                <w:rFonts w:hint="eastAsia" w:ascii="宋体" w:hAnsi="宋体" w:cs="宋体"/>
                <w:color w:val="auto"/>
                <w:kern w:val="0"/>
                <w:sz w:val="20"/>
                <w:szCs w:val="20"/>
                <w:highlight w:val="none"/>
              </w:rPr>
              <w:t>有效原件的</w:t>
            </w:r>
            <w:r>
              <w:rPr>
                <w:rFonts w:hint="eastAsia" w:ascii="宋体" w:hAnsi="宋体" w:cs="宋体"/>
                <w:color w:val="auto"/>
                <w:kern w:val="0"/>
                <w:sz w:val="20"/>
                <w:szCs w:val="20"/>
                <w:highlight w:val="none"/>
                <w:lang w:val="zh-CN"/>
              </w:rPr>
              <w:t>复印件并加盖</w:t>
            </w:r>
            <w:r>
              <w:rPr>
                <w:rFonts w:hint="eastAsia" w:ascii="宋体" w:hAnsi="宋体" w:cs="宋体"/>
                <w:color w:val="auto"/>
                <w:kern w:val="0"/>
                <w:sz w:val="20"/>
                <w:szCs w:val="20"/>
                <w:highlight w:val="none"/>
              </w:rPr>
              <w:t>投标单位</w:t>
            </w:r>
            <w:r>
              <w:rPr>
                <w:rFonts w:hint="eastAsia" w:ascii="宋体" w:hAnsi="宋体" w:cs="宋体"/>
                <w:color w:val="auto"/>
                <w:kern w:val="0"/>
                <w:sz w:val="20"/>
                <w:szCs w:val="20"/>
                <w:highlight w:val="none"/>
                <w:lang w:val="zh-CN"/>
              </w:rPr>
              <w:t>公章，否则资格审查不通过。</w:t>
            </w:r>
          </w:p>
          <w:p w14:paraId="6D50B97E">
            <w:pPr>
              <w:widowControl/>
              <w:adjustRightInd w:val="0"/>
              <w:spacing w:line="240" w:lineRule="auto"/>
              <w:ind w:firstLine="402" w:firstLineChars="200"/>
              <w:jc w:val="left"/>
              <w:rPr>
                <w:rFonts w:ascii="宋体" w:hAnsi="宋体" w:cs="宋体"/>
                <w:color w:val="auto"/>
                <w:szCs w:val="21"/>
                <w:highlight w:val="none"/>
              </w:rPr>
            </w:pPr>
            <w:r>
              <w:rPr>
                <w:rFonts w:hint="eastAsia" w:ascii="宋体" w:hAnsi="宋体" w:cs="宋体"/>
                <w:b/>
                <w:bCs/>
                <w:color w:val="auto"/>
                <w:kern w:val="0"/>
                <w:sz w:val="20"/>
                <w:szCs w:val="20"/>
                <w:highlight w:val="none"/>
              </w:rPr>
              <w:t>（3）如法人名称和法定代表人姓名发生变化，请提供相关证明。否则，资格审查不通过。</w:t>
            </w:r>
          </w:p>
        </w:tc>
      </w:tr>
    </w:tbl>
    <w:p w14:paraId="3E3561E5">
      <w:pPr>
        <w:spacing w:line="440" w:lineRule="exact"/>
        <w:ind w:firstLine="440" w:firstLineChars="200"/>
        <w:rPr>
          <w:rFonts w:ascii="宋体" w:hAnsi="宋体" w:cs="宋体"/>
          <w:b/>
          <w:bCs/>
          <w:color w:val="auto"/>
          <w:kern w:val="0"/>
          <w:sz w:val="22"/>
          <w:szCs w:val="22"/>
          <w:highlight w:val="none"/>
        </w:rPr>
      </w:pPr>
      <w:r>
        <w:rPr>
          <w:rFonts w:hint="eastAsia" w:ascii="宋体" w:hAnsi="宋体" w:cs="宋体"/>
          <w:color w:val="auto"/>
          <w:sz w:val="22"/>
          <w:szCs w:val="22"/>
          <w:highlight w:val="none"/>
        </w:rPr>
        <w:t>本次资格审查采用合格制，各投标人只有满足资格审查必要合格条件后，方可参与商务标的评审。</w:t>
      </w:r>
    </w:p>
    <w:p w14:paraId="3290B075">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三、商务标评标（100分）：</w:t>
      </w:r>
    </w:p>
    <w:p w14:paraId="09DC5FF8">
      <w:pPr>
        <w:spacing w:line="44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本项目最高投标限价监理费：</w:t>
      </w:r>
      <w:r>
        <w:rPr>
          <w:rFonts w:hint="eastAsia" w:ascii="宋体" w:hAnsi="宋体" w:cs="宋体"/>
          <w:b/>
          <w:bCs/>
          <w:color w:val="auto"/>
          <w:sz w:val="22"/>
          <w:szCs w:val="22"/>
          <w:highlight w:val="none"/>
          <w:lang w:val="en-US" w:eastAsia="zh-CN"/>
        </w:rPr>
        <w:t>15.4</w:t>
      </w:r>
      <w:r>
        <w:rPr>
          <w:rFonts w:hint="eastAsia" w:ascii="宋体" w:hAnsi="宋体" w:cs="宋体"/>
          <w:b/>
          <w:bCs/>
          <w:color w:val="auto"/>
          <w:sz w:val="22"/>
          <w:szCs w:val="22"/>
          <w:highlight w:val="none"/>
        </w:rPr>
        <w:t>万元。</w:t>
      </w:r>
    </w:p>
    <w:p w14:paraId="6108A5CD">
      <w:pPr>
        <w:numPr>
          <w:ilvl w:val="0"/>
          <w:numId w:val="2"/>
        </w:numPr>
        <w:autoSpaceDE w:val="0"/>
        <w:autoSpaceDN w:val="0"/>
        <w:adjustRightInd w:val="0"/>
        <w:spacing w:line="440" w:lineRule="exact"/>
        <w:ind w:firstLine="431" w:firstLineChars="196"/>
        <w:rPr>
          <w:rFonts w:ascii="宋体" w:hAnsi="宋体" w:cs="宋体"/>
          <w:color w:val="auto"/>
          <w:sz w:val="22"/>
          <w:szCs w:val="22"/>
          <w:highlight w:val="none"/>
        </w:rPr>
      </w:pPr>
      <w:r>
        <w:rPr>
          <w:rFonts w:hint="eastAsia" w:ascii="宋体" w:hAnsi="宋体" w:cs="宋体"/>
          <w:color w:val="auto"/>
          <w:sz w:val="22"/>
          <w:szCs w:val="22"/>
          <w:highlight w:val="none"/>
        </w:rPr>
        <w:t>确定有效报价</w:t>
      </w:r>
    </w:p>
    <w:p w14:paraId="51A2B4FF">
      <w:pPr>
        <w:autoSpaceDE w:val="0"/>
        <w:autoSpaceDN w:val="0"/>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是指投标人投标报价不高于招标人设定的最高投标限价，投标报价高于最高投标限价的为无效报价，作废标处理。</w:t>
      </w:r>
    </w:p>
    <w:p w14:paraId="052781B7">
      <w:pPr>
        <w:autoSpaceDE w:val="0"/>
        <w:autoSpaceDN w:val="0"/>
        <w:adjustRightInd w:val="0"/>
        <w:spacing w:line="440" w:lineRule="exact"/>
        <w:ind w:firstLine="431" w:firstLineChars="196"/>
        <w:rPr>
          <w:rFonts w:ascii="宋体" w:hAnsi="宋体" w:cs="宋体"/>
          <w:color w:val="auto"/>
          <w:sz w:val="22"/>
          <w:szCs w:val="22"/>
          <w:highlight w:val="none"/>
        </w:rPr>
      </w:pPr>
      <w:r>
        <w:rPr>
          <w:rFonts w:hint="eastAsia" w:ascii="宋体" w:hAnsi="宋体" w:cs="宋体"/>
          <w:color w:val="auto"/>
          <w:sz w:val="22"/>
          <w:szCs w:val="22"/>
          <w:highlight w:val="none"/>
        </w:rPr>
        <w:t>无效报价、被宣布为废标的投标报价均不参与评标基准价的计算。</w:t>
      </w:r>
    </w:p>
    <w:p w14:paraId="5A8A9EA1">
      <w:pPr>
        <w:autoSpaceDE w:val="0"/>
        <w:autoSpaceDN w:val="0"/>
        <w:adjustRightInd w:val="0"/>
        <w:spacing w:line="440" w:lineRule="exact"/>
        <w:ind w:firstLine="431" w:firstLineChars="196"/>
        <w:rPr>
          <w:rFonts w:ascii="宋体" w:hAnsi="宋体" w:cs="宋体"/>
          <w:color w:val="auto"/>
          <w:sz w:val="22"/>
          <w:szCs w:val="22"/>
          <w:highlight w:val="none"/>
        </w:rPr>
      </w:pPr>
      <w:r>
        <w:rPr>
          <w:rFonts w:hint="eastAsia" w:ascii="宋体" w:hAnsi="宋体" w:cs="宋体"/>
          <w:color w:val="auto"/>
          <w:sz w:val="22"/>
          <w:szCs w:val="22"/>
          <w:highlight w:val="none"/>
        </w:rPr>
        <w:t>（2）确定评标基准价</w:t>
      </w:r>
    </w:p>
    <w:p w14:paraId="7E3AEFB1">
      <w:pPr>
        <w:autoSpaceDE w:val="0"/>
        <w:autoSpaceDN w:val="0"/>
        <w:adjustRightInd w:val="0"/>
        <w:spacing w:line="440" w:lineRule="exact"/>
        <w:ind w:firstLine="431" w:firstLineChars="196"/>
        <w:rPr>
          <w:rFonts w:ascii="宋体" w:hAnsi="宋体" w:cs="宋体"/>
          <w:color w:val="auto"/>
          <w:sz w:val="22"/>
          <w:szCs w:val="22"/>
          <w:highlight w:val="none"/>
        </w:rPr>
      </w:pPr>
      <w:r>
        <w:rPr>
          <w:rFonts w:hint="eastAsia" w:ascii="宋体" w:hAnsi="宋体" w:cs="宋体"/>
          <w:color w:val="auto"/>
          <w:sz w:val="22"/>
          <w:szCs w:val="22"/>
          <w:highlight w:val="none"/>
        </w:rPr>
        <w:t>以有效投标文件的评标价算术平均值为评标基准价；</w:t>
      </w:r>
    </w:p>
    <w:p w14:paraId="0EA825BB">
      <w:pPr>
        <w:autoSpaceDE w:val="0"/>
        <w:autoSpaceDN w:val="0"/>
        <w:adjustRightInd w:val="0"/>
        <w:spacing w:line="440" w:lineRule="exact"/>
        <w:ind w:firstLine="431" w:firstLineChars="196"/>
        <w:rPr>
          <w:rFonts w:ascii="宋体" w:hAnsi="宋体" w:cs="宋体"/>
          <w:color w:val="auto"/>
          <w:sz w:val="22"/>
          <w:szCs w:val="22"/>
          <w:highlight w:val="none"/>
        </w:rPr>
      </w:pPr>
      <w:r>
        <w:rPr>
          <w:rFonts w:hint="eastAsia" w:ascii="宋体" w:hAnsi="宋体" w:cs="宋体"/>
          <w:color w:val="auto"/>
          <w:sz w:val="22"/>
          <w:szCs w:val="22"/>
          <w:highlight w:val="none"/>
        </w:rPr>
        <w:t xml:space="preserve">投标人的投标报价与评标基准价相等的得商务标满分，与评标基准价相比较，每上浮1%扣0.9分，下浮1%扣0.6分。(不足1%的，采用插入法，得分四舍五入后保留两位小数)。 </w:t>
      </w:r>
    </w:p>
    <w:p w14:paraId="2262ABE4">
      <w:pPr>
        <w:autoSpaceDE w:val="0"/>
        <w:autoSpaceDN w:val="0"/>
        <w:adjustRightInd w:val="0"/>
        <w:spacing w:line="440" w:lineRule="exact"/>
        <w:ind w:firstLine="431" w:firstLineChars="196"/>
        <w:rPr>
          <w:rFonts w:ascii="宋体" w:hAnsi="宋体" w:cs="宋体"/>
          <w:color w:val="auto"/>
          <w:sz w:val="22"/>
          <w:szCs w:val="22"/>
          <w:highlight w:val="none"/>
        </w:rPr>
      </w:pPr>
      <w:r>
        <w:rPr>
          <w:rFonts w:hint="eastAsia" w:ascii="宋体" w:hAnsi="宋体" w:cs="宋体"/>
          <w:color w:val="auto"/>
          <w:sz w:val="22"/>
          <w:szCs w:val="22"/>
          <w:highlight w:val="none"/>
        </w:rPr>
        <w:t>注：</w:t>
      </w:r>
    </w:p>
    <w:p w14:paraId="7399507C">
      <w:pPr>
        <w:autoSpaceDE w:val="0"/>
        <w:autoSpaceDN w:val="0"/>
        <w:adjustRightInd w:val="0"/>
        <w:spacing w:line="440" w:lineRule="exact"/>
        <w:ind w:firstLine="431" w:firstLineChars="196"/>
        <w:rPr>
          <w:rFonts w:ascii="宋体" w:hAnsi="宋体" w:cs="宋体"/>
          <w:color w:val="auto"/>
          <w:sz w:val="22"/>
          <w:szCs w:val="22"/>
          <w:highlight w:val="none"/>
        </w:rPr>
      </w:pPr>
      <w:r>
        <w:rPr>
          <w:rFonts w:hint="eastAsia" w:ascii="宋体" w:hAnsi="宋体" w:cs="宋体"/>
          <w:color w:val="auto"/>
          <w:sz w:val="22"/>
          <w:szCs w:val="22"/>
          <w:highlight w:val="none"/>
        </w:rPr>
        <w:t>（1）评标价指经澄清、补正和修正算术计算错误的投标报价；</w:t>
      </w:r>
    </w:p>
    <w:p w14:paraId="3D06A619">
      <w:pPr>
        <w:autoSpaceDE w:val="0"/>
        <w:autoSpaceDN w:val="0"/>
        <w:adjustRightInd w:val="0"/>
        <w:spacing w:line="440" w:lineRule="exact"/>
        <w:ind w:firstLine="431" w:firstLineChars="196"/>
        <w:rPr>
          <w:rFonts w:ascii="宋体" w:hAnsi="宋体" w:cs="宋体"/>
          <w:color w:val="auto"/>
          <w:sz w:val="22"/>
          <w:szCs w:val="22"/>
          <w:highlight w:val="none"/>
        </w:rPr>
      </w:pPr>
      <w:r>
        <w:rPr>
          <w:rFonts w:hint="eastAsia" w:ascii="宋体" w:hAnsi="宋体" w:cs="宋体"/>
          <w:color w:val="auto"/>
          <w:sz w:val="22"/>
          <w:szCs w:val="22"/>
          <w:highlight w:val="none"/>
        </w:rPr>
        <w:t>（2) 有效投标文件是指未被评标委员会判定为无效标或废标的投标文件；</w:t>
      </w:r>
    </w:p>
    <w:p w14:paraId="5CEA81DA">
      <w:pPr>
        <w:widowControl/>
        <w:spacing w:line="44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（3）评标委员会在评标报告签字后，评标基准价不因招投标当事人质疑、投诉、复议以及其他任何情形而改变，但评标过程中的计算错误可作调整。</w:t>
      </w:r>
    </w:p>
    <w:p w14:paraId="3D388A5D">
      <w:pPr>
        <w:widowControl/>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四、确定中标候选人</w:t>
      </w:r>
    </w:p>
    <w:p w14:paraId="1BD1B3C9">
      <w:pPr>
        <w:widowControl/>
        <w:spacing w:line="44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评标委员会按照各投标人的投标报价，按得分从高到低的顺序确定前三名中标候选人。若投标报价得分相同，则投标报价低者优先；若投标报价仍相同，则采取现场随机抽签的方式确定最终的中标候选人排名。</w:t>
      </w:r>
    </w:p>
    <w:p w14:paraId="203C077D">
      <w:pPr>
        <w:widowControl/>
        <w:spacing w:line="440" w:lineRule="exact"/>
        <w:ind w:firstLine="442" w:firstLineChars="200"/>
        <w:jc w:val="lef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A96AD68">
      <w:pPr>
        <w:widowControl/>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五、如果评标委员会根据规定作无效标处理后，有效投标不足三个，评标委员会应当对是否具有竞争性进行判断：有竞争性的，按有效投标最终得分由高至低的次序推荐中标候选人；缺乏竞争的，评标委员会应当否决全部投标。</w:t>
      </w:r>
    </w:p>
    <w:p w14:paraId="7FF11656">
      <w:pPr>
        <w:widowControl/>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六、评标过程中出现本评标办法未尽事宜，由评标委员会根据有关法律法规讨论并作出最终解释。</w:t>
      </w:r>
    </w:p>
    <w:p w14:paraId="46AAE4F0">
      <w:pPr>
        <w:widowControl/>
        <w:spacing w:line="440" w:lineRule="exact"/>
        <w:ind w:firstLine="440" w:firstLineChars="200"/>
        <w:jc w:val="left"/>
        <w:rPr>
          <w:rFonts w:ascii="宋体" w:hAnsi="宋体" w:cs="宋体"/>
          <w:color w:val="auto"/>
          <w:sz w:val="22"/>
          <w:szCs w:val="22"/>
          <w:highlight w:val="none"/>
        </w:rPr>
      </w:pPr>
    </w:p>
    <w:p w14:paraId="7B4D1800">
      <w:pPr>
        <w:widowControl/>
        <w:spacing w:line="360" w:lineRule="auto"/>
        <w:jc w:val="center"/>
        <w:rPr>
          <w:rFonts w:ascii="宋体" w:hAnsi="宋体" w:cs="宋体"/>
          <w:color w:val="auto"/>
          <w:highlight w:val="none"/>
        </w:rPr>
      </w:pPr>
      <w:r>
        <w:rPr>
          <w:rFonts w:hint="eastAsia" w:ascii="宋体" w:cs="宋体"/>
          <w:color w:val="auto"/>
          <w:kern w:val="0"/>
          <w:szCs w:val="21"/>
          <w:highlight w:val="none"/>
        </w:rPr>
        <w:br w:type="page"/>
      </w:r>
      <w:r>
        <w:rPr>
          <w:rFonts w:hint="eastAsia" w:ascii="宋体" w:hAnsi="宋体" w:cs="宋体"/>
          <w:bCs/>
          <w:color w:val="auto"/>
          <w:sz w:val="32"/>
          <w:szCs w:val="32"/>
          <w:highlight w:val="none"/>
        </w:rPr>
        <w:t>第四章 合同条款及格式</w:t>
      </w:r>
      <w:bookmarkEnd w:id="106"/>
    </w:p>
    <w:p w14:paraId="1BFC08EA">
      <w:pPr>
        <w:pStyle w:val="3"/>
        <w:spacing w:line="360" w:lineRule="auto"/>
        <w:jc w:val="center"/>
        <w:rPr>
          <w:rFonts w:ascii="宋体" w:hAnsi="宋体" w:eastAsia="宋体" w:cs="宋体"/>
          <w:b/>
          <w:bCs w:val="0"/>
          <w:color w:val="auto"/>
          <w:highlight w:val="none"/>
        </w:rPr>
      </w:pPr>
      <w:bookmarkStart w:id="107" w:name="_Toc9194587"/>
      <w:bookmarkStart w:id="108" w:name="_Toc398111683"/>
      <w:bookmarkStart w:id="109" w:name="_Toc24619"/>
      <w:r>
        <w:rPr>
          <w:rFonts w:hint="eastAsia" w:ascii="宋体" w:hAnsi="宋体" w:eastAsia="宋体" w:cs="宋体"/>
          <w:b/>
          <w:bCs w:val="0"/>
          <w:color w:val="auto"/>
          <w:highlight w:val="none"/>
        </w:rPr>
        <w:t>第一部分  协议书</w:t>
      </w:r>
      <w:bookmarkEnd w:id="107"/>
      <w:bookmarkEnd w:id="108"/>
      <w:bookmarkEnd w:id="109"/>
    </w:p>
    <w:p w14:paraId="1617A54C">
      <w:pPr>
        <w:adjustRightInd w:val="0"/>
        <w:snapToGrid w:val="0"/>
        <w:spacing w:line="440" w:lineRule="exact"/>
        <w:ind w:firstLine="442" w:firstLineChars="200"/>
        <w:rPr>
          <w:rFonts w:hint="eastAsia" w:ascii="宋体" w:hAnsi="宋体" w:cs="宋体"/>
          <w:b/>
          <w:color w:val="auto"/>
          <w:sz w:val="22"/>
          <w:szCs w:val="22"/>
          <w:highlight w:val="none"/>
          <w:u w:val="single"/>
          <w:lang w:eastAsia="zh-CN"/>
        </w:rPr>
      </w:pPr>
      <w:r>
        <w:rPr>
          <w:rFonts w:hint="eastAsia" w:ascii="宋体" w:hAnsi="宋体" w:cs="宋体"/>
          <w:b/>
          <w:color w:val="auto"/>
          <w:sz w:val="22"/>
          <w:szCs w:val="22"/>
          <w:highlight w:val="none"/>
        </w:rPr>
        <w:t>委托人（全称）：</w:t>
      </w:r>
      <w:r>
        <w:rPr>
          <w:rFonts w:hint="eastAsia" w:ascii="宋体" w:hAnsi="宋体" w:cs="宋体"/>
          <w:b/>
          <w:color w:val="auto"/>
          <w:sz w:val="22"/>
          <w:szCs w:val="22"/>
          <w:highlight w:val="none"/>
          <w:u w:val="single"/>
          <w:lang w:eastAsia="zh-CN"/>
        </w:rPr>
        <w:t>南通市崇川历史文化街区保护发展有限公司</w:t>
      </w:r>
    </w:p>
    <w:p w14:paraId="3FE92D83">
      <w:pPr>
        <w:adjustRightInd w:val="0"/>
        <w:snapToGrid w:val="0"/>
        <w:spacing w:line="440" w:lineRule="exact"/>
        <w:ind w:firstLine="442" w:firstLineChars="200"/>
        <w:rPr>
          <w:rFonts w:hint="default" w:ascii="宋体" w:hAnsi="宋体" w:eastAsia="宋体" w:cs="宋体"/>
          <w:color w:val="auto"/>
          <w:sz w:val="22"/>
          <w:szCs w:val="22"/>
          <w:highlight w:val="none"/>
          <w:u w:val="single"/>
          <w:lang w:val="en-US" w:eastAsia="zh-CN"/>
        </w:rPr>
      </w:pPr>
      <w:r>
        <w:rPr>
          <w:rFonts w:hint="eastAsia" w:ascii="宋体" w:hAnsi="宋体" w:cs="宋体"/>
          <w:b/>
          <w:color w:val="auto"/>
          <w:sz w:val="22"/>
          <w:szCs w:val="22"/>
          <w:highlight w:val="none"/>
        </w:rPr>
        <w:t>监理人（全称）：</w:t>
      </w:r>
      <w:r>
        <w:rPr>
          <w:rFonts w:hint="eastAsia" w:ascii="宋体" w:hAnsi="宋体" w:cs="宋体"/>
          <w:b/>
          <w:color w:val="auto"/>
          <w:sz w:val="22"/>
          <w:szCs w:val="22"/>
          <w:highlight w:val="none"/>
          <w:u w:val="single"/>
          <w:lang w:val="en-US" w:eastAsia="zh-CN"/>
        </w:rPr>
        <w:t xml:space="preserve">                              </w:t>
      </w:r>
    </w:p>
    <w:p w14:paraId="730B8F46">
      <w:pPr>
        <w:adjustRightInd w:val="0"/>
        <w:snapToGrid w:val="0"/>
        <w:spacing w:line="440" w:lineRule="exact"/>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根据《中华人民共和国民法典》、《中华人民共和国建筑法》及其他有关法律法规，遵循平等、自愿、公平和诚信的原则，双方就下述工程委托监理与相关服务事项协商一致，订立本合同。</w:t>
      </w:r>
    </w:p>
    <w:p w14:paraId="3DB48289">
      <w:pPr>
        <w:pStyle w:val="4"/>
        <w:snapToGrid w:val="0"/>
        <w:spacing w:line="440" w:lineRule="exact"/>
        <w:rPr>
          <w:rFonts w:ascii="宋体" w:hAnsi="宋体" w:eastAsia="宋体" w:cs="宋体"/>
          <w:color w:val="auto"/>
          <w:sz w:val="22"/>
          <w:szCs w:val="22"/>
          <w:highlight w:val="none"/>
        </w:rPr>
      </w:pPr>
      <w:bookmarkStart w:id="110" w:name="_Toc20059"/>
      <w:bookmarkStart w:id="111" w:name="_Toc398111684"/>
      <w:bookmarkStart w:id="112" w:name="_Toc9194588"/>
      <w:r>
        <w:rPr>
          <w:rFonts w:hint="eastAsia" w:ascii="宋体" w:hAnsi="宋体" w:eastAsia="宋体" w:cs="宋体"/>
          <w:color w:val="auto"/>
          <w:sz w:val="22"/>
          <w:szCs w:val="22"/>
          <w:highlight w:val="none"/>
        </w:rPr>
        <w:t>一、工程概况</w:t>
      </w:r>
      <w:bookmarkEnd w:id="110"/>
      <w:bookmarkEnd w:id="111"/>
      <w:bookmarkEnd w:id="112"/>
    </w:p>
    <w:p w14:paraId="250AEF21">
      <w:pPr>
        <w:adjustRightInd w:val="0"/>
        <w:snapToGrid w:val="0"/>
        <w:spacing w:line="440" w:lineRule="exact"/>
        <w:ind w:firstLine="435" w:firstLineChars="198"/>
        <w:rPr>
          <w:rFonts w:ascii="宋体" w:hAnsi="宋体" w:cs="宋体"/>
          <w:color w:val="auto"/>
          <w:sz w:val="22"/>
          <w:szCs w:val="22"/>
          <w:highlight w:val="none"/>
        </w:rPr>
      </w:pPr>
      <w:r>
        <w:rPr>
          <w:rFonts w:hint="eastAsia" w:ascii="宋体" w:hAnsi="宋体" w:cs="宋体"/>
          <w:color w:val="auto"/>
          <w:sz w:val="22"/>
          <w:szCs w:val="22"/>
          <w:highlight w:val="none"/>
        </w:rPr>
        <w:t>1. 工程名称：；</w:t>
      </w:r>
    </w:p>
    <w:p w14:paraId="7FCB5C07">
      <w:pPr>
        <w:adjustRightInd w:val="0"/>
        <w:snapToGrid w:val="0"/>
        <w:spacing w:line="440" w:lineRule="exact"/>
        <w:ind w:firstLine="435" w:firstLineChars="198"/>
        <w:rPr>
          <w:rFonts w:ascii="宋体" w:hAnsi="宋体" w:cs="宋体"/>
          <w:color w:val="auto"/>
          <w:sz w:val="22"/>
          <w:szCs w:val="22"/>
          <w:highlight w:val="none"/>
        </w:rPr>
      </w:pPr>
      <w:r>
        <w:rPr>
          <w:rFonts w:hint="eastAsia" w:ascii="宋体" w:hAnsi="宋体" w:cs="宋体"/>
          <w:color w:val="auto"/>
          <w:sz w:val="22"/>
          <w:szCs w:val="22"/>
          <w:highlight w:val="none"/>
        </w:rPr>
        <w:t>2. 工程地点：；</w:t>
      </w:r>
    </w:p>
    <w:p w14:paraId="748ABB41">
      <w:pPr>
        <w:adjustRightInd w:val="0"/>
        <w:snapToGrid w:val="0"/>
        <w:spacing w:line="440" w:lineRule="exact"/>
        <w:ind w:firstLine="435" w:firstLineChars="198"/>
        <w:rPr>
          <w:rFonts w:ascii="宋体" w:hAnsi="宋体" w:cs="宋体"/>
          <w:color w:val="auto"/>
          <w:sz w:val="22"/>
          <w:szCs w:val="22"/>
          <w:highlight w:val="none"/>
        </w:rPr>
      </w:pPr>
      <w:r>
        <w:rPr>
          <w:rFonts w:hint="eastAsia" w:ascii="宋体" w:hAnsi="宋体" w:cs="宋体"/>
          <w:color w:val="auto"/>
          <w:sz w:val="22"/>
          <w:szCs w:val="22"/>
          <w:highlight w:val="none"/>
        </w:rPr>
        <w:t>3. 工程规模：；</w:t>
      </w:r>
    </w:p>
    <w:p w14:paraId="316B46C1">
      <w:pPr>
        <w:adjustRightInd w:val="0"/>
        <w:snapToGrid w:val="0"/>
        <w:spacing w:line="440" w:lineRule="exact"/>
        <w:ind w:firstLine="435" w:firstLineChars="198"/>
        <w:jc w:val="left"/>
        <w:rPr>
          <w:rFonts w:ascii="宋体" w:hAnsi="宋体" w:cs="宋体"/>
          <w:color w:val="auto"/>
          <w:sz w:val="22"/>
          <w:szCs w:val="22"/>
          <w:highlight w:val="none"/>
        </w:rPr>
      </w:pPr>
      <w:r>
        <w:rPr>
          <w:rFonts w:hint="eastAsia" w:ascii="宋体" w:hAnsi="宋体" w:cs="宋体"/>
          <w:color w:val="auto"/>
          <w:sz w:val="22"/>
          <w:szCs w:val="22"/>
          <w:highlight w:val="none"/>
        </w:rPr>
        <w:t>4. 工程</w:t>
      </w:r>
      <w:r>
        <w:rPr>
          <w:rFonts w:hint="eastAsia" w:ascii="宋体" w:hAnsi="宋体" w:cs="宋体"/>
          <w:color w:val="auto"/>
          <w:kern w:val="0"/>
          <w:sz w:val="22"/>
          <w:szCs w:val="22"/>
          <w:highlight w:val="none"/>
        </w:rPr>
        <w:t>概算投资额或建筑安装工程费</w:t>
      </w:r>
      <w:r>
        <w:rPr>
          <w:rFonts w:hint="eastAsia" w:ascii="宋体" w:hAnsi="宋体" w:cs="宋体"/>
          <w:color w:val="auto"/>
          <w:sz w:val="22"/>
          <w:szCs w:val="22"/>
          <w:highlight w:val="none"/>
        </w:rPr>
        <w:t>：。</w:t>
      </w:r>
    </w:p>
    <w:p w14:paraId="280373B8">
      <w:pPr>
        <w:pStyle w:val="4"/>
        <w:snapToGrid w:val="0"/>
        <w:spacing w:line="440" w:lineRule="exact"/>
        <w:rPr>
          <w:rFonts w:ascii="宋体" w:hAnsi="宋体" w:eastAsia="宋体" w:cs="宋体"/>
          <w:color w:val="auto"/>
          <w:sz w:val="22"/>
          <w:szCs w:val="22"/>
          <w:highlight w:val="none"/>
        </w:rPr>
      </w:pPr>
      <w:bookmarkStart w:id="113" w:name="_Toc11584"/>
      <w:bookmarkStart w:id="114" w:name="_Toc398111685"/>
      <w:bookmarkStart w:id="115" w:name="_Toc9194589"/>
      <w:r>
        <w:rPr>
          <w:rFonts w:hint="eastAsia" w:ascii="宋体" w:hAnsi="宋体" w:eastAsia="宋体" w:cs="宋体"/>
          <w:color w:val="auto"/>
          <w:sz w:val="22"/>
          <w:szCs w:val="22"/>
          <w:highlight w:val="none"/>
        </w:rPr>
        <w:t>二、词语限定</w:t>
      </w:r>
      <w:bookmarkEnd w:id="113"/>
      <w:bookmarkEnd w:id="114"/>
      <w:bookmarkEnd w:id="115"/>
    </w:p>
    <w:p w14:paraId="7DF66E89">
      <w:pPr>
        <w:adjustRightInd w:val="0"/>
        <w:snapToGrid w:val="0"/>
        <w:spacing w:line="440" w:lineRule="exact"/>
        <w:ind w:firstLine="435" w:firstLineChars="198"/>
        <w:rPr>
          <w:rFonts w:ascii="宋体" w:hAnsi="宋体" w:cs="宋体"/>
          <w:color w:val="auto"/>
          <w:sz w:val="22"/>
          <w:szCs w:val="22"/>
          <w:highlight w:val="none"/>
        </w:rPr>
      </w:pPr>
      <w:r>
        <w:rPr>
          <w:rFonts w:hint="eastAsia" w:ascii="宋体" w:hAnsi="宋体" w:cs="宋体"/>
          <w:color w:val="auto"/>
          <w:sz w:val="22"/>
          <w:szCs w:val="22"/>
          <w:highlight w:val="none"/>
        </w:rPr>
        <w:t>协议书中相关词语的含义与通用条件中的定义与解释相同。</w:t>
      </w:r>
    </w:p>
    <w:p w14:paraId="5FAC4609">
      <w:pPr>
        <w:pStyle w:val="4"/>
        <w:snapToGrid w:val="0"/>
        <w:spacing w:line="440" w:lineRule="exact"/>
        <w:rPr>
          <w:rFonts w:ascii="宋体" w:hAnsi="宋体" w:eastAsia="宋体" w:cs="宋体"/>
          <w:color w:val="auto"/>
          <w:sz w:val="22"/>
          <w:szCs w:val="22"/>
          <w:highlight w:val="none"/>
        </w:rPr>
      </w:pPr>
      <w:bookmarkStart w:id="116" w:name="_Toc9194590"/>
      <w:bookmarkStart w:id="117" w:name="_Toc26339"/>
      <w:bookmarkStart w:id="118" w:name="_Toc398111686"/>
      <w:r>
        <w:rPr>
          <w:rFonts w:hint="eastAsia" w:ascii="宋体" w:hAnsi="宋体" w:eastAsia="宋体" w:cs="宋体"/>
          <w:color w:val="auto"/>
          <w:sz w:val="22"/>
          <w:szCs w:val="22"/>
          <w:highlight w:val="none"/>
        </w:rPr>
        <w:t>三、组成本合同的文件</w:t>
      </w:r>
      <w:bookmarkEnd w:id="116"/>
      <w:bookmarkEnd w:id="117"/>
      <w:bookmarkEnd w:id="118"/>
    </w:p>
    <w:p w14:paraId="7D8612AC">
      <w:pPr>
        <w:adjustRightInd w:val="0"/>
        <w:snapToGrid w:val="0"/>
        <w:spacing w:line="440" w:lineRule="exact"/>
        <w:ind w:firstLine="435" w:firstLineChars="198"/>
        <w:rPr>
          <w:rFonts w:ascii="宋体" w:hAnsi="宋体" w:cs="宋体"/>
          <w:color w:val="auto"/>
          <w:sz w:val="22"/>
          <w:szCs w:val="22"/>
          <w:highlight w:val="none"/>
        </w:rPr>
      </w:pPr>
      <w:r>
        <w:rPr>
          <w:rFonts w:hint="eastAsia" w:ascii="宋体" w:hAnsi="宋体" w:cs="宋体"/>
          <w:color w:val="auto"/>
          <w:sz w:val="22"/>
          <w:szCs w:val="22"/>
          <w:highlight w:val="none"/>
        </w:rPr>
        <w:t>1. 协议书；</w:t>
      </w:r>
    </w:p>
    <w:p w14:paraId="3E801915">
      <w:pPr>
        <w:adjustRightInd w:val="0"/>
        <w:snapToGrid w:val="0"/>
        <w:spacing w:line="440" w:lineRule="exact"/>
        <w:ind w:firstLine="435" w:firstLineChars="198"/>
        <w:rPr>
          <w:rFonts w:ascii="宋体" w:hAnsi="宋体" w:cs="宋体"/>
          <w:color w:val="auto"/>
          <w:sz w:val="22"/>
          <w:szCs w:val="22"/>
          <w:highlight w:val="none"/>
        </w:rPr>
      </w:pPr>
      <w:r>
        <w:rPr>
          <w:rFonts w:hint="eastAsia" w:ascii="宋体" w:hAnsi="宋体" w:cs="宋体"/>
          <w:color w:val="auto"/>
          <w:sz w:val="22"/>
          <w:szCs w:val="22"/>
          <w:highlight w:val="none"/>
        </w:rPr>
        <w:t>2. 中标通知书（适用于招标工程）或委托书（适用于非招标工程）；</w:t>
      </w:r>
    </w:p>
    <w:p w14:paraId="59B3C07C">
      <w:pPr>
        <w:adjustRightInd w:val="0"/>
        <w:snapToGrid w:val="0"/>
        <w:spacing w:line="440" w:lineRule="exact"/>
        <w:ind w:firstLine="435" w:firstLineChars="198"/>
        <w:rPr>
          <w:rFonts w:ascii="宋体" w:hAnsi="宋体" w:cs="宋体"/>
          <w:color w:val="auto"/>
          <w:sz w:val="22"/>
          <w:szCs w:val="22"/>
          <w:highlight w:val="none"/>
        </w:rPr>
      </w:pPr>
      <w:r>
        <w:rPr>
          <w:rFonts w:hint="eastAsia" w:ascii="宋体" w:hAnsi="宋体" w:cs="宋体"/>
          <w:color w:val="auto"/>
          <w:sz w:val="22"/>
          <w:szCs w:val="22"/>
          <w:highlight w:val="none"/>
        </w:rPr>
        <w:t>3. 投标文件（适用于招标工程）或监理与相关服务建议书（适用于非招标工程）；</w:t>
      </w:r>
    </w:p>
    <w:p w14:paraId="77F706A7">
      <w:pPr>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4. 专用条件；</w:t>
      </w:r>
    </w:p>
    <w:p w14:paraId="468BC8F5">
      <w:pPr>
        <w:adjustRightInd w:val="0"/>
        <w:snapToGrid w:val="0"/>
        <w:spacing w:line="440" w:lineRule="exact"/>
        <w:ind w:firstLine="435" w:firstLineChars="198"/>
        <w:rPr>
          <w:rFonts w:ascii="宋体" w:hAnsi="宋体" w:cs="宋体"/>
          <w:color w:val="auto"/>
          <w:sz w:val="22"/>
          <w:szCs w:val="22"/>
          <w:highlight w:val="none"/>
        </w:rPr>
      </w:pPr>
      <w:r>
        <w:rPr>
          <w:rFonts w:hint="eastAsia" w:ascii="宋体" w:hAnsi="宋体" w:cs="宋体"/>
          <w:color w:val="auto"/>
          <w:sz w:val="22"/>
          <w:szCs w:val="22"/>
          <w:highlight w:val="none"/>
        </w:rPr>
        <w:t>5. 通用条件；</w:t>
      </w:r>
    </w:p>
    <w:p w14:paraId="502EAD9F">
      <w:pPr>
        <w:adjustRightInd w:val="0"/>
        <w:snapToGrid w:val="0"/>
        <w:spacing w:line="440" w:lineRule="exact"/>
        <w:ind w:firstLine="435" w:firstLineChars="198"/>
        <w:rPr>
          <w:rFonts w:ascii="宋体" w:hAnsi="宋体" w:cs="宋体"/>
          <w:color w:val="auto"/>
          <w:sz w:val="22"/>
          <w:szCs w:val="22"/>
          <w:highlight w:val="none"/>
        </w:rPr>
      </w:pPr>
      <w:r>
        <w:rPr>
          <w:rFonts w:hint="eastAsia" w:ascii="宋体" w:hAnsi="宋体" w:cs="宋体"/>
          <w:color w:val="auto"/>
          <w:sz w:val="22"/>
          <w:szCs w:val="22"/>
          <w:highlight w:val="none"/>
        </w:rPr>
        <w:t>6. 附录，即：</w:t>
      </w:r>
    </w:p>
    <w:p w14:paraId="179A9213">
      <w:pPr>
        <w:adjustRightInd w:val="0"/>
        <w:snapToGrid w:val="0"/>
        <w:spacing w:line="440" w:lineRule="exact"/>
        <w:ind w:firstLine="435" w:firstLineChars="198"/>
        <w:rPr>
          <w:rFonts w:ascii="宋体" w:hAnsi="宋体" w:cs="宋体"/>
          <w:color w:val="auto"/>
          <w:sz w:val="22"/>
          <w:szCs w:val="22"/>
          <w:highlight w:val="none"/>
        </w:rPr>
      </w:pPr>
      <w:r>
        <w:rPr>
          <w:rFonts w:hint="eastAsia" w:ascii="宋体" w:hAnsi="宋体" w:cs="宋体"/>
          <w:color w:val="auto"/>
          <w:sz w:val="22"/>
          <w:szCs w:val="22"/>
          <w:highlight w:val="none"/>
        </w:rPr>
        <w:t>附录A  相关服务的范围和内容</w:t>
      </w:r>
    </w:p>
    <w:p w14:paraId="12018258">
      <w:pPr>
        <w:adjustRightInd w:val="0"/>
        <w:snapToGri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附录B  委托人派遣的人员和提供的</w:t>
      </w:r>
      <w:r>
        <w:rPr>
          <w:rFonts w:hint="eastAsia" w:ascii="宋体" w:hAnsi="宋体" w:cs="宋体"/>
          <w:bCs/>
          <w:color w:val="auto"/>
          <w:sz w:val="22"/>
          <w:szCs w:val="22"/>
          <w:highlight w:val="none"/>
        </w:rPr>
        <w:t>房屋、资料</w:t>
      </w:r>
      <w:r>
        <w:rPr>
          <w:rFonts w:hint="eastAsia" w:ascii="宋体" w:hAnsi="宋体" w:cs="宋体"/>
          <w:color w:val="auto"/>
          <w:sz w:val="22"/>
          <w:szCs w:val="22"/>
          <w:highlight w:val="none"/>
        </w:rPr>
        <w:t>、设备</w:t>
      </w:r>
    </w:p>
    <w:p w14:paraId="72335B25">
      <w:pPr>
        <w:adjustRightInd w:val="0"/>
        <w:snapToGrid w:val="0"/>
        <w:spacing w:line="440" w:lineRule="exact"/>
        <w:ind w:firstLine="435" w:firstLineChars="198"/>
        <w:rPr>
          <w:rFonts w:ascii="宋体" w:hAnsi="宋体" w:cs="宋体"/>
          <w:color w:val="auto"/>
          <w:sz w:val="22"/>
          <w:szCs w:val="22"/>
          <w:highlight w:val="none"/>
        </w:rPr>
      </w:pPr>
      <w:r>
        <w:rPr>
          <w:rFonts w:hint="eastAsia" w:ascii="宋体" w:hAnsi="宋体" w:cs="宋体"/>
          <w:color w:val="auto"/>
          <w:sz w:val="22"/>
          <w:szCs w:val="22"/>
          <w:highlight w:val="none"/>
        </w:rPr>
        <w:t>本合同签订后，双方依法签订的补充协议也是本合同文件的组成部分。</w:t>
      </w:r>
    </w:p>
    <w:p w14:paraId="4124DBF3">
      <w:pPr>
        <w:pStyle w:val="4"/>
        <w:snapToGrid w:val="0"/>
        <w:spacing w:line="440" w:lineRule="exact"/>
        <w:rPr>
          <w:rFonts w:ascii="宋体" w:hAnsi="宋体" w:eastAsia="宋体" w:cs="宋体"/>
          <w:color w:val="auto"/>
          <w:sz w:val="22"/>
          <w:szCs w:val="22"/>
          <w:highlight w:val="none"/>
        </w:rPr>
      </w:pPr>
      <w:bookmarkStart w:id="119" w:name="_Toc32501"/>
      <w:bookmarkStart w:id="120" w:name="_Toc9194591"/>
      <w:bookmarkStart w:id="121" w:name="_Toc398111687"/>
      <w:r>
        <w:rPr>
          <w:rFonts w:hint="eastAsia" w:ascii="宋体" w:hAnsi="宋体" w:eastAsia="宋体" w:cs="宋体"/>
          <w:color w:val="auto"/>
          <w:sz w:val="22"/>
          <w:szCs w:val="22"/>
          <w:highlight w:val="none"/>
        </w:rPr>
        <w:t>四、总监理工程师</w:t>
      </w:r>
      <w:bookmarkEnd w:id="119"/>
      <w:bookmarkEnd w:id="120"/>
      <w:bookmarkEnd w:id="121"/>
    </w:p>
    <w:p w14:paraId="7946C0AF">
      <w:pPr>
        <w:adjustRightInd w:val="0"/>
        <w:snapToGrid w:val="0"/>
        <w:spacing w:line="440" w:lineRule="exact"/>
        <w:ind w:firstLine="435" w:firstLineChars="198"/>
        <w:rPr>
          <w:rFonts w:ascii="宋体" w:hAnsi="宋体" w:cs="宋体"/>
          <w:color w:val="auto"/>
          <w:kern w:val="0"/>
          <w:sz w:val="22"/>
          <w:szCs w:val="22"/>
          <w:highlight w:val="none"/>
        </w:rPr>
      </w:pPr>
      <w:r>
        <w:rPr>
          <w:rFonts w:hint="eastAsia" w:ascii="宋体" w:hAnsi="宋体" w:cs="宋体"/>
          <w:color w:val="auto"/>
          <w:kern w:val="0"/>
          <w:sz w:val="22"/>
          <w:szCs w:val="22"/>
          <w:highlight w:val="none"/>
        </w:rPr>
        <w:t>总监理工程师姓名：，身份证号码：，注册号：。</w:t>
      </w:r>
    </w:p>
    <w:p w14:paraId="5F40D1E1">
      <w:pPr>
        <w:pStyle w:val="4"/>
        <w:snapToGrid w:val="0"/>
        <w:spacing w:line="440" w:lineRule="exact"/>
        <w:rPr>
          <w:rFonts w:ascii="宋体" w:hAnsi="宋体" w:eastAsia="宋体" w:cs="宋体"/>
          <w:color w:val="auto"/>
          <w:sz w:val="22"/>
          <w:szCs w:val="22"/>
          <w:highlight w:val="none"/>
        </w:rPr>
      </w:pPr>
      <w:bookmarkStart w:id="122" w:name="_Toc398111688"/>
      <w:bookmarkStart w:id="123" w:name="_Toc20476"/>
      <w:bookmarkStart w:id="124" w:name="_Toc9194592"/>
      <w:r>
        <w:rPr>
          <w:rFonts w:hint="eastAsia" w:ascii="宋体" w:hAnsi="宋体" w:eastAsia="宋体" w:cs="宋体"/>
          <w:color w:val="auto"/>
          <w:sz w:val="22"/>
          <w:szCs w:val="22"/>
          <w:highlight w:val="none"/>
        </w:rPr>
        <w:t>五、监理酬金</w:t>
      </w:r>
      <w:bookmarkEnd w:id="122"/>
      <w:bookmarkEnd w:id="123"/>
      <w:r>
        <w:rPr>
          <w:rFonts w:hint="eastAsia" w:ascii="宋体" w:hAnsi="宋体" w:eastAsia="宋体" w:cs="宋体"/>
          <w:color w:val="auto"/>
          <w:sz w:val="22"/>
          <w:szCs w:val="22"/>
          <w:highlight w:val="none"/>
        </w:rPr>
        <w:t>：</w:t>
      </w:r>
      <w:bookmarkEnd w:id="124"/>
    </w:p>
    <w:p w14:paraId="04C21CC4">
      <w:pPr>
        <w:adjustRightInd w:val="0"/>
        <w:snapToGrid w:val="0"/>
        <w:spacing w:line="44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1. 监理酬金：</w:t>
      </w:r>
      <w:r>
        <w:rPr>
          <w:rFonts w:hint="eastAsia" w:ascii="宋体" w:hAnsi="宋体" w:cs="宋体"/>
          <w:color w:val="auto"/>
          <w:sz w:val="22"/>
          <w:szCs w:val="22"/>
          <w:highlight w:val="none"/>
          <w:u w:val="single"/>
        </w:rPr>
        <w:t xml:space="preserve">       元</w:t>
      </w:r>
      <w:r>
        <w:rPr>
          <w:rFonts w:hint="eastAsia" w:ascii="宋体" w:hAnsi="宋体" w:cs="宋体"/>
          <w:color w:val="auto"/>
          <w:sz w:val="22"/>
          <w:szCs w:val="22"/>
          <w:highlight w:val="none"/>
        </w:rPr>
        <w:t>。</w:t>
      </w:r>
    </w:p>
    <w:p w14:paraId="307FD364">
      <w:pPr>
        <w:adjustRightInd w:val="0"/>
        <w:snapToGrid w:val="0"/>
        <w:spacing w:line="44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2. 相关服务酬金：</w:t>
      </w:r>
      <w:r>
        <w:rPr>
          <w:rFonts w:hint="eastAsia" w:ascii="宋体" w:hAnsi="宋体" w:cs="宋体"/>
          <w:color w:val="auto"/>
          <w:sz w:val="22"/>
          <w:szCs w:val="22"/>
          <w:highlight w:val="none"/>
          <w:u w:val="single"/>
        </w:rPr>
        <w:t xml:space="preserve">   含在监理酬金中            </w:t>
      </w:r>
      <w:r>
        <w:rPr>
          <w:rFonts w:hint="eastAsia" w:ascii="宋体" w:hAnsi="宋体" w:cs="宋体"/>
          <w:color w:val="auto"/>
          <w:sz w:val="22"/>
          <w:szCs w:val="22"/>
          <w:highlight w:val="none"/>
        </w:rPr>
        <w:t>。</w:t>
      </w:r>
    </w:p>
    <w:p w14:paraId="475E0D13">
      <w:pPr>
        <w:adjustRightInd w:val="0"/>
        <w:snapToGrid w:val="0"/>
        <w:spacing w:line="44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其中：</w:t>
      </w:r>
    </w:p>
    <w:p w14:paraId="7B1A1F32">
      <w:pPr>
        <w:adjustRightInd w:val="0"/>
        <w:snapToGrid w:val="0"/>
        <w:spacing w:line="440" w:lineRule="exact"/>
        <w:ind w:firstLine="880" w:firstLineChars="400"/>
        <w:rPr>
          <w:rFonts w:ascii="宋体" w:hAnsi="宋体" w:cs="宋体"/>
          <w:color w:val="auto"/>
          <w:sz w:val="22"/>
          <w:szCs w:val="22"/>
          <w:highlight w:val="none"/>
        </w:rPr>
      </w:pPr>
      <w:r>
        <w:rPr>
          <w:rFonts w:hint="eastAsia" w:ascii="宋体" w:hAnsi="宋体" w:cs="宋体"/>
          <w:color w:val="auto"/>
          <w:kern w:val="0"/>
          <w:sz w:val="22"/>
          <w:szCs w:val="22"/>
          <w:highlight w:val="none"/>
        </w:rPr>
        <w:t>（1）勘察阶段服务</w:t>
      </w:r>
      <w:r>
        <w:rPr>
          <w:rFonts w:hint="eastAsia" w:ascii="宋体" w:hAnsi="宋体" w:cs="宋体"/>
          <w:color w:val="auto"/>
          <w:sz w:val="22"/>
          <w:szCs w:val="22"/>
          <w:highlight w:val="none"/>
        </w:rPr>
        <w:t>酬金：</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w:t>
      </w:r>
    </w:p>
    <w:p w14:paraId="18BF17BB">
      <w:pPr>
        <w:adjustRightInd w:val="0"/>
        <w:snapToGrid w:val="0"/>
        <w:spacing w:line="440" w:lineRule="exact"/>
        <w:ind w:firstLine="880" w:firstLineChars="400"/>
        <w:rPr>
          <w:rFonts w:ascii="宋体" w:hAnsi="宋体" w:cs="宋体"/>
          <w:color w:val="auto"/>
          <w:sz w:val="22"/>
          <w:szCs w:val="22"/>
          <w:highlight w:val="none"/>
        </w:rPr>
      </w:pPr>
      <w:r>
        <w:rPr>
          <w:rFonts w:hint="eastAsia" w:ascii="宋体" w:hAnsi="宋体" w:cs="宋体"/>
          <w:color w:val="auto"/>
          <w:kern w:val="0"/>
          <w:sz w:val="22"/>
          <w:szCs w:val="22"/>
          <w:highlight w:val="none"/>
        </w:rPr>
        <w:t>（2）设计阶段服务</w:t>
      </w:r>
      <w:r>
        <w:rPr>
          <w:rFonts w:hint="eastAsia" w:ascii="宋体" w:hAnsi="宋体" w:cs="宋体"/>
          <w:color w:val="auto"/>
          <w:sz w:val="22"/>
          <w:szCs w:val="22"/>
          <w:highlight w:val="none"/>
        </w:rPr>
        <w:t>酬金：</w:t>
      </w:r>
      <w:r>
        <w:rPr>
          <w:rFonts w:hint="eastAsia" w:ascii="宋体" w:hAnsi="宋体" w:cs="宋体"/>
          <w:color w:val="auto"/>
          <w:sz w:val="22"/>
          <w:szCs w:val="22"/>
          <w:highlight w:val="none"/>
          <w:u w:val="single"/>
        </w:rPr>
        <w:t xml:space="preserve">  含在监理酬金中      </w:t>
      </w:r>
      <w:r>
        <w:rPr>
          <w:rFonts w:hint="eastAsia" w:ascii="宋体" w:hAnsi="宋体" w:cs="宋体"/>
          <w:color w:val="auto"/>
          <w:sz w:val="22"/>
          <w:szCs w:val="22"/>
          <w:highlight w:val="none"/>
        </w:rPr>
        <w:t>。</w:t>
      </w:r>
    </w:p>
    <w:p w14:paraId="62761144">
      <w:pPr>
        <w:adjustRightInd w:val="0"/>
        <w:snapToGrid w:val="0"/>
        <w:spacing w:line="440" w:lineRule="exact"/>
        <w:ind w:firstLine="880" w:firstLineChars="400"/>
        <w:rPr>
          <w:rFonts w:ascii="宋体" w:hAnsi="宋体" w:cs="宋体"/>
          <w:color w:val="auto"/>
          <w:sz w:val="22"/>
          <w:szCs w:val="22"/>
          <w:highlight w:val="none"/>
        </w:rPr>
      </w:pPr>
      <w:r>
        <w:rPr>
          <w:rFonts w:hint="eastAsia" w:ascii="宋体" w:hAnsi="宋体" w:cs="宋体"/>
          <w:color w:val="auto"/>
          <w:kern w:val="0"/>
          <w:sz w:val="22"/>
          <w:szCs w:val="22"/>
          <w:highlight w:val="none"/>
        </w:rPr>
        <w:t>（3）保修阶段服务</w:t>
      </w:r>
      <w:r>
        <w:rPr>
          <w:rFonts w:hint="eastAsia" w:ascii="宋体" w:hAnsi="宋体" w:cs="宋体"/>
          <w:color w:val="auto"/>
          <w:sz w:val="22"/>
          <w:szCs w:val="22"/>
          <w:highlight w:val="none"/>
        </w:rPr>
        <w:t>酬金：</w:t>
      </w:r>
      <w:r>
        <w:rPr>
          <w:rFonts w:hint="eastAsia" w:ascii="宋体" w:hAnsi="宋体" w:cs="宋体"/>
          <w:color w:val="auto"/>
          <w:sz w:val="22"/>
          <w:szCs w:val="22"/>
          <w:highlight w:val="none"/>
          <w:u w:val="single"/>
        </w:rPr>
        <w:t xml:space="preserve">  含在监理酬金中      </w:t>
      </w:r>
      <w:r>
        <w:rPr>
          <w:rFonts w:hint="eastAsia" w:ascii="宋体" w:hAnsi="宋体" w:cs="宋体"/>
          <w:color w:val="auto"/>
          <w:sz w:val="22"/>
          <w:szCs w:val="22"/>
          <w:highlight w:val="none"/>
        </w:rPr>
        <w:t>。</w:t>
      </w:r>
    </w:p>
    <w:p w14:paraId="1D153E46">
      <w:pPr>
        <w:adjustRightInd w:val="0"/>
        <w:snapToGrid w:val="0"/>
        <w:spacing w:line="440" w:lineRule="exact"/>
        <w:ind w:firstLine="880" w:firstLineChars="400"/>
        <w:rPr>
          <w:rFonts w:ascii="宋体" w:hAnsi="宋体" w:cs="宋体"/>
          <w:color w:val="auto"/>
          <w:sz w:val="22"/>
          <w:szCs w:val="22"/>
          <w:highlight w:val="none"/>
        </w:rPr>
      </w:pPr>
      <w:r>
        <w:rPr>
          <w:rFonts w:hint="eastAsia" w:ascii="宋体" w:hAnsi="宋体" w:cs="宋体"/>
          <w:color w:val="auto"/>
          <w:kern w:val="0"/>
          <w:sz w:val="22"/>
          <w:szCs w:val="22"/>
          <w:highlight w:val="none"/>
        </w:rPr>
        <w:t>（4）</w:t>
      </w:r>
      <w:r>
        <w:rPr>
          <w:rFonts w:hint="eastAsia" w:ascii="宋体" w:hAnsi="宋体" w:cs="宋体"/>
          <w:color w:val="auto"/>
          <w:sz w:val="22"/>
          <w:szCs w:val="22"/>
          <w:highlight w:val="none"/>
        </w:rPr>
        <w:t>其他相关服务酬金：</w:t>
      </w:r>
      <w:r>
        <w:rPr>
          <w:rFonts w:hint="eastAsia" w:ascii="宋体" w:hAnsi="宋体" w:cs="宋体"/>
          <w:color w:val="auto"/>
          <w:sz w:val="22"/>
          <w:szCs w:val="22"/>
          <w:highlight w:val="none"/>
          <w:u w:val="single"/>
        </w:rPr>
        <w:t xml:space="preserve">  含在监理酬金中      </w:t>
      </w:r>
      <w:r>
        <w:rPr>
          <w:rFonts w:hint="eastAsia" w:ascii="宋体" w:hAnsi="宋体" w:cs="宋体"/>
          <w:color w:val="auto"/>
          <w:sz w:val="22"/>
          <w:szCs w:val="22"/>
          <w:highlight w:val="none"/>
        </w:rPr>
        <w:t>。</w:t>
      </w:r>
    </w:p>
    <w:p w14:paraId="6202F49F">
      <w:pPr>
        <w:pStyle w:val="4"/>
        <w:snapToGrid w:val="0"/>
        <w:spacing w:line="440" w:lineRule="exact"/>
        <w:rPr>
          <w:rFonts w:ascii="宋体" w:hAnsi="宋体" w:eastAsia="宋体" w:cs="宋体"/>
          <w:color w:val="auto"/>
          <w:sz w:val="22"/>
          <w:szCs w:val="22"/>
          <w:highlight w:val="none"/>
        </w:rPr>
      </w:pPr>
      <w:bookmarkStart w:id="125" w:name="_Toc9194593"/>
      <w:bookmarkStart w:id="126" w:name="_Toc398111689"/>
      <w:bookmarkStart w:id="127" w:name="_Toc6310"/>
      <w:r>
        <w:rPr>
          <w:rFonts w:hint="eastAsia" w:ascii="宋体" w:hAnsi="宋体" w:eastAsia="宋体" w:cs="宋体"/>
          <w:color w:val="auto"/>
          <w:sz w:val="22"/>
          <w:szCs w:val="22"/>
          <w:highlight w:val="none"/>
        </w:rPr>
        <w:t>六、期限</w:t>
      </w:r>
      <w:bookmarkEnd w:id="125"/>
      <w:bookmarkEnd w:id="126"/>
      <w:bookmarkEnd w:id="127"/>
    </w:p>
    <w:p w14:paraId="39E9442F">
      <w:pPr>
        <w:adjustRightInd w:val="0"/>
        <w:snapToGrid w:val="0"/>
        <w:spacing w:line="440" w:lineRule="exact"/>
        <w:ind w:firstLine="550" w:firstLineChars="250"/>
        <w:jc w:val="left"/>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1. </w:t>
      </w:r>
      <w:r>
        <w:rPr>
          <w:rFonts w:hint="eastAsia" w:ascii="宋体" w:hAnsi="宋体" w:cs="宋体"/>
          <w:color w:val="auto"/>
          <w:sz w:val="22"/>
          <w:szCs w:val="22"/>
          <w:highlight w:val="none"/>
        </w:rPr>
        <w:t>监理期限：</w:t>
      </w:r>
    </w:p>
    <w:p w14:paraId="2E21603C">
      <w:pPr>
        <w:adjustRightInd w:val="0"/>
        <w:snapToGrid w:val="0"/>
        <w:spacing w:line="440" w:lineRule="exact"/>
        <w:ind w:firstLine="770" w:firstLineChars="350"/>
        <w:jc w:val="left"/>
        <w:rPr>
          <w:rFonts w:ascii="宋体" w:hAnsi="宋体" w:cs="宋体"/>
          <w:color w:val="auto"/>
          <w:sz w:val="22"/>
          <w:szCs w:val="22"/>
          <w:highlight w:val="none"/>
        </w:rPr>
      </w:pPr>
      <w:r>
        <w:rPr>
          <w:rFonts w:hint="eastAsia" w:ascii="宋体" w:hAnsi="宋体" w:cs="宋体"/>
          <w:color w:val="auto"/>
          <w:sz w:val="22"/>
          <w:szCs w:val="22"/>
          <w:highlight w:val="none"/>
        </w:rPr>
        <w:t>自</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日始，</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至</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日</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，具体施工期以实际施工期为准，如工期延长，费用不另增加。</w:t>
      </w:r>
    </w:p>
    <w:p w14:paraId="48268C5C">
      <w:pPr>
        <w:adjustRightInd w:val="0"/>
        <w:snapToGrid w:val="0"/>
        <w:spacing w:line="440" w:lineRule="exact"/>
        <w:ind w:firstLine="550" w:firstLineChars="250"/>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2. </w:t>
      </w:r>
      <w:r>
        <w:rPr>
          <w:rFonts w:hint="eastAsia" w:ascii="宋体" w:hAnsi="宋体" w:cs="宋体"/>
          <w:color w:val="auto"/>
          <w:sz w:val="22"/>
          <w:szCs w:val="22"/>
          <w:highlight w:val="none"/>
        </w:rPr>
        <w:t>相关服务期限：</w:t>
      </w:r>
    </w:p>
    <w:p w14:paraId="424E1A7B">
      <w:pPr>
        <w:adjustRightInd w:val="0"/>
        <w:snapToGrid w:val="0"/>
        <w:spacing w:line="440" w:lineRule="exact"/>
        <w:ind w:firstLine="519" w:firstLineChars="236"/>
        <w:rPr>
          <w:rFonts w:ascii="宋体" w:hAnsi="宋体" w:cs="宋体"/>
          <w:color w:val="auto"/>
          <w:sz w:val="22"/>
          <w:szCs w:val="22"/>
          <w:highlight w:val="none"/>
        </w:rPr>
      </w:pPr>
      <w:r>
        <w:rPr>
          <w:rFonts w:hint="eastAsia" w:ascii="宋体" w:hAnsi="宋体" w:cs="宋体"/>
          <w:color w:val="auto"/>
          <w:kern w:val="0"/>
          <w:sz w:val="22"/>
          <w:szCs w:val="22"/>
          <w:highlight w:val="none"/>
        </w:rPr>
        <w:t>（1）勘察阶段</w:t>
      </w:r>
      <w:r>
        <w:rPr>
          <w:rFonts w:hint="eastAsia" w:ascii="宋体" w:hAnsi="宋体" w:cs="宋体"/>
          <w:color w:val="auto"/>
          <w:sz w:val="22"/>
          <w:szCs w:val="22"/>
          <w:highlight w:val="none"/>
        </w:rPr>
        <w:t>服务期限自</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日始，至</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日止。</w:t>
      </w:r>
    </w:p>
    <w:p w14:paraId="648A4E83">
      <w:pPr>
        <w:adjustRightInd w:val="0"/>
        <w:snapToGrid w:val="0"/>
        <w:spacing w:line="440" w:lineRule="exact"/>
        <w:ind w:firstLine="519" w:firstLineChars="236"/>
        <w:rPr>
          <w:rFonts w:ascii="宋体" w:hAnsi="宋体" w:cs="宋体"/>
          <w:color w:val="auto"/>
          <w:sz w:val="22"/>
          <w:szCs w:val="22"/>
          <w:highlight w:val="none"/>
        </w:rPr>
      </w:pPr>
      <w:r>
        <w:rPr>
          <w:rFonts w:hint="eastAsia" w:ascii="宋体" w:hAnsi="宋体" w:cs="宋体"/>
          <w:color w:val="auto"/>
          <w:kern w:val="0"/>
          <w:sz w:val="22"/>
          <w:szCs w:val="22"/>
          <w:highlight w:val="none"/>
        </w:rPr>
        <w:t>（2）设计阶段</w:t>
      </w:r>
      <w:r>
        <w:rPr>
          <w:rFonts w:hint="eastAsia" w:ascii="宋体" w:hAnsi="宋体" w:cs="宋体"/>
          <w:color w:val="auto"/>
          <w:sz w:val="22"/>
          <w:szCs w:val="22"/>
          <w:highlight w:val="none"/>
        </w:rPr>
        <w:t>服务期限自</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日始，至</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日止。</w:t>
      </w:r>
    </w:p>
    <w:p w14:paraId="3AECCE65">
      <w:pPr>
        <w:adjustRightInd w:val="0"/>
        <w:snapToGrid w:val="0"/>
        <w:spacing w:line="440" w:lineRule="exact"/>
        <w:ind w:firstLine="519" w:firstLineChars="236"/>
        <w:rPr>
          <w:rFonts w:ascii="宋体" w:hAnsi="宋体" w:cs="宋体"/>
          <w:color w:val="auto"/>
          <w:sz w:val="22"/>
          <w:szCs w:val="22"/>
          <w:highlight w:val="none"/>
        </w:rPr>
      </w:pPr>
      <w:r>
        <w:rPr>
          <w:rFonts w:hint="eastAsia" w:ascii="宋体" w:hAnsi="宋体" w:cs="宋体"/>
          <w:color w:val="auto"/>
          <w:kern w:val="0"/>
          <w:sz w:val="22"/>
          <w:szCs w:val="22"/>
          <w:highlight w:val="none"/>
        </w:rPr>
        <w:t>（3）保修阶段</w:t>
      </w:r>
      <w:r>
        <w:rPr>
          <w:rFonts w:hint="eastAsia" w:ascii="宋体" w:hAnsi="宋体" w:cs="宋体"/>
          <w:color w:val="auto"/>
          <w:sz w:val="22"/>
          <w:szCs w:val="22"/>
          <w:highlight w:val="none"/>
        </w:rPr>
        <w:t>服务期限自</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日始，至年</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日</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止。</w:t>
      </w:r>
    </w:p>
    <w:p w14:paraId="5E8CFF73">
      <w:pPr>
        <w:adjustRightInd w:val="0"/>
        <w:snapToGrid w:val="0"/>
        <w:spacing w:line="440" w:lineRule="exact"/>
        <w:ind w:firstLine="519" w:firstLineChars="236"/>
        <w:rPr>
          <w:rFonts w:ascii="宋体" w:hAnsi="宋体" w:cs="宋体"/>
          <w:color w:val="auto"/>
          <w:sz w:val="22"/>
          <w:szCs w:val="22"/>
          <w:highlight w:val="none"/>
        </w:rPr>
      </w:pPr>
      <w:r>
        <w:rPr>
          <w:rFonts w:hint="eastAsia" w:ascii="宋体" w:hAnsi="宋体" w:cs="宋体"/>
          <w:color w:val="auto"/>
          <w:kern w:val="0"/>
          <w:sz w:val="22"/>
          <w:szCs w:val="22"/>
          <w:highlight w:val="none"/>
        </w:rPr>
        <w:t>（4）</w:t>
      </w:r>
      <w:r>
        <w:rPr>
          <w:rFonts w:hint="eastAsia" w:ascii="宋体" w:hAnsi="宋体" w:cs="宋体"/>
          <w:color w:val="auto"/>
          <w:sz w:val="22"/>
          <w:szCs w:val="22"/>
          <w:highlight w:val="none"/>
        </w:rPr>
        <w:t>其他相关服务期限自</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日始，至</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日止。</w:t>
      </w:r>
    </w:p>
    <w:p w14:paraId="208D2FEE">
      <w:pPr>
        <w:pStyle w:val="4"/>
        <w:snapToGrid w:val="0"/>
        <w:spacing w:line="440" w:lineRule="exact"/>
        <w:rPr>
          <w:rFonts w:ascii="宋体" w:hAnsi="宋体" w:eastAsia="宋体" w:cs="宋体"/>
          <w:color w:val="auto"/>
          <w:sz w:val="22"/>
          <w:szCs w:val="22"/>
          <w:highlight w:val="none"/>
        </w:rPr>
      </w:pPr>
      <w:bookmarkStart w:id="128" w:name="_Toc13594"/>
      <w:bookmarkStart w:id="129" w:name="_Toc398111690"/>
      <w:bookmarkStart w:id="130" w:name="_Toc9194594"/>
      <w:r>
        <w:rPr>
          <w:rFonts w:hint="eastAsia" w:ascii="宋体" w:hAnsi="宋体" w:eastAsia="宋体" w:cs="宋体"/>
          <w:color w:val="auto"/>
          <w:sz w:val="22"/>
          <w:szCs w:val="22"/>
          <w:highlight w:val="none"/>
        </w:rPr>
        <w:t>七、双方承诺</w:t>
      </w:r>
      <w:bookmarkEnd w:id="128"/>
      <w:bookmarkEnd w:id="129"/>
      <w:bookmarkEnd w:id="130"/>
    </w:p>
    <w:p w14:paraId="33E5BCA8">
      <w:pPr>
        <w:adjustRightInd w:val="0"/>
        <w:snapToGrid w:val="0"/>
        <w:spacing w:line="440" w:lineRule="exact"/>
        <w:ind w:firstLine="550" w:firstLineChars="250"/>
        <w:rPr>
          <w:rFonts w:ascii="宋体" w:hAnsi="宋体" w:cs="宋体"/>
          <w:color w:val="auto"/>
          <w:kern w:val="0"/>
          <w:sz w:val="22"/>
          <w:szCs w:val="22"/>
          <w:highlight w:val="none"/>
        </w:rPr>
      </w:pPr>
      <w:r>
        <w:rPr>
          <w:rFonts w:hint="eastAsia" w:ascii="宋体" w:hAnsi="宋体" w:cs="宋体"/>
          <w:color w:val="auto"/>
          <w:kern w:val="0"/>
          <w:sz w:val="22"/>
          <w:szCs w:val="22"/>
          <w:highlight w:val="none"/>
        </w:rPr>
        <w:t>1. 监理人向委托人承诺，按照本合同约定提供监理与相关服务。</w:t>
      </w:r>
    </w:p>
    <w:p w14:paraId="1B23FC88">
      <w:pPr>
        <w:adjustRightInd w:val="0"/>
        <w:snapToGrid w:val="0"/>
        <w:spacing w:line="440" w:lineRule="exact"/>
        <w:ind w:firstLine="550" w:firstLineChars="250"/>
        <w:rPr>
          <w:rFonts w:ascii="宋体" w:hAnsi="宋体" w:cs="宋体"/>
          <w:color w:val="auto"/>
          <w:kern w:val="0"/>
          <w:sz w:val="22"/>
          <w:szCs w:val="22"/>
          <w:highlight w:val="none"/>
        </w:rPr>
      </w:pPr>
      <w:r>
        <w:rPr>
          <w:rFonts w:hint="eastAsia" w:ascii="宋体" w:hAnsi="宋体" w:cs="宋体"/>
          <w:color w:val="auto"/>
          <w:kern w:val="0"/>
          <w:sz w:val="22"/>
          <w:szCs w:val="22"/>
          <w:highlight w:val="none"/>
        </w:rPr>
        <w:t>2. 委托人向监理人承诺，按照本合同约定派遣相应的人员，提供房屋、资料、设备，并按本合同约定支付酬金。</w:t>
      </w:r>
    </w:p>
    <w:p w14:paraId="7E884EB1">
      <w:pPr>
        <w:pStyle w:val="4"/>
        <w:snapToGrid w:val="0"/>
        <w:spacing w:line="440" w:lineRule="exact"/>
        <w:rPr>
          <w:rFonts w:ascii="宋体" w:hAnsi="宋体" w:eastAsia="宋体" w:cs="宋体"/>
          <w:color w:val="auto"/>
          <w:sz w:val="22"/>
          <w:szCs w:val="22"/>
          <w:highlight w:val="none"/>
        </w:rPr>
      </w:pPr>
      <w:bookmarkStart w:id="131" w:name="_Toc398111691"/>
      <w:bookmarkStart w:id="132" w:name="_Toc16211"/>
      <w:bookmarkStart w:id="133" w:name="_Toc9194595"/>
      <w:r>
        <w:rPr>
          <w:rFonts w:hint="eastAsia" w:ascii="宋体" w:hAnsi="宋体" w:eastAsia="宋体" w:cs="宋体"/>
          <w:color w:val="auto"/>
          <w:sz w:val="22"/>
          <w:szCs w:val="22"/>
          <w:highlight w:val="none"/>
        </w:rPr>
        <w:t>八、合同订立</w:t>
      </w:r>
      <w:bookmarkEnd w:id="131"/>
      <w:bookmarkEnd w:id="132"/>
      <w:bookmarkEnd w:id="133"/>
    </w:p>
    <w:p w14:paraId="5A83E8C9">
      <w:pPr>
        <w:adjustRightInd w:val="0"/>
        <w:snapToGrid w:val="0"/>
        <w:spacing w:line="440" w:lineRule="exact"/>
        <w:ind w:firstLine="550" w:firstLineChars="250"/>
        <w:jc w:val="left"/>
        <w:rPr>
          <w:rFonts w:ascii="宋体" w:hAnsi="宋体" w:cs="宋体"/>
          <w:color w:val="auto"/>
          <w:sz w:val="22"/>
          <w:szCs w:val="22"/>
          <w:highlight w:val="none"/>
        </w:rPr>
      </w:pPr>
      <w:r>
        <w:rPr>
          <w:rFonts w:hint="eastAsia" w:ascii="宋体" w:hAnsi="宋体" w:cs="宋体"/>
          <w:color w:val="auto"/>
          <w:sz w:val="22"/>
          <w:szCs w:val="22"/>
          <w:highlight w:val="none"/>
        </w:rPr>
        <w:t>1. 订立时间：</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日。</w:t>
      </w:r>
    </w:p>
    <w:p w14:paraId="6C424989">
      <w:pPr>
        <w:adjustRightInd w:val="0"/>
        <w:snapToGrid w:val="0"/>
        <w:spacing w:line="440" w:lineRule="exact"/>
        <w:ind w:firstLine="550" w:firstLineChars="250"/>
        <w:jc w:val="left"/>
        <w:rPr>
          <w:rFonts w:ascii="宋体" w:hAnsi="宋体" w:cs="宋体"/>
          <w:color w:val="auto"/>
          <w:sz w:val="22"/>
          <w:szCs w:val="22"/>
          <w:highlight w:val="none"/>
        </w:rPr>
      </w:pPr>
      <w:r>
        <w:rPr>
          <w:rFonts w:hint="eastAsia" w:ascii="宋体" w:hAnsi="宋体" w:cs="宋体"/>
          <w:color w:val="auto"/>
          <w:sz w:val="22"/>
          <w:szCs w:val="22"/>
          <w:highlight w:val="none"/>
        </w:rPr>
        <w:t>2. 订立地点：</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w:t>
      </w:r>
    </w:p>
    <w:p w14:paraId="4AF41000">
      <w:pPr>
        <w:adjustRightInd w:val="0"/>
        <w:snapToGrid w:val="0"/>
        <w:spacing w:line="440" w:lineRule="exact"/>
        <w:ind w:left="632" w:leftChars="301"/>
        <w:rPr>
          <w:rFonts w:ascii="宋体" w:hAnsi="宋体" w:cs="宋体"/>
          <w:color w:val="auto"/>
          <w:sz w:val="22"/>
          <w:szCs w:val="22"/>
          <w:highlight w:val="none"/>
        </w:rPr>
      </w:pPr>
      <w:r>
        <w:rPr>
          <w:rFonts w:hint="eastAsia" w:ascii="宋体" w:hAnsi="宋体" w:cs="宋体"/>
          <w:color w:val="auto"/>
          <w:sz w:val="22"/>
          <w:szCs w:val="22"/>
          <w:highlight w:val="none"/>
        </w:rPr>
        <w:t>3. 本合同一式份，具有同等法律效力，双方各执份。</w:t>
      </w:r>
    </w:p>
    <w:p w14:paraId="19DD4552">
      <w:pPr>
        <w:adjustRightInd w:val="0"/>
        <w:snapToGrid w:val="0"/>
        <w:spacing w:line="440" w:lineRule="exact"/>
        <w:ind w:firstLine="435" w:firstLineChars="198"/>
        <w:rPr>
          <w:rFonts w:ascii="宋体" w:hAnsi="宋体" w:cs="宋体"/>
          <w:color w:val="auto"/>
          <w:sz w:val="22"/>
          <w:szCs w:val="22"/>
          <w:highlight w:val="none"/>
        </w:rPr>
      </w:pPr>
    </w:p>
    <w:p w14:paraId="7F674BC3">
      <w:pPr>
        <w:adjustRightInd w:val="0"/>
        <w:snapToGrid w:val="0"/>
        <w:spacing w:line="440" w:lineRule="exact"/>
        <w:ind w:firstLine="435" w:firstLineChars="198"/>
        <w:rPr>
          <w:rFonts w:ascii="宋体" w:hAnsi="宋体" w:cs="宋体"/>
          <w:color w:val="auto"/>
          <w:sz w:val="22"/>
          <w:szCs w:val="22"/>
          <w:highlight w:val="none"/>
        </w:rPr>
      </w:pPr>
      <w:r>
        <w:rPr>
          <w:rFonts w:hint="eastAsia" w:ascii="宋体" w:hAnsi="宋体" w:cs="宋体"/>
          <w:color w:val="auto"/>
          <w:sz w:val="22"/>
          <w:szCs w:val="22"/>
          <w:highlight w:val="none"/>
        </w:rPr>
        <w:t>委托人：</w:t>
      </w:r>
      <w:r>
        <w:rPr>
          <w:rFonts w:hint="eastAsia" w:ascii="宋体" w:hAnsi="宋体" w:cs="宋体"/>
          <w:color w:val="auto"/>
          <w:sz w:val="22"/>
          <w:szCs w:val="22"/>
          <w:highlight w:val="none"/>
          <w:u w:val="single"/>
        </w:rPr>
        <w:t xml:space="preserve">   （盖章）     </w:t>
      </w:r>
      <w:r>
        <w:rPr>
          <w:rFonts w:hint="eastAsia" w:ascii="宋体" w:hAnsi="宋体" w:cs="宋体"/>
          <w:color w:val="auto"/>
          <w:sz w:val="22"/>
          <w:szCs w:val="22"/>
          <w:highlight w:val="none"/>
        </w:rPr>
        <w:t xml:space="preserve">              监理人：</w:t>
      </w:r>
      <w:r>
        <w:rPr>
          <w:rFonts w:hint="eastAsia" w:ascii="宋体" w:hAnsi="宋体" w:cs="宋体"/>
          <w:color w:val="auto"/>
          <w:sz w:val="22"/>
          <w:szCs w:val="22"/>
          <w:highlight w:val="none"/>
          <w:u w:val="single"/>
        </w:rPr>
        <w:t xml:space="preserve">   （盖章）    </w:t>
      </w:r>
    </w:p>
    <w:p w14:paraId="009F604D">
      <w:pPr>
        <w:adjustRightInd w:val="0"/>
        <w:snapToGrid w:val="0"/>
        <w:spacing w:line="440" w:lineRule="exact"/>
        <w:ind w:firstLine="435" w:firstLineChars="198"/>
        <w:rPr>
          <w:rFonts w:ascii="宋体" w:hAnsi="宋体" w:cs="宋体"/>
          <w:color w:val="auto"/>
          <w:sz w:val="22"/>
          <w:szCs w:val="22"/>
          <w:highlight w:val="none"/>
        </w:rPr>
      </w:pPr>
      <w:r>
        <w:rPr>
          <w:rFonts w:hint="eastAsia" w:ascii="宋体" w:hAnsi="宋体" w:cs="宋体"/>
          <w:color w:val="auto"/>
          <w:sz w:val="22"/>
          <w:szCs w:val="22"/>
          <w:highlight w:val="none"/>
        </w:rPr>
        <w:t xml:space="preserve">住所：           </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 xml:space="preserve">住所： </w:t>
      </w:r>
    </w:p>
    <w:p w14:paraId="2ADD72EE">
      <w:pPr>
        <w:adjustRightInd w:val="0"/>
        <w:snapToGri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邮政编码：       </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邮政编码：</w:t>
      </w:r>
    </w:p>
    <w:p w14:paraId="3EAF752D">
      <w:pPr>
        <w:adjustRightInd w:val="0"/>
        <w:snapToGrid w:val="0"/>
        <w:spacing w:line="440" w:lineRule="exact"/>
        <w:ind w:firstLine="435" w:firstLineChars="198"/>
        <w:rPr>
          <w:rFonts w:ascii="宋体" w:hAnsi="宋体" w:cs="宋体"/>
          <w:color w:val="auto"/>
          <w:sz w:val="22"/>
          <w:szCs w:val="22"/>
          <w:highlight w:val="none"/>
        </w:rPr>
      </w:pPr>
      <w:r>
        <w:rPr>
          <w:rFonts w:hint="eastAsia" w:ascii="宋体" w:hAnsi="宋体" w:cs="宋体"/>
          <w:color w:val="auto"/>
          <w:sz w:val="22"/>
          <w:szCs w:val="22"/>
          <w:highlight w:val="none"/>
        </w:rPr>
        <w:t>法定代表人或其授权的代理人：</w:t>
      </w:r>
      <w:r>
        <w:rPr>
          <w:rFonts w:hint="eastAsia" w:ascii="宋体" w:hAnsi="宋体" w:cs="宋体"/>
          <w:color w:val="auto"/>
          <w:sz w:val="22"/>
          <w:szCs w:val="22"/>
          <w:highlight w:val="none"/>
          <w:u w:val="single"/>
        </w:rPr>
        <w:t>（签字）</w:t>
      </w:r>
      <w:r>
        <w:rPr>
          <w:rFonts w:hint="eastAsia" w:ascii="宋体" w:hAnsi="宋体" w:cs="宋体"/>
          <w:color w:val="auto"/>
          <w:sz w:val="22"/>
          <w:szCs w:val="22"/>
          <w:highlight w:val="none"/>
          <w:u w:val="none"/>
          <w:lang w:val="en-US" w:eastAsia="zh-CN"/>
        </w:rPr>
        <w:t xml:space="preserve"> </w:t>
      </w:r>
      <w:r>
        <w:rPr>
          <w:rFonts w:hint="eastAsia" w:ascii="宋体" w:hAnsi="宋体" w:cs="宋体"/>
          <w:color w:val="auto"/>
          <w:sz w:val="22"/>
          <w:szCs w:val="22"/>
          <w:highlight w:val="none"/>
        </w:rPr>
        <w:t xml:space="preserve"> 法定代表人或其授权的代理人：</w:t>
      </w:r>
      <w:r>
        <w:rPr>
          <w:rFonts w:hint="eastAsia" w:ascii="宋体" w:hAnsi="宋体" w:cs="宋体"/>
          <w:color w:val="auto"/>
          <w:sz w:val="22"/>
          <w:szCs w:val="22"/>
          <w:highlight w:val="none"/>
          <w:u w:val="single"/>
        </w:rPr>
        <w:t xml:space="preserve">（签字）      </w:t>
      </w:r>
      <w:r>
        <w:rPr>
          <w:rFonts w:hint="eastAsia" w:ascii="宋体" w:hAnsi="宋体" w:cs="宋体"/>
          <w:color w:val="auto"/>
          <w:sz w:val="22"/>
          <w:szCs w:val="22"/>
          <w:highlight w:val="none"/>
          <w:u w:val="none"/>
          <w:lang w:val="en-US" w:eastAsia="zh-CN"/>
        </w:rPr>
        <w:t xml:space="preserve">                </w:t>
      </w:r>
    </w:p>
    <w:p w14:paraId="5CB2FC09">
      <w:pPr>
        <w:adjustRightInd w:val="0"/>
        <w:snapToGrid w:val="0"/>
        <w:spacing w:line="440" w:lineRule="exact"/>
        <w:ind w:firstLine="435" w:firstLineChars="198"/>
        <w:rPr>
          <w:rFonts w:ascii="宋体" w:hAnsi="宋体" w:cs="宋体"/>
          <w:color w:val="auto"/>
          <w:sz w:val="22"/>
          <w:szCs w:val="22"/>
          <w:highlight w:val="none"/>
        </w:rPr>
      </w:pPr>
      <w:r>
        <w:rPr>
          <w:rFonts w:hint="eastAsia" w:ascii="宋体" w:hAnsi="宋体" w:cs="宋体"/>
          <w:color w:val="auto"/>
          <w:sz w:val="22"/>
          <w:szCs w:val="22"/>
          <w:highlight w:val="none"/>
        </w:rPr>
        <w:t>开户银行：                            开户银行：</w:t>
      </w:r>
    </w:p>
    <w:p w14:paraId="2575481E">
      <w:pPr>
        <w:adjustRightInd w:val="0"/>
        <w:snapToGrid w:val="0"/>
        <w:spacing w:line="440" w:lineRule="exact"/>
        <w:ind w:firstLine="435" w:firstLineChars="198"/>
        <w:rPr>
          <w:rFonts w:ascii="宋体" w:hAnsi="宋体" w:cs="宋体"/>
          <w:color w:val="auto"/>
          <w:sz w:val="22"/>
          <w:szCs w:val="22"/>
          <w:highlight w:val="none"/>
        </w:rPr>
      </w:pPr>
      <w:r>
        <w:rPr>
          <w:rFonts w:hint="eastAsia" w:ascii="宋体" w:hAnsi="宋体" w:cs="宋体"/>
          <w:color w:val="auto"/>
          <w:sz w:val="22"/>
          <w:szCs w:val="22"/>
          <w:highlight w:val="none"/>
        </w:rPr>
        <w:t>账号：                                账号：</w:t>
      </w:r>
    </w:p>
    <w:p w14:paraId="60C3887A">
      <w:pPr>
        <w:adjustRightInd w:val="0"/>
        <w:snapToGrid w:val="0"/>
        <w:spacing w:line="440" w:lineRule="exact"/>
        <w:ind w:firstLine="435" w:firstLineChars="198"/>
        <w:rPr>
          <w:rFonts w:ascii="宋体" w:hAnsi="宋体" w:cs="宋体"/>
          <w:color w:val="auto"/>
          <w:sz w:val="22"/>
          <w:szCs w:val="22"/>
          <w:highlight w:val="none"/>
        </w:rPr>
      </w:pPr>
      <w:r>
        <w:rPr>
          <w:rFonts w:hint="eastAsia" w:ascii="宋体" w:hAnsi="宋体" w:cs="宋体"/>
          <w:color w:val="auto"/>
          <w:sz w:val="22"/>
          <w:szCs w:val="22"/>
          <w:highlight w:val="none"/>
        </w:rPr>
        <w:t>电话：                                      电话：</w:t>
      </w:r>
    </w:p>
    <w:p w14:paraId="23320A44">
      <w:pPr>
        <w:adjustRightInd w:val="0"/>
        <w:snapToGrid w:val="0"/>
        <w:spacing w:line="440" w:lineRule="exact"/>
        <w:ind w:firstLine="435" w:firstLineChars="198"/>
        <w:rPr>
          <w:rFonts w:ascii="宋体" w:hAnsi="宋体" w:cs="宋体"/>
          <w:color w:val="auto"/>
          <w:sz w:val="22"/>
          <w:szCs w:val="22"/>
          <w:highlight w:val="none"/>
        </w:rPr>
      </w:pPr>
      <w:r>
        <w:rPr>
          <w:rFonts w:hint="eastAsia" w:ascii="宋体" w:hAnsi="宋体" w:cs="宋体"/>
          <w:color w:val="auto"/>
          <w:sz w:val="22"/>
          <w:szCs w:val="22"/>
          <w:highlight w:val="none"/>
        </w:rPr>
        <w:t>传真：                                      传真：</w:t>
      </w:r>
    </w:p>
    <w:p w14:paraId="6EE0E6CB">
      <w:pPr>
        <w:adjustRightInd w:val="0"/>
        <w:snapToGrid w:val="0"/>
        <w:spacing w:line="440" w:lineRule="exact"/>
        <w:ind w:firstLine="435" w:firstLineChars="198"/>
        <w:rPr>
          <w:rFonts w:ascii="宋体" w:hAnsi="宋体"/>
          <w:color w:val="auto"/>
          <w:sz w:val="24"/>
          <w:highlight w:val="none"/>
          <w:u w:val="single"/>
        </w:rPr>
      </w:pPr>
      <w:r>
        <w:rPr>
          <w:rFonts w:hint="eastAsia" w:ascii="宋体" w:hAnsi="宋体" w:cs="宋体"/>
          <w:color w:val="auto"/>
          <w:sz w:val="22"/>
          <w:szCs w:val="22"/>
          <w:highlight w:val="none"/>
        </w:rPr>
        <w:t>电子邮箱：                                  电子邮箱：</w:t>
      </w:r>
    </w:p>
    <w:p w14:paraId="22520234">
      <w:pPr>
        <w:tabs>
          <w:tab w:val="left" w:pos="3120"/>
        </w:tabs>
        <w:spacing w:line="360" w:lineRule="auto"/>
        <w:jc w:val="center"/>
        <w:rPr>
          <w:rFonts w:ascii="宋体" w:hAnsi="宋体"/>
          <w:b/>
          <w:bCs/>
          <w:color w:val="auto"/>
          <w:sz w:val="24"/>
          <w:highlight w:val="none"/>
        </w:rPr>
      </w:pPr>
    </w:p>
    <w:p w14:paraId="787BA82C">
      <w:pPr>
        <w:tabs>
          <w:tab w:val="left" w:pos="3120"/>
        </w:tabs>
        <w:spacing w:line="360" w:lineRule="auto"/>
        <w:jc w:val="center"/>
        <w:rPr>
          <w:rFonts w:ascii="宋体" w:hAnsi="宋体"/>
          <w:b/>
          <w:bCs/>
          <w:color w:val="auto"/>
          <w:sz w:val="24"/>
          <w:highlight w:val="none"/>
        </w:rPr>
      </w:pPr>
    </w:p>
    <w:p w14:paraId="389E8D9A">
      <w:pPr>
        <w:tabs>
          <w:tab w:val="left" w:pos="3120"/>
        </w:tabs>
        <w:spacing w:line="360" w:lineRule="auto"/>
        <w:jc w:val="center"/>
        <w:rPr>
          <w:rFonts w:ascii="宋体" w:hAnsi="宋体"/>
          <w:b/>
          <w:bCs/>
          <w:color w:val="auto"/>
          <w:sz w:val="24"/>
          <w:highlight w:val="none"/>
        </w:rPr>
      </w:pPr>
    </w:p>
    <w:p w14:paraId="5FC5E259">
      <w:pPr>
        <w:tabs>
          <w:tab w:val="left" w:pos="3120"/>
        </w:tabs>
        <w:spacing w:line="360" w:lineRule="auto"/>
        <w:jc w:val="center"/>
        <w:rPr>
          <w:rFonts w:ascii="宋体" w:hAnsi="宋体"/>
          <w:b/>
          <w:bCs/>
          <w:color w:val="auto"/>
          <w:sz w:val="24"/>
          <w:highlight w:val="none"/>
        </w:rPr>
      </w:pPr>
    </w:p>
    <w:p w14:paraId="7791A041">
      <w:pPr>
        <w:tabs>
          <w:tab w:val="left" w:pos="3120"/>
        </w:tabs>
        <w:spacing w:line="360" w:lineRule="auto"/>
        <w:jc w:val="center"/>
        <w:rPr>
          <w:rFonts w:ascii="宋体" w:hAnsi="宋体"/>
          <w:b/>
          <w:bCs/>
          <w:color w:val="auto"/>
          <w:sz w:val="24"/>
          <w:highlight w:val="none"/>
        </w:rPr>
      </w:pPr>
    </w:p>
    <w:p w14:paraId="26E9FABD">
      <w:pPr>
        <w:tabs>
          <w:tab w:val="left" w:pos="3120"/>
        </w:tabs>
        <w:spacing w:line="360" w:lineRule="auto"/>
        <w:jc w:val="center"/>
        <w:rPr>
          <w:rFonts w:ascii="宋体" w:hAnsi="宋体"/>
          <w:b/>
          <w:bCs/>
          <w:color w:val="auto"/>
          <w:sz w:val="24"/>
          <w:highlight w:val="none"/>
        </w:rPr>
      </w:pPr>
    </w:p>
    <w:p w14:paraId="5101EC37">
      <w:pPr>
        <w:tabs>
          <w:tab w:val="left" w:pos="3120"/>
        </w:tabs>
        <w:spacing w:line="360" w:lineRule="auto"/>
        <w:jc w:val="center"/>
        <w:rPr>
          <w:rFonts w:ascii="宋体" w:hAnsi="宋体"/>
          <w:b/>
          <w:bCs/>
          <w:color w:val="auto"/>
          <w:sz w:val="24"/>
          <w:highlight w:val="none"/>
        </w:rPr>
      </w:pPr>
    </w:p>
    <w:p w14:paraId="68B8A499">
      <w:pPr>
        <w:tabs>
          <w:tab w:val="left" w:pos="3120"/>
        </w:tabs>
        <w:spacing w:line="360" w:lineRule="auto"/>
        <w:jc w:val="center"/>
        <w:rPr>
          <w:rFonts w:ascii="宋体" w:hAnsi="宋体"/>
          <w:b/>
          <w:bCs/>
          <w:color w:val="auto"/>
          <w:sz w:val="24"/>
          <w:highlight w:val="none"/>
        </w:rPr>
      </w:pPr>
    </w:p>
    <w:p w14:paraId="28BEC199">
      <w:pPr>
        <w:tabs>
          <w:tab w:val="left" w:pos="3120"/>
        </w:tabs>
        <w:spacing w:line="360" w:lineRule="auto"/>
        <w:jc w:val="center"/>
        <w:rPr>
          <w:rFonts w:ascii="宋体" w:hAnsi="宋体"/>
          <w:b/>
          <w:bCs/>
          <w:color w:val="auto"/>
          <w:sz w:val="24"/>
          <w:highlight w:val="none"/>
        </w:rPr>
      </w:pPr>
    </w:p>
    <w:p w14:paraId="7311457B">
      <w:pPr>
        <w:tabs>
          <w:tab w:val="left" w:pos="3120"/>
        </w:tabs>
        <w:spacing w:line="360" w:lineRule="auto"/>
        <w:jc w:val="center"/>
        <w:rPr>
          <w:rFonts w:ascii="宋体" w:hAnsi="宋体"/>
          <w:b/>
          <w:bCs/>
          <w:color w:val="auto"/>
          <w:sz w:val="24"/>
          <w:highlight w:val="none"/>
        </w:rPr>
      </w:pPr>
    </w:p>
    <w:p w14:paraId="0CACC51C">
      <w:pPr>
        <w:tabs>
          <w:tab w:val="left" w:pos="3120"/>
        </w:tabs>
        <w:spacing w:line="360" w:lineRule="auto"/>
        <w:jc w:val="center"/>
        <w:rPr>
          <w:rFonts w:ascii="宋体" w:hAnsi="宋体"/>
          <w:b/>
          <w:bCs/>
          <w:color w:val="auto"/>
          <w:sz w:val="24"/>
          <w:highlight w:val="none"/>
        </w:rPr>
      </w:pPr>
    </w:p>
    <w:p w14:paraId="69B89642">
      <w:pPr>
        <w:tabs>
          <w:tab w:val="left" w:pos="3120"/>
        </w:tabs>
        <w:spacing w:line="360" w:lineRule="auto"/>
        <w:jc w:val="center"/>
        <w:rPr>
          <w:rFonts w:ascii="宋体" w:hAnsi="宋体"/>
          <w:b/>
          <w:bCs/>
          <w:color w:val="auto"/>
          <w:sz w:val="24"/>
          <w:highlight w:val="none"/>
        </w:rPr>
      </w:pPr>
    </w:p>
    <w:p w14:paraId="1BB99A7D">
      <w:pPr>
        <w:pStyle w:val="3"/>
        <w:pageBreakBefore/>
        <w:spacing w:line="360" w:lineRule="auto"/>
        <w:jc w:val="center"/>
        <w:rPr>
          <w:rFonts w:ascii="宋体" w:hAnsi="宋体" w:eastAsia="宋体"/>
          <w:color w:val="auto"/>
          <w:sz w:val="28"/>
          <w:szCs w:val="28"/>
          <w:highlight w:val="none"/>
        </w:rPr>
      </w:pPr>
      <w:bookmarkStart w:id="134" w:name="_Toc398111692"/>
      <w:bookmarkStart w:id="135" w:name="_Toc9194596"/>
      <w:bookmarkStart w:id="136" w:name="_Toc31005"/>
      <w:r>
        <w:rPr>
          <w:rFonts w:hint="eastAsia" w:ascii="宋体" w:hAnsi="宋体" w:eastAsia="宋体"/>
          <w:color w:val="auto"/>
          <w:sz w:val="28"/>
          <w:szCs w:val="28"/>
          <w:highlight w:val="none"/>
        </w:rPr>
        <w:t>第二部分  通用条件</w:t>
      </w:r>
      <w:bookmarkEnd w:id="134"/>
      <w:bookmarkEnd w:id="135"/>
      <w:bookmarkEnd w:id="136"/>
    </w:p>
    <w:p w14:paraId="267C2398">
      <w:pPr>
        <w:pStyle w:val="4"/>
        <w:spacing w:line="440" w:lineRule="exact"/>
        <w:rPr>
          <w:rFonts w:ascii="宋体" w:hAnsi="宋体" w:eastAsia="宋体" w:cs="宋体"/>
          <w:color w:val="auto"/>
          <w:sz w:val="22"/>
          <w:szCs w:val="22"/>
          <w:highlight w:val="none"/>
        </w:rPr>
      </w:pPr>
      <w:bookmarkStart w:id="137" w:name="_Toc7378"/>
      <w:bookmarkStart w:id="138" w:name="_Toc398111693"/>
      <w:bookmarkStart w:id="139" w:name="_Toc9194597"/>
      <w:r>
        <w:rPr>
          <w:rFonts w:hint="eastAsia" w:ascii="宋体" w:hAnsi="宋体" w:eastAsia="宋体" w:cs="宋体"/>
          <w:color w:val="auto"/>
          <w:sz w:val="22"/>
          <w:szCs w:val="22"/>
          <w:highlight w:val="none"/>
        </w:rPr>
        <w:t>1. 定义与解释</w:t>
      </w:r>
      <w:bookmarkEnd w:id="137"/>
      <w:bookmarkEnd w:id="138"/>
      <w:bookmarkEnd w:id="139"/>
    </w:p>
    <w:p w14:paraId="1E4C5E0D">
      <w:pPr>
        <w:spacing w:line="440" w:lineRule="exact"/>
        <w:ind w:left="210" w:leftChars="100"/>
        <w:rPr>
          <w:rFonts w:ascii="宋体" w:hAnsi="宋体" w:cs="宋体"/>
          <w:bCs/>
          <w:color w:val="auto"/>
          <w:sz w:val="22"/>
          <w:szCs w:val="22"/>
          <w:highlight w:val="none"/>
        </w:rPr>
      </w:pPr>
      <w:r>
        <w:rPr>
          <w:rFonts w:hint="eastAsia" w:ascii="宋体" w:hAnsi="宋体" w:cs="宋体"/>
          <w:color w:val="auto"/>
          <w:sz w:val="22"/>
          <w:szCs w:val="22"/>
          <w:highlight w:val="none"/>
        </w:rPr>
        <w:t xml:space="preserve">1.1 </w:t>
      </w:r>
      <w:r>
        <w:rPr>
          <w:rFonts w:hint="eastAsia" w:ascii="宋体" w:hAnsi="宋体" w:cs="宋体"/>
          <w:bCs/>
          <w:color w:val="auto"/>
          <w:sz w:val="22"/>
          <w:szCs w:val="22"/>
          <w:highlight w:val="none"/>
        </w:rPr>
        <w:t>定义</w:t>
      </w:r>
    </w:p>
    <w:p w14:paraId="298F6200">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除根据上下文另有其意义外，组成本合同的全部文件中的下列名词和用语应具有本款所赋予的含义：</w:t>
      </w:r>
    </w:p>
    <w:p w14:paraId="7143A248">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1.1.1 “工程”是指按照本合同约定实施监理与相关服务的建设工程。</w:t>
      </w:r>
    </w:p>
    <w:p w14:paraId="107839E0">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1.1.2 “委托人”是指本合同中委托监理与相关服务的一方，及其合法的继承人或受让人。</w:t>
      </w:r>
    </w:p>
    <w:p w14:paraId="5D6796B6">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 “监理人”是指本合同中提供监理与相关服务的一方，及其合法的继承人。</w:t>
      </w:r>
    </w:p>
    <w:p w14:paraId="20D39203">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1.1.4 “承包人”是指在工程范围内与委托人签订勘察、设计、施工等有关合同的当事人，及其合法的继承人。</w:t>
      </w:r>
    </w:p>
    <w:p w14:paraId="4A14A57E">
      <w:pPr>
        <w:pStyle w:val="19"/>
        <w:spacing w:line="440" w:lineRule="exact"/>
        <w:ind w:firstLine="570"/>
        <w:rPr>
          <w:rFonts w:hAnsi="宋体" w:cs="宋体"/>
          <w:color w:val="auto"/>
          <w:sz w:val="22"/>
          <w:szCs w:val="22"/>
          <w:highlight w:val="none"/>
        </w:rPr>
      </w:pPr>
      <w:r>
        <w:rPr>
          <w:rFonts w:hint="eastAsia" w:hAnsi="宋体" w:cs="宋体"/>
          <w:color w:val="auto"/>
          <w:sz w:val="22"/>
          <w:szCs w:val="22"/>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1502D6E7">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1.1.6 “相关服务”是指监理人受委托人的委托 ，按照本合同约定，在勘察、设计、保修等阶段提供的服务活动。</w:t>
      </w:r>
    </w:p>
    <w:p w14:paraId="5B7DE68C">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1.1.7 “正常工作”指本合同订立时通用条件和专用条件中约定的监理人的工作。</w:t>
      </w:r>
    </w:p>
    <w:p w14:paraId="67B4B13C">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1.1.8 “附加工作”是指本合同约定的正常工作以外监理人的工作。</w:t>
      </w:r>
    </w:p>
    <w:p w14:paraId="22518F83">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1.1.9 “项目监理机构”是指监理人派驻工程负责履行本合同的组织机构。</w:t>
      </w:r>
    </w:p>
    <w:p w14:paraId="31E828B5">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1.1.10 “总监理工程师”是指由监理人的法定代表人书面授权，全面负责履行本合同、主持项目监理机构工作的注册监理工程师。</w:t>
      </w:r>
    </w:p>
    <w:p w14:paraId="0E910F70">
      <w:pPr>
        <w:adjustRightInd w:val="0"/>
        <w:spacing w:line="440" w:lineRule="exact"/>
        <w:ind w:firstLine="435" w:firstLineChars="198"/>
        <w:rPr>
          <w:rFonts w:ascii="宋体" w:hAnsi="宋体" w:cs="宋体"/>
          <w:color w:val="auto"/>
          <w:sz w:val="22"/>
          <w:szCs w:val="22"/>
          <w:highlight w:val="none"/>
        </w:rPr>
      </w:pPr>
      <w:r>
        <w:rPr>
          <w:rFonts w:hint="eastAsia" w:ascii="宋体" w:hAnsi="宋体" w:cs="宋体"/>
          <w:color w:val="auto"/>
          <w:sz w:val="22"/>
          <w:szCs w:val="22"/>
          <w:highlight w:val="none"/>
        </w:rPr>
        <w:t>1.1.11 “酬金”是指监理人履行本合同义务，委托人按照本合同约定给付监理人的金额。</w:t>
      </w:r>
    </w:p>
    <w:p w14:paraId="54FDA2AB">
      <w:pPr>
        <w:adjustRightInd w:val="0"/>
        <w:spacing w:line="440" w:lineRule="exact"/>
        <w:ind w:firstLine="435" w:firstLineChars="198"/>
        <w:rPr>
          <w:rFonts w:ascii="宋体" w:hAnsi="宋体" w:cs="宋体"/>
          <w:color w:val="auto"/>
          <w:sz w:val="22"/>
          <w:szCs w:val="22"/>
          <w:highlight w:val="none"/>
        </w:rPr>
      </w:pPr>
      <w:r>
        <w:rPr>
          <w:rFonts w:hint="eastAsia" w:ascii="宋体" w:hAnsi="宋体" w:cs="宋体"/>
          <w:color w:val="auto"/>
          <w:sz w:val="22"/>
          <w:szCs w:val="22"/>
          <w:highlight w:val="none"/>
        </w:rPr>
        <w:t>1.1.12 “正常工作</w:t>
      </w:r>
      <w:r>
        <w:rPr>
          <w:rFonts w:hint="eastAsia" w:ascii="宋体" w:hAnsi="宋体" w:cs="宋体"/>
          <w:color w:val="auto"/>
          <w:kern w:val="0"/>
          <w:sz w:val="22"/>
          <w:szCs w:val="22"/>
          <w:highlight w:val="none"/>
        </w:rPr>
        <w:t>酬金”</w:t>
      </w:r>
      <w:r>
        <w:rPr>
          <w:rFonts w:hint="eastAsia" w:ascii="宋体" w:hAnsi="宋体" w:cs="宋体"/>
          <w:color w:val="auto"/>
          <w:sz w:val="22"/>
          <w:szCs w:val="22"/>
          <w:highlight w:val="none"/>
        </w:rPr>
        <w:t>是指监理人完成正常工作，委托人应给付监理人并在协议书中载明的签约</w:t>
      </w:r>
      <w:r>
        <w:rPr>
          <w:rFonts w:hint="eastAsia" w:ascii="宋体" w:hAnsi="宋体" w:cs="宋体"/>
          <w:color w:val="auto"/>
          <w:kern w:val="0"/>
          <w:sz w:val="22"/>
          <w:szCs w:val="22"/>
          <w:highlight w:val="none"/>
        </w:rPr>
        <w:t>酬金额</w:t>
      </w:r>
      <w:r>
        <w:rPr>
          <w:rFonts w:hint="eastAsia" w:ascii="宋体" w:hAnsi="宋体" w:cs="宋体"/>
          <w:color w:val="auto"/>
          <w:sz w:val="22"/>
          <w:szCs w:val="22"/>
          <w:highlight w:val="none"/>
        </w:rPr>
        <w:t>。</w:t>
      </w:r>
    </w:p>
    <w:p w14:paraId="3FB87B3E">
      <w:pPr>
        <w:adjustRightInd w:val="0"/>
        <w:spacing w:line="440" w:lineRule="exact"/>
        <w:ind w:firstLine="435" w:firstLineChars="198"/>
        <w:rPr>
          <w:rFonts w:ascii="宋体" w:hAnsi="宋体" w:cs="宋体"/>
          <w:color w:val="auto"/>
          <w:sz w:val="22"/>
          <w:szCs w:val="22"/>
          <w:highlight w:val="none"/>
        </w:rPr>
      </w:pPr>
      <w:r>
        <w:rPr>
          <w:rFonts w:hint="eastAsia" w:ascii="宋体" w:hAnsi="宋体" w:cs="宋体"/>
          <w:color w:val="auto"/>
          <w:sz w:val="22"/>
          <w:szCs w:val="22"/>
          <w:highlight w:val="none"/>
        </w:rPr>
        <w:t>1.1.13 “附加工作酬金”是指监理人完成附加工作，委托人应给付监理人的金额。</w:t>
      </w:r>
    </w:p>
    <w:p w14:paraId="62758958">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1.1.14 “一方”是指委托人或监理人；“双方”是指委托人和监理人；“第三方”是指除委托人和监理人以外的有关方。</w:t>
      </w:r>
    </w:p>
    <w:p w14:paraId="4B71F81F">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1.1.15 “书面形式”是指合同书、信件和数据电文（包括电报、电传、传真、电子数据交换和电子邮件）等可以有形地表现所载内容的形式。</w:t>
      </w:r>
    </w:p>
    <w:p w14:paraId="5277B1C5">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1.1.16 “天”是指第一天零时至第二天零时的时间。</w:t>
      </w:r>
    </w:p>
    <w:p w14:paraId="0C869E87">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1.1.17“月”是指按公历从一个月中任何一天开始的一个公历月时间。</w:t>
      </w:r>
    </w:p>
    <w:p w14:paraId="38B4D93B">
      <w:pPr>
        <w:adjustRightInd w:val="0"/>
        <w:spacing w:line="44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4FBCA76E">
      <w:pPr>
        <w:adjustRightInd w:val="0"/>
        <w:spacing w:line="440" w:lineRule="exact"/>
        <w:ind w:left="210" w:leftChars="100"/>
        <w:rPr>
          <w:rFonts w:ascii="宋体" w:hAnsi="宋体" w:cs="宋体"/>
          <w:color w:val="auto"/>
          <w:sz w:val="22"/>
          <w:szCs w:val="22"/>
          <w:highlight w:val="none"/>
        </w:rPr>
      </w:pPr>
      <w:r>
        <w:rPr>
          <w:rFonts w:hint="eastAsia" w:ascii="宋体" w:hAnsi="宋体" w:cs="宋体"/>
          <w:bCs/>
          <w:color w:val="auto"/>
          <w:sz w:val="22"/>
          <w:szCs w:val="22"/>
          <w:highlight w:val="none"/>
        </w:rPr>
        <w:t xml:space="preserve">1.2 </w:t>
      </w:r>
      <w:r>
        <w:rPr>
          <w:rFonts w:hint="eastAsia" w:ascii="宋体" w:hAnsi="宋体" w:cs="宋体"/>
          <w:color w:val="auto"/>
          <w:sz w:val="22"/>
          <w:szCs w:val="22"/>
          <w:highlight w:val="none"/>
        </w:rPr>
        <w:t>解释</w:t>
      </w:r>
    </w:p>
    <w:p w14:paraId="4CFD8E9E">
      <w:pPr>
        <w:tabs>
          <w:tab w:val="left" w:pos="6140"/>
        </w:tabs>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1.2.1本合同使用中文书写、解释和说明。如专用条件约定使用两种及以上语言文字时，应以中文为准。</w:t>
      </w:r>
    </w:p>
    <w:p w14:paraId="528DD170">
      <w:pPr>
        <w:tabs>
          <w:tab w:val="left" w:pos="6140"/>
        </w:tabs>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1.2.2 组成本合同的下列文件彼此应能相互解释、互为说明。除专用条件另有约定外，本合同文件的解释顺序如下：</w:t>
      </w:r>
    </w:p>
    <w:p w14:paraId="510DF4BE">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（1）协议书；</w:t>
      </w:r>
    </w:p>
    <w:p w14:paraId="0CF3E5F5">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（2）中标通知书（适用于招标工程）或委托书（适用于非招标工程）；</w:t>
      </w:r>
    </w:p>
    <w:p w14:paraId="5B73F6C4">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（3）专用条件及附录A、附录B；</w:t>
      </w:r>
    </w:p>
    <w:p w14:paraId="746BB895">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（4）通用条件；</w:t>
      </w:r>
    </w:p>
    <w:p w14:paraId="062874FF">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（5）投标文件（适用于招标工程）或监理与相关服务建议书（适用于非招标工程）。</w:t>
      </w:r>
    </w:p>
    <w:p w14:paraId="1B588665">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双方签订的补充协议与其他文件发生矛盾或歧义时，属于同一类内容的文件，应以最新签署的为准。</w:t>
      </w:r>
    </w:p>
    <w:p w14:paraId="7FE8621E">
      <w:pPr>
        <w:pStyle w:val="4"/>
        <w:spacing w:line="440" w:lineRule="exact"/>
        <w:rPr>
          <w:rFonts w:ascii="宋体" w:hAnsi="宋体" w:eastAsia="宋体" w:cs="宋体"/>
          <w:color w:val="auto"/>
          <w:sz w:val="22"/>
          <w:szCs w:val="22"/>
          <w:highlight w:val="none"/>
        </w:rPr>
      </w:pPr>
      <w:bookmarkStart w:id="140" w:name="_Toc398111694"/>
      <w:bookmarkStart w:id="141" w:name="_Toc9194598"/>
      <w:bookmarkStart w:id="142" w:name="_Toc28454"/>
      <w:r>
        <w:rPr>
          <w:rFonts w:hint="eastAsia" w:ascii="宋体" w:hAnsi="宋体" w:eastAsia="宋体" w:cs="宋体"/>
          <w:color w:val="auto"/>
          <w:sz w:val="22"/>
          <w:szCs w:val="22"/>
          <w:highlight w:val="none"/>
        </w:rPr>
        <w:t>2. 监理人的义务</w:t>
      </w:r>
      <w:bookmarkEnd w:id="140"/>
      <w:bookmarkEnd w:id="141"/>
      <w:bookmarkEnd w:id="142"/>
    </w:p>
    <w:p w14:paraId="3C3B50DA">
      <w:pPr>
        <w:adjustRightInd w:val="0"/>
        <w:spacing w:line="440" w:lineRule="exact"/>
        <w:ind w:left="210" w:leftChars="100"/>
        <w:rPr>
          <w:rFonts w:ascii="宋体" w:hAnsi="宋体" w:cs="宋体"/>
          <w:bCs/>
          <w:color w:val="auto"/>
          <w:sz w:val="22"/>
          <w:szCs w:val="22"/>
          <w:highlight w:val="none"/>
        </w:rPr>
      </w:pPr>
      <w:r>
        <w:rPr>
          <w:rFonts w:hint="eastAsia" w:ascii="宋体" w:hAnsi="宋体" w:cs="宋体"/>
          <w:color w:val="auto"/>
          <w:sz w:val="22"/>
          <w:szCs w:val="22"/>
          <w:highlight w:val="none"/>
        </w:rPr>
        <w:t>2.1 监理的范围和工作内容</w:t>
      </w:r>
    </w:p>
    <w:p w14:paraId="22AC8FCE">
      <w:pPr>
        <w:adjustRightInd w:val="0"/>
        <w:spacing w:line="440" w:lineRule="exact"/>
        <w:ind w:left="420" w:leftChars="200"/>
        <w:rPr>
          <w:rFonts w:ascii="宋体" w:hAnsi="宋体" w:cs="宋体"/>
          <w:color w:val="auto"/>
          <w:sz w:val="22"/>
          <w:szCs w:val="22"/>
          <w:highlight w:val="none"/>
        </w:rPr>
      </w:pPr>
      <w:r>
        <w:rPr>
          <w:rFonts w:hint="eastAsia" w:ascii="宋体" w:hAnsi="宋体" w:cs="宋体"/>
          <w:color w:val="auto"/>
          <w:sz w:val="22"/>
          <w:szCs w:val="22"/>
          <w:highlight w:val="none"/>
        </w:rPr>
        <w:t>2.1.1 监理范围在专用条件中约定。</w:t>
      </w:r>
    </w:p>
    <w:p w14:paraId="52B31656">
      <w:pPr>
        <w:adjustRightInd w:val="0"/>
        <w:spacing w:line="440" w:lineRule="exact"/>
        <w:ind w:left="420" w:leftChars="200"/>
        <w:rPr>
          <w:rFonts w:ascii="宋体" w:hAnsi="宋体" w:cs="宋体"/>
          <w:color w:val="auto"/>
          <w:sz w:val="22"/>
          <w:szCs w:val="22"/>
          <w:highlight w:val="none"/>
        </w:rPr>
      </w:pPr>
      <w:r>
        <w:rPr>
          <w:rFonts w:hint="eastAsia" w:ascii="宋体" w:hAnsi="宋体" w:cs="宋体"/>
          <w:color w:val="auto"/>
          <w:sz w:val="22"/>
          <w:szCs w:val="22"/>
          <w:highlight w:val="none"/>
        </w:rPr>
        <w:t>2.1.2 除专用条件另有约定外，监理工作内容包括：</w:t>
      </w:r>
    </w:p>
    <w:p w14:paraId="0CA8C093">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（1）收到工程设计文件后编制监理规划，并在第一次工地会议7天前报委托人。根据有关规定和监理工作需要，编制监理实施细则；</w:t>
      </w:r>
    </w:p>
    <w:p w14:paraId="568EF114">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（2）熟悉工程设计文件，并参加由委托人主持的图纸会审和设计交底会议；</w:t>
      </w:r>
    </w:p>
    <w:p w14:paraId="12F03E26">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（3）参加由委托人主持的第一次工地会议；主持监理例会并根据工程需要主持或参加专题会议；</w:t>
      </w:r>
    </w:p>
    <w:p w14:paraId="449B1E07">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（4）审查施工承包人提交的施工组织设计，重点审查其中的质量安全技术措施、专项施工方案与工程建设强制性标准的符合性；</w:t>
      </w:r>
    </w:p>
    <w:p w14:paraId="6EE1EA8F">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（5）检查施工承包人工程质量、安全生产管理制度及组织机构和人员资格； </w:t>
      </w:r>
    </w:p>
    <w:p w14:paraId="764EB26F">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（6）检查施工承包人专职安全生产管理人员的配备情况；</w:t>
      </w:r>
    </w:p>
    <w:p w14:paraId="07E7BB6E">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（7）审查施工承包人提交的施工进度计划，核查承包人对施工进度计划的调整；</w:t>
      </w:r>
    </w:p>
    <w:p w14:paraId="15FE6FA7">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（8）检查施工承包人的试验室；</w:t>
      </w:r>
    </w:p>
    <w:p w14:paraId="7E2766AE">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（9）审核施工分包人资质条件；</w:t>
      </w:r>
    </w:p>
    <w:p w14:paraId="72352B61">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（10）查验施工承包人的施工测量放线成果；</w:t>
      </w:r>
    </w:p>
    <w:p w14:paraId="2973B00D">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（11）审查工程开工条件，对条件具备的签发开工令；</w:t>
      </w:r>
    </w:p>
    <w:p w14:paraId="2F793B89">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（12）审查施工承包人报送的工程材料、构配件、设备质量证明文件的有效性和符合性，并按规定对用于工程的材料采取平行检验或见证取样方式进行抽检；</w:t>
      </w:r>
    </w:p>
    <w:p w14:paraId="09D4394A">
      <w:pPr>
        <w:adjustRightInd w:val="0"/>
        <w:spacing w:line="440" w:lineRule="exact"/>
        <w:ind w:firstLine="330" w:firstLineChars="150"/>
        <w:rPr>
          <w:rFonts w:ascii="宋体" w:hAnsi="宋体" w:cs="宋体"/>
          <w:color w:val="auto"/>
          <w:sz w:val="22"/>
          <w:szCs w:val="22"/>
          <w:highlight w:val="none"/>
        </w:rPr>
      </w:pPr>
      <w:r>
        <w:rPr>
          <w:rFonts w:hint="eastAsia" w:ascii="宋体" w:hAnsi="宋体" w:cs="宋体"/>
          <w:color w:val="auto"/>
          <w:sz w:val="22"/>
          <w:szCs w:val="22"/>
          <w:highlight w:val="none"/>
        </w:rPr>
        <w:t xml:space="preserve"> （13）审核施工承包人提交的工程款支付申请，签发或出具工程款支付证书，并报委托人审核、批准；</w:t>
      </w:r>
    </w:p>
    <w:p w14:paraId="14502B45">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（14）在巡视、旁站和检验过程中，发现工程质量、施工安全存在事故隐患的，要求施工承包人整改并报委托人；</w:t>
      </w:r>
    </w:p>
    <w:p w14:paraId="73925AAB">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（15）经委托人同意，签发工程暂停令和复工令；</w:t>
      </w:r>
    </w:p>
    <w:p w14:paraId="2C701A73">
      <w:pPr>
        <w:adjustRightInd w:val="0"/>
        <w:spacing w:line="440" w:lineRule="exact"/>
        <w:ind w:firstLine="330" w:firstLineChars="150"/>
        <w:rPr>
          <w:rFonts w:ascii="宋体" w:hAnsi="宋体" w:cs="宋体"/>
          <w:color w:val="auto"/>
          <w:sz w:val="22"/>
          <w:szCs w:val="22"/>
          <w:highlight w:val="none"/>
        </w:rPr>
      </w:pPr>
      <w:r>
        <w:rPr>
          <w:rFonts w:hint="eastAsia" w:ascii="宋体" w:hAnsi="宋体" w:cs="宋体"/>
          <w:color w:val="auto"/>
          <w:sz w:val="22"/>
          <w:szCs w:val="22"/>
          <w:highlight w:val="none"/>
        </w:rPr>
        <w:t xml:space="preserve"> （16）审查施工承包人提交的采用新材料、新工艺、新技术、新设备的论证材料及相关验收标准；</w:t>
      </w:r>
    </w:p>
    <w:p w14:paraId="040ADEAA">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（17）验收隐蔽工程、分部分项工程；</w:t>
      </w:r>
    </w:p>
    <w:p w14:paraId="41264A9D">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（18）审查施工承包人提交的工程变更申请，协调处理施工进度调整、费用索赔、合同争议等事项；</w:t>
      </w:r>
    </w:p>
    <w:p w14:paraId="10352E95">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（19）审查施工承包人提交的竣工验收申请，编写工程质量评估报告；</w:t>
      </w:r>
    </w:p>
    <w:p w14:paraId="1D4472C1">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（20）参加工程竣工验收，签署竣工验收意见；</w:t>
      </w:r>
    </w:p>
    <w:p w14:paraId="24FA2096">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（21）审查施工承包人提交的竣工结算申请并报委托人；</w:t>
      </w:r>
    </w:p>
    <w:p w14:paraId="6AF91922">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（22）编制、整理工程监理归档文件并报委托人。</w:t>
      </w:r>
    </w:p>
    <w:p w14:paraId="52364DD0">
      <w:pPr>
        <w:spacing w:line="440" w:lineRule="exact"/>
        <w:ind w:left="420" w:leftChars="200"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2.1.3 相关服务的范围和内容在附录A中约定。</w:t>
      </w:r>
    </w:p>
    <w:p w14:paraId="3DE49C48">
      <w:pPr>
        <w:spacing w:line="440" w:lineRule="exact"/>
        <w:ind w:firstLine="220" w:firstLineChars="100"/>
        <w:rPr>
          <w:rFonts w:ascii="宋体" w:hAnsi="宋体" w:cs="宋体"/>
          <w:bCs/>
          <w:color w:val="auto"/>
          <w:sz w:val="22"/>
          <w:szCs w:val="22"/>
          <w:highlight w:val="none"/>
        </w:rPr>
      </w:pPr>
      <w:r>
        <w:rPr>
          <w:rFonts w:hint="eastAsia" w:ascii="宋体" w:hAnsi="宋体" w:cs="宋体"/>
          <w:color w:val="auto"/>
          <w:sz w:val="22"/>
          <w:szCs w:val="22"/>
          <w:highlight w:val="none"/>
        </w:rPr>
        <w:t xml:space="preserve">2.2 </w:t>
      </w:r>
      <w:r>
        <w:rPr>
          <w:rFonts w:hint="eastAsia" w:ascii="宋体" w:hAnsi="宋体" w:cs="宋体"/>
          <w:bCs/>
          <w:color w:val="auto"/>
          <w:sz w:val="22"/>
          <w:szCs w:val="22"/>
          <w:highlight w:val="none"/>
        </w:rPr>
        <w:t>监理与相关服务依据</w:t>
      </w:r>
    </w:p>
    <w:p w14:paraId="1D0B1751">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2.2.1 监理依据包括：</w:t>
      </w:r>
    </w:p>
    <w:p w14:paraId="0F5B3061">
      <w:pPr>
        <w:adjustRightInd w:val="0"/>
        <w:spacing w:line="44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（1）适用的法律、行政法规及部门规章；</w:t>
      </w:r>
    </w:p>
    <w:p w14:paraId="65A66807">
      <w:pPr>
        <w:adjustRightInd w:val="0"/>
        <w:spacing w:line="44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（2）与工程有关的标准；</w:t>
      </w:r>
    </w:p>
    <w:p w14:paraId="401AD1BE">
      <w:pPr>
        <w:adjustRightInd w:val="0"/>
        <w:spacing w:line="44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（3）工程设计及有关文件；</w:t>
      </w:r>
    </w:p>
    <w:p w14:paraId="38AF7E7E">
      <w:pPr>
        <w:adjustRightInd w:val="0"/>
        <w:spacing w:line="44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（4）本合同及委托人与第三方签订的与实施工程有关的其他合同。</w:t>
      </w:r>
    </w:p>
    <w:p w14:paraId="7ABB5CE7">
      <w:pPr>
        <w:spacing w:line="440" w:lineRule="exact"/>
        <w:ind w:left="210" w:leftChars="100"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双方根据工程的行业和地域特点，在专用条件中具体约定监理依据。</w:t>
      </w:r>
    </w:p>
    <w:p w14:paraId="3FDCE88D">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2.2.2 相关服务依据在专用条件中约定。</w:t>
      </w:r>
    </w:p>
    <w:p w14:paraId="274B90B0">
      <w:pPr>
        <w:spacing w:line="440" w:lineRule="exact"/>
        <w:ind w:firstLine="220" w:firstLine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2.3 项目监理机构和人员</w:t>
      </w:r>
    </w:p>
    <w:p w14:paraId="2401A648">
      <w:pPr>
        <w:adjustRightInd w:val="0"/>
        <w:spacing w:line="440" w:lineRule="exact"/>
        <w:ind w:firstLine="645"/>
        <w:rPr>
          <w:rFonts w:ascii="宋体" w:hAnsi="宋体" w:cs="宋体"/>
          <w:color w:val="auto"/>
          <w:kern w:val="0"/>
          <w:sz w:val="22"/>
          <w:szCs w:val="22"/>
          <w:highlight w:val="none"/>
        </w:rPr>
      </w:pPr>
      <w:r>
        <w:rPr>
          <w:rFonts w:hint="eastAsia" w:ascii="宋体" w:hAnsi="宋体" w:cs="宋体"/>
          <w:color w:val="auto"/>
          <w:kern w:val="0"/>
          <w:sz w:val="22"/>
          <w:szCs w:val="22"/>
          <w:highlight w:val="none"/>
        </w:rPr>
        <w:t>2.3.1 监理人应组建满足工作需要的项目监理机构，配备必要的检测设备。项目监理机构的主要人员应具有相应的资格条件。</w:t>
      </w:r>
    </w:p>
    <w:p w14:paraId="60308237">
      <w:pPr>
        <w:adjustRightInd w:val="0"/>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2.3.2本合同履行过程中，总监理工程师及重要岗位监理人员应保持相对稳定，以保证监理工作正常进行。</w:t>
      </w:r>
    </w:p>
    <w:p w14:paraId="0B879FC3">
      <w:pPr>
        <w:adjustRightInd w:val="0"/>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349E2604">
      <w:pPr>
        <w:adjustRightInd w:val="0"/>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2.3.4 监理人应及时更换有下列情形之一的监理人员：</w:t>
      </w:r>
    </w:p>
    <w:p w14:paraId="2A7F01F6">
      <w:pPr>
        <w:adjustRightInd w:val="0"/>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（1）严重过失行为的；</w:t>
      </w:r>
    </w:p>
    <w:p w14:paraId="5AD99C6F">
      <w:pPr>
        <w:adjustRightInd w:val="0"/>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（2）有违法行为不能履行职责的；</w:t>
      </w:r>
    </w:p>
    <w:p w14:paraId="425F4A69">
      <w:pPr>
        <w:adjustRightInd w:val="0"/>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（3）涉嫌犯罪的；</w:t>
      </w:r>
    </w:p>
    <w:p w14:paraId="6A6992AA">
      <w:pPr>
        <w:adjustRightInd w:val="0"/>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（4）不能胜任岗位职责的；</w:t>
      </w:r>
    </w:p>
    <w:p w14:paraId="4932C94C">
      <w:pPr>
        <w:adjustRightInd w:val="0"/>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（5）严重违反职业道德的；</w:t>
      </w:r>
    </w:p>
    <w:p w14:paraId="01867F2F">
      <w:pPr>
        <w:adjustRightInd w:val="0"/>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（6）专用条件约定的其他情形。</w:t>
      </w:r>
    </w:p>
    <w:p w14:paraId="16583F0D">
      <w:pPr>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2.3.5 委托人可要求监理人更换不能胜任本职工作的项目监理机构人员。</w:t>
      </w:r>
    </w:p>
    <w:p w14:paraId="13A9B23D">
      <w:pPr>
        <w:spacing w:line="440" w:lineRule="exact"/>
        <w:ind w:left="210" w:left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2.4 履行职责</w:t>
      </w:r>
    </w:p>
    <w:p w14:paraId="7E1F4F98">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rPr>
        <w:t>监理人应遵循职业道德准则和行为规范，严格按照法律法规、工程建设有关标准及本合同履行职责。</w:t>
      </w:r>
    </w:p>
    <w:p w14:paraId="6A52D28A">
      <w:pPr>
        <w:adjustRightInd w:val="0"/>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2.4.1 在监理与相关服务范围内，委托人和承包人提出的意见和要求，监理人应及时提出处置意见。当委托人与承包人之间发生合同争议时，监理人应协助委托人、承包人协商解决。</w:t>
      </w:r>
    </w:p>
    <w:p w14:paraId="5DBDFF42">
      <w:pPr>
        <w:adjustRightInd w:val="0"/>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2.4.2 当委托人与承包人之间的合同争议提交仲裁机构仲裁或人民法院审理时，监理人应提供必要的证明资料。</w:t>
      </w:r>
    </w:p>
    <w:p w14:paraId="77F9402F">
      <w:pPr>
        <w:adjustRightInd w:val="0"/>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2.4.3 监理人应在专用条件约定的授权范围内，处理委托人与承包人所签订合同的变更事宜。如果变更超过授权范围，应以书面形式报委托人批准。</w:t>
      </w:r>
    </w:p>
    <w:p w14:paraId="1F679975">
      <w:pPr>
        <w:adjustRightInd w:val="0"/>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在紧急情况下，为了保护财产和人身安全，监理人所发出的指令未能事先报委托人批准时，应在发出指令后的24小时内以书面形式报委托人。</w:t>
      </w:r>
    </w:p>
    <w:p w14:paraId="483FC908">
      <w:pPr>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2.4.4 除专用条件另有约定外，监理人发现承包人的人员不能胜任本职工作的，有权要求承包人予以调换。</w:t>
      </w:r>
    </w:p>
    <w:p w14:paraId="398BA7A8">
      <w:pPr>
        <w:spacing w:line="440" w:lineRule="exact"/>
        <w:ind w:left="210" w:left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2.5 提交报告</w:t>
      </w:r>
    </w:p>
    <w:p w14:paraId="2ACA1BE5">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监理人应按专用条件约定的种类、时间和份数向委托人提交监理与相关服务的报告。</w:t>
      </w:r>
    </w:p>
    <w:p w14:paraId="34182CCF">
      <w:pPr>
        <w:spacing w:line="440" w:lineRule="exact"/>
        <w:ind w:left="210" w:left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2.6 文件资料</w:t>
      </w:r>
    </w:p>
    <w:p w14:paraId="20192A94">
      <w:pPr>
        <w:spacing w:line="440" w:lineRule="exac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rPr>
        <w:t>在本合同履行期内，监理人应在现场保留工作所用的图纸、报告及记录监理工</w:t>
      </w:r>
      <w:r>
        <w:rPr>
          <w:rFonts w:hint="eastAsia" w:ascii="宋体" w:hAnsi="宋体" w:cs="宋体"/>
          <w:color w:val="auto"/>
          <w:sz w:val="22"/>
          <w:szCs w:val="22"/>
          <w:highlight w:val="none"/>
        </w:rPr>
        <w:t>作的相关文件。工程竣工后，应当按照档案管理规定将监理有关文件归档。</w:t>
      </w:r>
    </w:p>
    <w:p w14:paraId="2A41B817">
      <w:pPr>
        <w:spacing w:line="440" w:lineRule="exact"/>
        <w:ind w:left="210" w:left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2.7 使用委托人的财产</w:t>
      </w:r>
    </w:p>
    <w:p w14:paraId="535B856D">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72C1F445">
      <w:pPr>
        <w:pStyle w:val="4"/>
        <w:spacing w:line="440" w:lineRule="exact"/>
        <w:rPr>
          <w:rFonts w:ascii="宋体" w:hAnsi="宋体" w:eastAsia="宋体" w:cs="宋体"/>
          <w:color w:val="auto"/>
          <w:sz w:val="22"/>
          <w:szCs w:val="22"/>
          <w:highlight w:val="none"/>
        </w:rPr>
      </w:pPr>
      <w:bookmarkStart w:id="143" w:name="_Toc9194599"/>
      <w:bookmarkStart w:id="144" w:name="_Toc398111695"/>
      <w:bookmarkStart w:id="145" w:name="_Toc28098"/>
      <w:r>
        <w:rPr>
          <w:rFonts w:hint="eastAsia" w:ascii="宋体" w:hAnsi="宋体" w:eastAsia="宋体" w:cs="宋体"/>
          <w:color w:val="auto"/>
          <w:sz w:val="22"/>
          <w:szCs w:val="22"/>
          <w:highlight w:val="none"/>
        </w:rPr>
        <w:t>3．委托人的义务</w:t>
      </w:r>
      <w:bookmarkEnd w:id="143"/>
      <w:bookmarkEnd w:id="144"/>
      <w:bookmarkEnd w:id="145"/>
    </w:p>
    <w:p w14:paraId="5F234404">
      <w:pPr>
        <w:spacing w:line="440" w:lineRule="exact"/>
        <w:ind w:left="210" w:left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3.1 告知</w:t>
      </w:r>
    </w:p>
    <w:p w14:paraId="72A1382D">
      <w:pPr>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委托人应在委托人与承包人签订的合同中明确监理人、总监理工程师和授予项目监理机构的权限。如有变更，应及时通知承包人。</w:t>
      </w:r>
    </w:p>
    <w:p w14:paraId="14CD6B1F">
      <w:pPr>
        <w:spacing w:line="440" w:lineRule="exact"/>
        <w:ind w:left="210" w:left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3.2 提供资料</w:t>
      </w:r>
    </w:p>
    <w:p w14:paraId="78E34705">
      <w:pPr>
        <w:spacing w:line="440" w:lineRule="exac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rPr>
        <w:t>委托人应按照附录B约定，无偿向监理人提供工程有关的资料。</w:t>
      </w:r>
      <w:r>
        <w:rPr>
          <w:rFonts w:hint="eastAsia" w:ascii="宋体" w:hAnsi="宋体" w:cs="宋体"/>
          <w:color w:val="auto"/>
          <w:sz w:val="22"/>
          <w:szCs w:val="22"/>
          <w:highlight w:val="none"/>
        </w:rPr>
        <w:t>在本合同履行过程中，委托人应及时向监理人提供最新的与工程有关的资料。</w:t>
      </w:r>
    </w:p>
    <w:p w14:paraId="34D02F5A">
      <w:pPr>
        <w:spacing w:line="440" w:lineRule="exact"/>
        <w:ind w:left="210" w:left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3.3 提供工作条件</w:t>
      </w:r>
    </w:p>
    <w:p w14:paraId="6FDC3637">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委托人应为监理人完成监理与相关服务提供必要的条件。</w:t>
      </w:r>
    </w:p>
    <w:p w14:paraId="4174F1FD">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3.3.1 </w:t>
      </w:r>
      <w:r>
        <w:rPr>
          <w:rFonts w:hint="eastAsia" w:ascii="宋体" w:hAnsi="宋体" w:cs="宋体"/>
          <w:color w:val="auto"/>
          <w:sz w:val="22"/>
          <w:szCs w:val="22"/>
          <w:highlight w:val="none"/>
        </w:rPr>
        <w:t>委托人应按照附录B约定，派遣相应的人员，提供房屋、设备，供监理人</w:t>
      </w:r>
      <w:r>
        <w:rPr>
          <w:rFonts w:hint="eastAsia" w:ascii="宋体" w:hAnsi="宋体" w:cs="宋体"/>
          <w:color w:val="auto"/>
          <w:kern w:val="0"/>
          <w:sz w:val="22"/>
          <w:szCs w:val="22"/>
          <w:highlight w:val="none"/>
        </w:rPr>
        <w:t>无偿</w:t>
      </w:r>
      <w:r>
        <w:rPr>
          <w:rFonts w:hint="eastAsia" w:ascii="宋体" w:hAnsi="宋体" w:cs="宋体"/>
          <w:color w:val="auto"/>
          <w:sz w:val="22"/>
          <w:szCs w:val="22"/>
          <w:highlight w:val="none"/>
        </w:rPr>
        <w:t>使用。</w:t>
      </w:r>
    </w:p>
    <w:p w14:paraId="2F7769BB">
      <w:pPr>
        <w:spacing w:line="440" w:lineRule="exac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3.3.2 </w:t>
      </w:r>
      <w:r>
        <w:rPr>
          <w:rFonts w:hint="eastAsia" w:ascii="宋体" w:hAnsi="宋体" w:cs="宋体"/>
          <w:color w:val="auto"/>
          <w:sz w:val="22"/>
          <w:szCs w:val="22"/>
          <w:highlight w:val="none"/>
        </w:rPr>
        <w:t>委托人应负责协调工程建设中所有外部关系，为监理人履行本合同提供必要的外部条件。</w:t>
      </w:r>
    </w:p>
    <w:p w14:paraId="2B54D00F">
      <w:pPr>
        <w:spacing w:line="440" w:lineRule="exact"/>
        <w:ind w:left="210" w:left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3.4 委托人代表</w:t>
      </w:r>
    </w:p>
    <w:p w14:paraId="609F8918">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6D713BC5">
      <w:pPr>
        <w:spacing w:line="440" w:lineRule="exact"/>
        <w:ind w:left="210" w:left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3.5 委托人意见或要求</w:t>
      </w:r>
    </w:p>
    <w:p w14:paraId="1084A461">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在本合同约定的监理与相关服务工作范围内，委托人对承包人的任何意见或要求应通知监理人，由监理人向承包人发出相应指令。</w:t>
      </w:r>
    </w:p>
    <w:p w14:paraId="58C4509F">
      <w:pPr>
        <w:spacing w:line="440" w:lineRule="exact"/>
        <w:ind w:left="210" w:left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3.6 答复</w:t>
      </w:r>
    </w:p>
    <w:p w14:paraId="1A1E128B">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委托人应在专用条件约定的时间内，对监理人以书面形式提交并要求作出决定的事宜，给予书面答复。逾期未答复的，视为委托人认可。</w:t>
      </w:r>
    </w:p>
    <w:p w14:paraId="53366988">
      <w:pPr>
        <w:spacing w:line="440" w:lineRule="exact"/>
        <w:ind w:left="210" w:left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3.7 支付</w:t>
      </w:r>
    </w:p>
    <w:p w14:paraId="2519110F">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委托人应按本合同约定，向监理人支付酬金。</w:t>
      </w:r>
    </w:p>
    <w:p w14:paraId="21CB48FC">
      <w:pPr>
        <w:pStyle w:val="4"/>
        <w:spacing w:line="440" w:lineRule="exact"/>
        <w:rPr>
          <w:rFonts w:ascii="宋体" w:hAnsi="宋体" w:eastAsia="宋体" w:cs="宋体"/>
          <w:color w:val="auto"/>
          <w:sz w:val="22"/>
          <w:szCs w:val="22"/>
          <w:highlight w:val="none"/>
        </w:rPr>
      </w:pPr>
      <w:bookmarkStart w:id="146" w:name="_Toc18263"/>
      <w:bookmarkStart w:id="147" w:name="_Toc398111696"/>
      <w:bookmarkStart w:id="148" w:name="_Toc9194600"/>
      <w:r>
        <w:rPr>
          <w:rFonts w:hint="eastAsia" w:ascii="宋体" w:hAnsi="宋体" w:eastAsia="宋体" w:cs="宋体"/>
          <w:color w:val="auto"/>
          <w:sz w:val="22"/>
          <w:szCs w:val="22"/>
          <w:highlight w:val="none"/>
        </w:rPr>
        <w:t>4. 违约责任</w:t>
      </w:r>
      <w:bookmarkEnd w:id="146"/>
      <w:bookmarkEnd w:id="147"/>
      <w:bookmarkEnd w:id="148"/>
    </w:p>
    <w:p w14:paraId="5BD5F7FA">
      <w:pPr>
        <w:spacing w:line="440" w:lineRule="exact"/>
        <w:ind w:left="210" w:left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4.1 监理人的违约责任</w:t>
      </w:r>
    </w:p>
    <w:p w14:paraId="35CE1364">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rPr>
        <w:t>监理人未履行本合同义务的，应承担相应的责任。</w:t>
      </w:r>
    </w:p>
    <w:p w14:paraId="377D6138">
      <w:pPr>
        <w:adjustRightInd w:val="0"/>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4.1.1 因监理人违反本合同约定</w:t>
      </w:r>
      <w:r>
        <w:rPr>
          <w:rFonts w:hint="eastAsia" w:ascii="宋体" w:hAnsi="宋体" w:cs="宋体"/>
          <w:color w:val="auto"/>
          <w:sz w:val="22"/>
          <w:szCs w:val="22"/>
          <w:highlight w:val="none"/>
        </w:rPr>
        <w:t>给委托人造成损失的，监理人应当赔偿委托人损失</w:t>
      </w:r>
      <w:r>
        <w:rPr>
          <w:rFonts w:hint="eastAsia" w:ascii="宋体" w:hAnsi="宋体" w:cs="宋体"/>
          <w:color w:val="auto"/>
          <w:kern w:val="0"/>
          <w:sz w:val="22"/>
          <w:szCs w:val="22"/>
          <w:highlight w:val="none"/>
        </w:rPr>
        <w:t>。赔偿金额的确定方法在专用条件中约定。监理人承担部分赔偿责任的，其承担赔偿金额由双方协商确定。</w:t>
      </w:r>
    </w:p>
    <w:p w14:paraId="0C74DD9B">
      <w:pPr>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4.1.2 监理人向委托人的索赔不成立时，监理人应赔偿委托人由此发生的费用。</w:t>
      </w:r>
    </w:p>
    <w:p w14:paraId="1B509C87">
      <w:pPr>
        <w:spacing w:line="440" w:lineRule="exact"/>
        <w:ind w:firstLine="220" w:firstLine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4.2 委托人的违约责任</w:t>
      </w:r>
    </w:p>
    <w:p w14:paraId="5EB2A355">
      <w:pPr>
        <w:adjustRightInd w:val="0"/>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委托人未履行本合同义务的，应承担相应的责任。</w:t>
      </w:r>
    </w:p>
    <w:p w14:paraId="4AA09E96">
      <w:pPr>
        <w:adjustRightInd w:val="0"/>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4.2.1 委托人违反本合同约定造成监理人损失的，委托人应予以赔偿。</w:t>
      </w:r>
    </w:p>
    <w:p w14:paraId="1922D75F">
      <w:pPr>
        <w:adjustRightInd w:val="0"/>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4.2.2 委托人向监理人的索赔不成立时，应赔偿监理人由此引起的费用。</w:t>
      </w:r>
    </w:p>
    <w:p w14:paraId="65EDE7C9">
      <w:pPr>
        <w:spacing w:line="440" w:lineRule="exact"/>
        <w:ind w:firstLine="220" w:firstLine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4.3 除外责任</w:t>
      </w:r>
    </w:p>
    <w:p w14:paraId="0B61B439">
      <w:pPr>
        <w:adjustRightInd w:val="0"/>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因非监理人的原因，且监理人无过错，发生工程质量事故、安全事故、工期延误等造成的损失，监理人不承担赔偿责任。</w:t>
      </w:r>
    </w:p>
    <w:p w14:paraId="429337C8">
      <w:pPr>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因不可抗力导致本合同全部或部分不能履行时，双方各自承担其因此而造成的损失、损害。</w:t>
      </w:r>
    </w:p>
    <w:p w14:paraId="0DE392E1">
      <w:pPr>
        <w:pStyle w:val="4"/>
        <w:spacing w:line="440" w:lineRule="exact"/>
        <w:rPr>
          <w:rFonts w:ascii="宋体" w:hAnsi="宋体" w:eastAsia="宋体" w:cs="宋体"/>
          <w:color w:val="auto"/>
          <w:sz w:val="22"/>
          <w:szCs w:val="22"/>
          <w:highlight w:val="none"/>
        </w:rPr>
      </w:pPr>
      <w:bookmarkStart w:id="149" w:name="_Toc9194601"/>
      <w:bookmarkStart w:id="150" w:name="_Toc398111697"/>
      <w:bookmarkStart w:id="151" w:name="_Toc22477"/>
      <w:r>
        <w:rPr>
          <w:rFonts w:hint="eastAsia" w:ascii="宋体" w:hAnsi="宋体" w:eastAsia="宋体" w:cs="宋体"/>
          <w:color w:val="auto"/>
          <w:sz w:val="22"/>
          <w:szCs w:val="22"/>
          <w:highlight w:val="none"/>
        </w:rPr>
        <w:t>5. 支付</w:t>
      </w:r>
      <w:bookmarkEnd w:id="149"/>
      <w:bookmarkEnd w:id="150"/>
      <w:bookmarkEnd w:id="151"/>
    </w:p>
    <w:p w14:paraId="2789FC07">
      <w:pPr>
        <w:spacing w:line="440" w:lineRule="exact"/>
        <w:ind w:left="210" w:leftChars="100"/>
        <w:rPr>
          <w:rFonts w:ascii="宋体" w:hAnsi="宋体" w:cs="宋体"/>
          <w:bCs/>
          <w:color w:val="auto"/>
          <w:sz w:val="22"/>
          <w:szCs w:val="22"/>
          <w:highlight w:val="none"/>
        </w:rPr>
      </w:pPr>
      <w:r>
        <w:rPr>
          <w:rFonts w:hint="eastAsia" w:ascii="宋体" w:hAnsi="宋体" w:cs="宋体"/>
          <w:color w:val="auto"/>
          <w:sz w:val="22"/>
          <w:szCs w:val="22"/>
          <w:highlight w:val="none"/>
        </w:rPr>
        <w:t xml:space="preserve">5.1 </w:t>
      </w:r>
      <w:r>
        <w:rPr>
          <w:rFonts w:hint="eastAsia" w:ascii="宋体" w:hAnsi="宋体" w:cs="宋体"/>
          <w:bCs/>
          <w:color w:val="auto"/>
          <w:sz w:val="22"/>
          <w:szCs w:val="22"/>
          <w:highlight w:val="none"/>
        </w:rPr>
        <w:t>支付货币</w:t>
      </w:r>
    </w:p>
    <w:p w14:paraId="08707328">
      <w:pPr>
        <w:spacing w:line="440" w:lineRule="exact"/>
        <w:ind w:firstLine="440" w:firstLineChars="200"/>
        <w:rPr>
          <w:rFonts w:ascii="宋体" w:hAnsi="宋体" w:cs="宋体"/>
          <w:bCs/>
          <w:color w:val="auto"/>
          <w:sz w:val="22"/>
          <w:szCs w:val="22"/>
          <w:highlight w:val="none"/>
        </w:rPr>
      </w:pPr>
      <w:r>
        <w:rPr>
          <w:rFonts w:hint="eastAsia" w:ascii="宋体" w:hAnsi="宋体" w:cs="宋体"/>
          <w:color w:val="auto"/>
          <w:sz w:val="22"/>
          <w:szCs w:val="22"/>
          <w:highlight w:val="none"/>
        </w:rPr>
        <w:t>除专用条件另有约定外，酬金均以人民币支付。涉及外币支付的，所采用的货币种类、比例和汇率在专用条件中约定。</w:t>
      </w:r>
    </w:p>
    <w:p w14:paraId="2C2BF656">
      <w:pPr>
        <w:spacing w:line="440" w:lineRule="exact"/>
        <w:ind w:left="210" w:leftChars="100"/>
        <w:rPr>
          <w:rFonts w:ascii="宋体" w:hAnsi="宋体" w:cs="宋体"/>
          <w:bCs/>
          <w:color w:val="auto"/>
          <w:sz w:val="22"/>
          <w:szCs w:val="22"/>
          <w:highlight w:val="none"/>
        </w:rPr>
      </w:pPr>
      <w:r>
        <w:rPr>
          <w:rFonts w:hint="eastAsia" w:ascii="宋体" w:hAnsi="宋体" w:cs="宋体"/>
          <w:color w:val="auto"/>
          <w:sz w:val="22"/>
          <w:szCs w:val="22"/>
          <w:highlight w:val="none"/>
        </w:rPr>
        <w:t>5.2 支付申请</w:t>
      </w:r>
    </w:p>
    <w:p w14:paraId="58F484FC">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监理人应在本合同约定的每次应付款时间的7天前，向委托人提交支付申请书。支付申请书应当说明当期应付款总额，并列出当期应支付的款项及其金额。</w:t>
      </w:r>
    </w:p>
    <w:p w14:paraId="30083F8A">
      <w:pPr>
        <w:spacing w:line="440" w:lineRule="exact"/>
        <w:rPr>
          <w:rFonts w:ascii="宋体" w:hAnsi="宋体" w:cs="宋体"/>
          <w:bCs/>
          <w:color w:val="auto"/>
          <w:sz w:val="22"/>
          <w:szCs w:val="22"/>
          <w:highlight w:val="none"/>
        </w:rPr>
      </w:pPr>
      <w:r>
        <w:rPr>
          <w:rFonts w:hint="eastAsia" w:ascii="宋体" w:hAnsi="宋体" w:cs="宋体"/>
          <w:color w:val="auto"/>
          <w:sz w:val="22"/>
          <w:szCs w:val="22"/>
          <w:highlight w:val="none"/>
        </w:rPr>
        <w:t xml:space="preserve">  5.3 </w:t>
      </w:r>
      <w:r>
        <w:rPr>
          <w:rFonts w:hint="eastAsia" w:ascii="宋体" w:hAnsi="宋体" w:cs="宋体"/>
          <w:bCs/>
          <w:color w:val="auto"/>
          <w:sz w:val="22"/>
          <w:szCs w:val="22"/>
          <w:highlight w:val="none"/>
        </w:rPr>
        <w:t>有争议部分的付款</w:t>
      </w:r>
    </w:p>
    <w:p w14:paraId="0C5BC134">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256270F9">
      <w:pPr>
        <w:pStyle w:val="4"/>
        <w:spacing w:line="440" w:lineRule="exact"/>
        <w:rPr>
          <w:rFonts w:ascii="宋体" w:hAnsi="宋体" w:eastAsia="宋体" w:cs="宋体"/>
          <w:color w:val="auto"/>
          <w:sz w:val="22"/>
          <w:szCs w:val="22"/>
          <w:highlight w:val="none"/>
        </w:rPr>
      </w:pPr>
      <w:bookmarkStart w:id="152" w:name="_Toc13946"/>
      <w:bookmarkStart w:id="153" w:name="_Toc398111698"/>
      <w:bookmarkStart w:id="154" w:name="_Toc9194602"/>
      <w:r>
        <w:rPr>
          <w:rFonts w:hint="eastAsia" w:ascii="宋体" w:hAnsi="宋体" w:eastAsia="宋体" w:cs="宋体"/>
          <w:color w:val="auto"/>
          <w:sz w:val="22"/>
          <w:szCs w:val="22"/>
          <w:highlight w:val="none"/>
        </w:rPr>
        <w:t>6. 合同生效、变更、暂停、解除与终止</w:t>
      </w:r>
      <w:bookmarkEnd w:id="152"/>
      <w:bookmarkEnd w:id="153"/>
      <w:bookmarkEnd w:id="154"/>
    </w:p>
    <w:p w14:paraId="47C7953E">
      <w:pPr>
        <w:spacing w:line="440" w:lineRule="exact"/>
        <w:ind w:left="210" w:leftChars="100"/>
        <w:rPr>
          <w:rFonts w:ascii="宋体" w:hAnsi="宋体" w:cs="宋体"/>
          <w:color w:val="auto"/>
          <w:sz w:val="22"/>
          <w:szCs w:val="22"/>
          <w:highlight w:val="none"/>
        </w:rPr>
      </w:pPr>
      <w:r>
        <w:rPr>
          <w:rFonts w:hint="eastAsia" w:ascii="宋体" w:hAnsi="宋体" w:cs="宋体"/>
          <w:color w:val="auto"/>
          <w:sz w:val="22"/>
          <w:szCs w:val="22"/>
          <w:highlight w:val="none"/>
        </w:rPr>
        <w:t>6.1生效</w:t>
      </w:r>
    </w:p>
    <w:p w14:paraId="7BD1BCE4">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除法律另有规定或者专用条件另有约定外，委托人和监理人的法定代表人或其授权代理人在协议书上签字并盖单位章后本合同生效。</w:t>
      </w:r>
    </w:p>
    <w:p w14:paraId="39E5E63E">
      <w:pPr>
        <w:spacing w:line="440" w:lineRule="exact"/>
        <w:ind w:left="210" w:leftChars="100"/>
        <w:rPr>
          <w:rFonts w:ascii="宋体" w:hAnsi="宋体" w:cs="宋体"/>
          <w:bCs/>
          <w:color w:val="auto"/>
          <w:sz w:val="22"/>
          <w:szCs w:val="22"/>
          <w:highlight w:val="none"/>
        </w:rPr>
      </w:pPr>
      <w:r>
        <w:rPr>
          <w:rFonts w:hint="eastAsia" w:ascii="宋体" w:hAnsi="宋体" w:cs="宋体"/>
          <w:color w:val="auto"/>
          <w:sz w:val="22"/>
          <w:szCs w:val="22"/>
          <w:highlight w:val="none"/>
        </w:rPr>
        <w:t>6.2</w:t>
      </w:r>
      <w:r>
        <w:rPr>
          <w:rFonts w:hint="eastAsia" w:ascii="宋体" w:hAnsi="宋体" w:cs="宋体"/>
          <w:bCs/>
          <w:color w:val="auto"/>
          <w:sz w:val="22"/>
          <w:szCs w:val="22"/>
          <w:highlight w:val="none"/>
        </w:rPr>
        <w:t>变更</w:t>
      </w:r>
    </w:p>
    <w:p w14:paraId="2FFAC187">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6.2.1 任何一方提出变更请求时，双方经协商一致后可进行变更。</w:t>
      </w:r>
    </w:p>
    <w:p w14:paraId="5AE40F69">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1594B0F8">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3天。</w:t>
      </w:r>
    </w:p>
    <w:p w14:paraId="626D4393">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6.2.4合同签订后，遇有与工程相关的法律法规、标准颁布或修订的，双方应遵照执行。由此引起监理与相关服务的范围、时间、酬金变化的，双方应通过协商进行相应调整。</w:t>
      </w:r>
    </w:p>
    <w:p w14:paraId="0C1AA962">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6.2.5 因非监理人原因造成工程概算投资额或建筑安装工程费增加时，正常工作酬金应作相应调整。调整方法在专用条件中约定。</w:t>
      </w:r>
    </w:p>
    <w:p w14:paraId="5F321DD1">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6.2.6 因工程规模、监理范围的变化导致监理人的正常工作量减少时，正常工作酬金应作相应调整。调整方法在专用条件中约定。</w:t>
      </w:r>
    </w:p>
    <w:p w14:paraId="2451C5CB">
      <w:pPr>
        <w:spacing w:line="440" w:lineRule="exact"/>
        <w:rPr>
          <w:rFonts w:ascii="宋体" w:hAnsi="宋体" w:cs="宋体"/>
          <w:bCs/>
          <w:color w:val="auto"/>
          <w:sz w:val="22"/>
          <w:szCs w:val="22"/>
          <w:highlight w:val="none"/>
        </w:rPr>
      </w:pPr>
      <w:r>
        <w:rPr>
          <w:rFonts w:hint="eastAsia" w:ascii="宋体" w:hAnsi="宋体" w:cs="宋体"/>
          <w:color w:val="auto"/>
          <w:sz w:val="22"/>
          <w:szCs w:val="22"/>
          <w:highlight w:val="none"/>
        </w:rPr>
        <w:t xml:space="preserve">  6.3 暂停与</w:t>
      </w:r>
      <w:r>
        <w:rPr>
          <w:rFonts w:hint="eastAsia" w:ascii="宋体" w:hAnsi="宋体" w:cs="宋体"/>
          <w:bCs/>
          <w:color w:val="auto"/>
          <w:sz w:val="22"/>
          <w:szCs w:val="22"/>
          <w:highlight w:val="none"/>
        </w:rPr>
        <w:t>解除</w:t>
      </w:r>
    </w:p>
    <w:p w14:paraId="726BAB00">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除双方协商一致可以解除本合同外，当一方无正当理由未履行本合同约定的义务时，另一方可以根据本合同约定暂停履行本合同直至解除本合同。</w:t>
      </w:r>
    </w:p>
    <w:p w14:paraId="1234EE33">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EF8B6A0">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因解除本合同或解除监理人的部分义务导致监理人遭受的损失，除依法可以免除责任的情况外，应由委托人予以补偿，补偿金额由双方协商确定。</w:t>
      </w:r>
    </w:p>
    <w:p w14:paraId="6366922A">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解除本合同的协议必须采取书面形式，协议未达成之前，本合同仍然有效。</w:t>
      </w:r>
    </w:p>
    <w:p w14:paraId="605F3AF1">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10EA7967">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cs="宋体"/>
          <w:color w:val="auto"/>
          <w:kern w:val="0"/>
          <w:sz w:val="22"/>
          <w:szCs w:val="22"/>
          <w:highlight w:val="none"/>
        </w:rPr>
        <w:t>的</w:t>
      </w:r>
      <w:r>
        <w:rPr>
          <w:rFonts w:hint="eastAsia" w:ascii="宋体" w:hAnsi="宋体" w:cs="宋体"/>
          <w:color w:val="auto"/>
          <w:sz w:val="22"/>
          <w:szCs w:val="22"/>
          <w:highlight w:val="none"/>
        </w:rPr>
        <w:t>酬金支付至本合同解除日，且应承担第4.2款约定的责任。</w:t>
      </w:r>
    </w:p>
    <w:p w14:paraId="1C569C31">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6.3.3 当监理人无正当理由未履行本合同约定的义务时，委托人应通知监理人限期改正。若委托人在监理人接到通知后的7天内未收到监理人书面形式的</w:t>
      </w:r>
      <w:r>
        <w:rPr>
          <w:rFonts w:hint="eastAsia" w:ascii="宋体" w:hAnsi="宋体" w:cs="宋体"/>
          <w:color w:val="auto"/>
          <w:sz w:val="22"/>
          <w:szCs w:val="22"/>
          <w:highlight w:val="none"/>
          <w:lang w:eastAsia="zh-CN"/>
        </w:rPr>
        <w:t>合理说明</w:t>
      </w:r>
      <w:r>
        <w:rPr>
          <w:rFonts w:hint="eastAsia" w:ascii="宋体" w:hAnsi="宋体" w:cs="宋体"/>
          <w:color w:val="auto"/>
          <w:sz w:val="22"/>
          <w:szCs w:val="22"/>
          <w:highlight w:val="none"/>
        </w:rPr>
        <w:t>，则可在7天内发出解除本合同的通知，自通知到达监理人时本合同解除。委托人应将监理与相关服务</w:t>
      </w:r>
      <w:r>
        <w:rPr>
          <w:rFonts w:hint="eastAsia" w:ascii="宋体" w:hAnsi="宋体" w:cs="宋体"/>
          <w:color w:val="auto"/>
          <w:kern w:val="0"/>
          <w:sz w:val="22"/>
          <w:szCs w:val="22"/>
          <w:highlight w:val="none"/>
        </w:rPr>
        <w:t>的</w:t>
      </w:r>
      <w:r>
        <w:rPr>
          <w:rFonts w:hint="eastAsia" w:ascii="宋体" w:hAnsi="宋体" w:cs="宋体"/>
          <w:color w:val="auto"/>
          <w:sz w:val="22"/>
          <w:szCs w:val="22"/>
          <w:highlight w:val="none"/>
        </w:rPr>
        <w:t>酬金支付至</w:t>
      </w:r>
      <w:r>
        <w:rPr>
          <w:rFonts w:hint="eastAsia" w:ascii="宋体" w:hAnsi="宋体" w:cs="宋体"/>
          <w:color w:val="auto"/>
          <w:kern w:val="0"/>
          <w:sz w:val="22"/>
          <w:szCs w:val="22"/>
          <w:highlight w:val="none"/>
        </w:rPr>
        <w:t>限期改正通知到达监理人之日</w:t>
      </w:r>
      <w:r>
        <w:rPr>
          <w:rFonts w:hint="eastAsia" w:ascii="宋体" w:hAnsi="宋体" w:cs="宋体"/>
          <w:color w:val="auto"/>
          <w:sz w:val="22"/>
          <w:szCs w:val="22"/>
          <w:highlight w:val="none"/>
        </w:rPr>
        <w:t>，但监理人应承担第4.1款约定的责任。</w:t>
      </w:r>
    </w:p>
    <w:p w14:paraId="33F2A255">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7818AE2F">
      <w:pPr>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sz w:val="22"/>
          <w:szCs w:val="22"/>
          <w:highlight w:val="none"/>
        </w:rPr>
        <w:t>6.3.5 因不可抗力致使本合同部分或全部不能履行时，一方应立即通知另一方，可暂停或解除本合同。</w:t>
      </w:r>
    </w:p>
    <w:p w14:paraId="28E0C8BA">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6.3.6 本合同解除后，本合同约定的有关结算、清理、争议解决方式的条件仍然有效。</w:t>
      </w:r>
    </w:p>
    <w:p w14:paraId="1AC14AB6">
      <w:pPr>
        <w:spacing w:line="440" w:lineRule="exact"/>
        <w:ind w:left="210" w:leftChars="100"/>
        <w:rPr>
          <w:rFonts w:ascii="宋体" w:hAnsi="宋体" w:cs="宋体"/>
          <w:bCs/>
          <w:color w:val="auto"/>
          <w:sz w:val="22"/>
          <w:szCs w:val="22"/>
          <w:highlight w:val="none"/>
        </w:rPr>
      </w:pPr>
      <w:r>
        <w:rPr>
          <w:rFonts w:hint="eastAsia" w:ascii="宋体" w:hAnsi="宋体" w:cs="宋体"/>
          <w:color w:val="auto"/>
          <w:sz w:val="22"/>
          <w:szCs w:val="22"/>
          <w:highlight w:val="none"/>
        </w:rPr>
        <w:t xml:space="preserve">6.4 </w:t>
      </w:r>
      <w:r>
        <w:rPr>
          <w:rFonts w:hint="eastAsia" w:ascii="宋体" w:hAnsi="宋体" w:cs="宋体"/>
          <w:bCs/>
          <w:color w:val="auto"/>
          <w:sz w:val="22"/>
          <w:szCs w:val="22"/>
          <w:highlight w:val="none"/>
        </w:rPr>
        <w:t>终止</w:t>
      </w:r>
    </w:p>
    <w:p w14:paraId="3C47BC48">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以下条件全部满足时，本合同即告终止：</w:t>
      </w:r>
    </w:p>
    <w:p w14:paraId="3DE082C2">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（1）监理人完成本合同约定的全部工作；</w:t>
      </w:r>
    </w:p>
    <w:p w14:paraId="128668E2">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（2）委托人与监理人结清并支付全部酬金。</w:t>
      </w:r>
    </w:p>
    <w:p w14:paraId="54D98330">
      <w:pPr>
        <w:pStyle w:val="4"/>
        <w:spacing w:line="440" w:lineRule="exact"/>
        <w:rPr>
          <w:rFonts w:ascii="宋体" w:hAnsi="宋体" w:eastAsia="宋体" w:cs="宋体"/>
          <w:color w:val="auto"/>
          <w:sz w:val="22"/>
          <w:szCs w:val="22"/>
          <w:highlight w:val="none"/>
        </w:rPr>
      </w:pPr>
      <w:bookmarkStart w:id="155" w:name="_Toc9194603"/>
      <w:bookmarkStart w:id="156" w:name="_Toc29497"/>
      <w:bookmarkStart w:id="157" w:name="_Toc398111699"/>
      <w:r>
        <w:rPr>
          <w:rFonts w:hint="eastAsia" w:ascii="宋体" w:hAnsi="宋体" w:eastAsia="宋体" w:cs="宋体"/>
          <w:color w:val="auto"/>
          <w:sz w:val="22"/>
          <w:szCs w:val="22"/>
          <w:highlight w:val="none"/>
        </w:rPr>
        <w:t>7. 争议解决</w:t>
      </w:r>
      <w:bookmarkEnd w:id="155"/>
      <w:bookmarkEnd w:id="156"/>
      <w:bookmarkEnd w:id="157"/>
    </w:p>
    <w:p w14:paraId="5DA89A67">
      <w:pPr>
        <w:spacing w:line="440" w:lineRule="exact"/>
        <w:ind w:left="210" w:leftChars="100"/>
        <w:rPr>
          <w:rFonts w:ascii="宋体" w:hAnsi="宋体" w:cs="宋体"/>
          <w:bCs/>
          <w:color w:val="auto"/>
          <w:sz w:val="22"/>
          <w:szCs w:val="22"/>
          <w:highlight w:val="none"/>
        </w:rPr>
      </w:pPr>
      <w:r>
        <w:rPr>
          <w:rFonts w:hint="eastAsia" w:ascii="宋体" w:hAnsi="宋体" w:cs="宋体"/>
          <w:color w:val="auto"/>
          <w:sz w:val="22"/>
          <w:szCs w:val="22"/>
          <w:highlight w:val="none"/>
        </w:rPr>
        <w:t>7.1</w:t>
      </w:r>
      <w:r>
        <w:rPr>
          <w:rFonts w:hint="eastAsia" w:ascii="宋体" w:hAnsi="宋体" w:cs="宋体"/>
          <w:bCs/>
          <w:color w:val="auto"/>
          <w:sz w:val="22"/>
          <w:szCs w:val="22"/>
          <w:highlight w:val="none"/>
        </w:rPr>
        <w:t>协商</w:t>
      </w:r>
    </w:p>
    <w:p w14:paraId="0A66AFDE">
      <w:pPr>
        <w:spacing w:line="440" w:lineRule="exact"/>
        <w:ind w:firstLine="440" w:firstLineChars="200"/>
        <w:rPr>
          <w:rFonts w:ascii="宋体" w:hAnsi="宋体" w:cs="宋体"/>
          <w:bCs/>
          <w:color w:val="auto"/>
          <w:sz w:val="22"/>
          <w:szCs w:val="22"/>
          <w:highlight w:val="none"/>
        </w:rPr>
      </w:pPr>
      <w:r>
        <w:rPr>
          <w:rFonts w:hint="eastAsia" w:ascii="宋体" w:hAnsi="宋体" w:cs="宋体"/>
          <w:color w:val="auto"/>
          <w:sz w:val="22"/>
          <w:szCs w:val="22"/>
          <w:highlight w:val="none"/>
        </w:rPr>
        <w:t>双方应本着诚信原则协商解决彼此间的争议。</w:t>
      </w:r>
    </w:p>
    <w:p w14:paraId="66492F87">
      <w:pPr>
        <w:spacing w:line="440" w:lineRule="exact"/>
        <w:ind w:left="210" w:leftChars="100"/>
        <w:rPr>
          <w:rFonts w:ascii="宋体" w:hAnsi="宋体" w:cs="宋体"/>
          <w:bCs/>
          <w:color w:val="auto"/>
          <w:sz w:val="22"/>
          <w:szCs w:val="22"/>
          <w:highlight w:val="none"/>
        </w:rPr>
      </w:pPr>
      <w:r>
        <w:rPr>
          <w:rFonts w:hint="eastAsia" w:ascii="宋体" w:hAnsi="宋体" w:cs="宋体"/>
          <w:color w:val="auto"/>
          <w:sz w:val="22"/>
          <w:szCs w:val="22"/>
          <w:highlight w:val="none"/>
        </w:rPr>
        <w:t>7.2</w:t>
      </w:r>
      <w:r>
        <w:rPr>
          <w:rFonts w:hint="eastAsia" w:ascii="宋体" w:hAnsi="宋体" w:cs="宋体"/>
          <w:bCs/>
          <w:color w:val="auto"/>
          <w:sz w:val="22"/>
          <w:szCs w:val="22"/>
          <w:highlight w:val="none"/>
        </w:rPr>
        <w:t>调解</w:t>
      </w:r>
    </w:p>
    <w:p w14:paraId="15CD7F60">
      <w:pPr>
        <w:spacing w:line="440" w:lineRule="exact"/>
        <w:ind w:firstLine="440" w:firstLineChars="200"/>
        <w:rPr>
          <w:rFonts w:ascii="宋体" w:hAnsi="宋体" w:cs="宋体"/>
          <w:bCs/>
          <w:color w:val="auto"/>
          <w:sz w:val="22"/>
          <w:szCs w:val="22"/>
          <w:highlight w:val="none"/>
        </w:rPr>
      </w:pPr>
      <w:r>
        <w:rPr>
          <w:rFonts w:hint="eastAsia" w:ascii="宋体" w:hAnsi="宋体" w:cs="宋体"/>
          <w:color w:val="auto"/>
          <w:sz w:val="22"/>
          <w:szCs w:val="22"/>
          <w:highlight w:val="none"/>
        </w:rPr>
        <w:t>如果双方不能在14天内或双方商定的其他时间内解决本合同争议，可以将其提交给专用条件约定的或事后达成协议的调解人进行调解。</w:t>
      </w:r>
    </w:p>
    <w:p w14:paraId="3AF6D3A2">
      <w:pPr>
        <w:spacing w:line="440" w:lineRule="exact"/>
        <w:ind w:left="210" w:leftChars="100"/>
        <w:rPr>
          <w:rFonts w:ascii="宋体" w:hAnsi="宋体" w:cs="宋体"/>
          <w:bCs/>
          <w:color w:val="auto"/>
          <w:sz w:val="22"/>
          <w:szCs w:val="22"/>
          <w:highlight w:val="none"/>
        </w:rPr>
      </w:pPr>
      <w:r>
        <w:rPr>
          <w:rFonts w:hint="eastAsia" w:ascii="宋体" w:hAnsi="宋体" w:cs="宋体"/>
          <w:color w:val="auto"/>
          <w:sz w:val="22"/>
          <w:szCs w:val="22"/>
          <w:highlight w:val="none"/>
        </w:rPr>
        <w:t>7.3</w:t>
      </w:r>
      <w:r>
        <w:rPr>
          <w:rFonts w:hint="eastAsia" w:ascii="宋体" w:hAnsi="宋体" w:cs="宋体"/>
          <w:bCs/>
          <w:color w:val="auto"/>
          <w:sz w:val="22"/>
          <w:szCs w:val="22"/>
          <w:highlight w:val="none"/>
        </w:rPr>
        <w:t>仲裁或诉讼</w:t>
      </w:r>
    </w:p>
    <w:p w14:paraId="704E4FD6">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双方均有权不经调解直接向专用条件约定的仲裁机构申请仲裁或向有管辖权的人民法院提起诉讼。</w:t>
      </w:r>
    </w:p>
    <w:p w14:paraId="09D1053C">
      <w:pPr>
        <w:pStyle w:val="4"/>
        <w:spacing w:line="440" w:lineRule="exact"/>
        <w:rPr>
          <w:rFonts w:ascii="宋体" w:hAnsi="宋体" w:eastAsia="宋体" w:cs="宋体"/>
          <w:color w:val="auto"/>
          <w:sz w:val="22"/>
          <w:szCs w:val="22"/>
          <w:highlight w:val="none"/>
        </w:rPr>
      </w:pPr>
      <w:bookmarkStart w:id="158" w:name="_Toc398111700"/>
      <w:bookmarkStart w:id="159" w:name="_Toc9194604"/>
      <w:bookmarkStart w:id="160" w:name="_Toc22486"/>
      <w:r>
        <w:rPr>
          <w:rFonts w:hint="eastAsia" w:ascii="宋体" w:hAnsi="宋体" w:eastAsia="宋体" w:cs="宋体"/>
          <w:color w:val="auto"/>
          <w:sz w:val="22"/>
          <w:szCs w:val="22"/>
          <w:highlight w:val="none"/>
        </w:rPr>
        <w:t>8. 其他</w:t>
      </w:r>
      <w:bookmarkEnd w:id="158"/>
      <w:bookmarkEnd w:id="159"/>
      <w:bookmarkEnd w:id="160"/>
    </w:p>
    <w:p w14:paraId="29397F1F">
      <w:pPr>
        <w:spacing w:line="440" w:lineRule="exact"/>
        <w:ind w:left="210" w:leftChars="100"/>
        <w:rPr>
          <w:rFonts w:ascii="宋体" w:hAnsi="宋体" w:cs="宋体"/>
          <w:bCs/>
          <w:color w:val="auto"/>
          <w:sz w:val="22"/>
          <w:szCs w:val="22"/>
          <w:highlight w:val="none"/>
        </w:rPr>
      </w:pPr>
      <w:r>
        <w:rPr>
          <w:rFonts w:hint="eastAsia" w:ascii="宋体" w:hAnsi="宋体" w:cs="宋体"/>
          <w:color w:val="auto"/>
          <w:sz w:val="22"/>
          <w:szCs w:val="22"/>
          <w:highlight w:val="none"/>
        </w:rPr>
        <w:t xml:space="preserve">8.1 </w:t>
      </w:r>
      <w:r>
        <w:rPr>
          <w:rFonts w:hint="eastAsia" w:ascii="宋体" w:hAnsi="宋体" w:cs="宋体"/>
          <w:bCs/>
          <w:color w:val="auto"/>
          <w:sz w:val="22"/>
          <w:szCs w:val="22"/>
          <w:highlight w:val="none"/>
        </w:rPr>
        <w:t>外出考察费用</w:t>
      </w:r>
    </w:p>
    <w:p w14:paraId="06C1A31A">
      <w:pPr>
        <w:spacing w:line="440" w:lineRule="exact"/>
        <w:ind w:firstLine="440" w:firstLineChars="200"/>
        <w:rPr>
          <w:rFonts w:ascii="宋体" w:hAnsi="宋体" w:cs="宋体"/>
          <w:bCs/>
          <w:color w:val="auto"/>
          <w:sz w:val="22"/>
          <w:szCs w:val="22"/>
          <w:highlight w:val="none"/>
        </w:rPr>
      </w:pPr>
      <w:r>
        <w:rPr>
          <w:rFonts w:hint="eastAsia" w:ascii="宋体" w:hAnsi="宋体" w:cs="宋体"/>
          <w:color w:val="auto"/>
          <w:sz w:val="22"/>
          <w:szCs w:val="22"/>
          <w:highlight w:val="none"/>
        </w:rPr>
        <w:t>经委托人同意，监理人员外出考察发生的费用由委托人审核后支付。</w:t>
      </w:r>
    </w:p>
    <w:p w14:paraId="78D14520">
      <w:pPr>
        <w:spacing w:line="440" w:lineRule="exact"/>
        <w:ind w:left="210" w:leftChars="100"/>
        <w:rPr>
          <w:rFonts w:ascii="宋体" w:hAnsi="宋体" w:cs="宋体"/>
          <w:bCs/>
          <w:color w:val="auto"/>
          <w:sz w:val="22"/>
          <w:szCs w:val="22"/>
          <w:highlight w:val="none"/>
        </w:rPr>
      </w:pPr>
      <w:r>
        <w:rPr>
          <w:rFonts w:hint="eastAsia" w:ascii="宋体" w:hAnsi="宋体" w:cs="宋体"/>
          <w:color w:val="auto"/>
          <w:sz w:val="22"/>
          <w:szCs w:val="22"/>
          <w:highlight w:val="none"/>
        </w:rPr>
        <w:t xml:space="preserve">8.2 </w:t>
      </w:r>
      <w:r>
        <w:rPr>
          <w:rFonts w:hint="eastAsia" w:ascii="宋体" w:hAnsi="宋体" w:cs="宋体"/>
          <w:bCs/>
          <w:color w:val="auto"/>
          <w:sz w:val="22"/>
          <w:szCs w:val="22"/>
          <w:highlight w:val="none"/>
        </w:rPr>
        <w:t>检测费用</w:t>
      </w:r>
    </w:p>
    <w:p w14:paraId="2818E902">
      <w:pPr>
        <w:spacing w:line="440" w:lineRule="exact"/>
        <w:ind w:firstLine="440" w:firstLineChars="200"/>
        <w:rPr>
          <w:rFonts w:ascii="宋体" w:hAnsi="宋体" w:cs="宋体"/>
          <w:bCs/>
          <w:color w:val="auto"/>
          <w:sz w:val="22"/>
          <w:szCs w:val="22"/>
          <w:highlight w:val="none"/>
        </w:rPr>
      </w:pPr>
      <w:r>
        <w:rPr>
          <w:rFonts w:hint="eastAsia" w:ascii="宋体" w:hAnsi="宋体" w:cs="宋体"/>
          <w:color w:val="auto"/>
          <w:sz w:val="22"/>
          <w:szCs w:val="22"/>
          <w:highlight w:val="none"/>
        </w:rPr>
        <w:t>委托人要求监理人进行的材料和设备检测所发生的费用，由委托人支付，支付时间在专用条件中约定。</w:t>
      </w:r>
    </w:p>
    <w:p w14:paraId="1A3B8348">
      <w:pPr>
        <w:spacing w:line="440" w:lineRule="exact"/>
        <w:ind w:left="210" w:leftChars="100"/>
        <w:rPr>
          <w:rFonts w:ascii="宋体" w:hAnsi="宋体" w:cs="宋体"/>
          <w:bCs/>
          <w:color w:val="auto"/>
          <w:sz w:val="22"/>
          <w:szCs w:val="22"/>
          <w:highlight w:val="none"/>
        </w:rPr>
      </w:pPr>
      <w:r>
        <w:rPr>
          <w:rFonts w:hint="eastAsia" w:ascii="宋体" w:hAnsi="宋体" w:cs="宋体"/>
          <w:color w:val="auto"/>
          <w:sz w:val="22"/>
          <w:szCs w:val="22"/>
          <w:highlight w:val="none"/>
        </w:rPr>
        <w:t xml:space="preserve">8.3 </w:t>
      </w:r>
      <w:r>
        <w:rPr>
          <w:rFonts w:hint="eastAsia" w:ascii="宋体" w:hAnsi="宋体" w:cs="宋体"/>
          <w:bCs/>
          <w:color w:val="auto"/>
          <w:sz w:val="22"/>
          <w:szCs w:val="22"/>
          <w:highlight w:val="none"/>
        </w:rPr>
        <w:t>咨询费用</w:t>
      </w:r>
    </w:p>
    <w:p w14:paraId="620E180E">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经委托人同意，根据工程需要由监理人组织的相关咨询论证会以及聘请相关专家等发生的费用由委托人支付，支付时间在专用条件中约定。</w:t>
      </w:r>
    </w:p>
    <w:p w14:paraId="721FD27E">
      <w:pPr>
        <w:spacing w:line="440" w:lineRule="exact"/>
        <w:ind w:left="210" w:leftChars="100"/>
        <w:rPr>
          <w:rFonts w:ascii="宋体" w:hAnsi="宋体" w:cs="宋体"/>
          <w:bCs/>
          <w:color w:val="auto"/>
          <w:sz w:val="22"/>
          <w:szCs w:val="22"/>
          <w:highlight w:val="none"/>
        </w:rPr>
      </w:pPr>
      <w:r>
        <w:rPr>
          <w:rFonts w:hint="eastAsia" w:ascii="宋体" w:hAnsi="宋体" w:cs="宋体"/>
          <w:color w:val="auto"/>
          <w:sz w:val="22"/>
          <w:szCs w:val="22"/>
          <w:highlight w:val="none"/>
        </w:rPr>
        <w:t xml:space="preserve">8.4 </w:t>
      </w:r>
      <w:r>
        <w:rPr>
          <w:rFonts w:hint="eastAsia" w:ascii="宋体" w:hAnsi="宋体" w:cs="宋体"/>
          <w:bCs/>
          <w:color w:val="auto"/>
          <w:sz w:val="22"/>
          <w:szCs w:val="22"/>
          <w:highlight w:val="none"/>
        </w:rPr>
        <w:t>守法诚信</w:t>
      </w:r>
    </w:p>
    <w:p w14:paraId="78127F94">
      <w:pPr>
        <w:spacing w:line="440" w:lineRule="exact"/>
        <w:ind w:firstLine="440" w:firstLineChars="200"/>
        <w:rPr>
          <w:rFonts w:ascii="宋体" w:hAnsi="宋体" w:cs="宋体"/>
          <w:bCs/>
          <w:color w:val="auto"/>
          <w:sz w:val="22"/>
          <w:szCs w:val="22"/>
          <w:highlight w:val="none"/>
        </w:rPr>
      </w:pPr>
      <w:r>
        <w:rPr>
          <w:rFonts w:hint="eastAsia" w:ascii="宋体" w:hAnsi="宋体" w:cs="宋体"/>
          <w:color w:val="auto"/>
          <w:sz w:val="22"/>
          <w:szCs w:val="22"/>
          <w:highlight w:val="none"/>
        </w:rPr>
        <w:t>监理人及其工作人员不得从与实施工程有关的第三方处获得任何经济利益。</w:t>
      </w:r>
    </w:p>
    <w:p w14:paraId="3BBC600F">
      <w:pPr>
        <w:spacing w:line="440" w:lineRule="exact"/>
        <w:ind w:left="210" w:leftChars="100"/>
        <w:rPr>
          <w:rFonts w:ascii="宋体" w:hAnsi="宋体" w:cs="宋体"/>
          <w:bCs/>
          <w:color w:val="auto"/>
          <w:sz w:val="22"/>
          <w:szCs w:val="22"/>
          <w:highlight w:val="none"/>
        </w:rPr>
      </w:pPr>
      <w:r>
        <w:rPr>
          <w:rFonts w:hint="eastAsia" w:ascii="宋体" w:hAnsi="宋体" w:cs="宋体"/>
          <w:color w:val="auto"/>
          <w:sz w:val="22"/>
          <w:szCs w:val="22"/>
          <w:highlight w:val="none"/>
        </w:rPr>
        <w:t xml:space="preserve">8.5 </w:t>
      </w:r>
      <w:r>
        <w:rPr>
          <w:rFonts w:hint="eastAsia" w:ascii="宋体" w:hAnsi="宋体" w:cs="宋体"/>
          <w:bCs/>
          <w:color w:val="auto"/>
          <w:sz w:val="22"/>
          <w:szCs w:val="22"/>
          <w:highlight w:val="none"/>
        </w:rPr>
        <w:t>保密</w:t>
      </w:r>
    </w:p>
    <w:p w14:paraId="59BC54AD">
      <w:pPr>
        <w:spacing w:line="440" w:lineRule="exact"/>
        <w:ind w:firstLine="440" w:firstLineChars="200"/>
        <w:rPr>
          <w:rFonts w:ascii="宋体" w:hAnsi="宋体" w:cs="宋体"/>
          <w:bCs/>
          <w:color w:val="auto"/>
          <w:sz w:val="22"/>
          <w:szCs w:val="22"/>
          <w:highlight w:val="none"/>
        </w:rPr>
      </w:pPr>
      <w:r>
        <w:rPr>
          <w:rFonts w:hint="eastAsia" w:ascii="宋体" w:hAnsi="宋体" w:cs="宋体"/>
          <w:color w:val="auto"/>
          <w:sz w:val="22"/>
          <w:szCs w:val="22"/>
          <w:highlight w:val="none"/>
        </w:rPr>
        <w:t>双方不得泄露对方申明的保密资料，亦不得泄露与实施工程有关的第三方所提供的保密资料，保密事项在专用条件中约定。</w:t>
      </w:r>
    </w:p>
    <w:p w14:paraId="22FD8539">
      <w:pPr>
        <w:spacing w:line="440" w:lineRule="exact"/>
        <w:ind w:left="210" w:leftChars="100"/>
        <w:rPr>
          <w:rFonts w:ascii="宋体" w:hAnsi="宋体" w:cs="宋体"/>
          <w:bCs/>
          <w:color w:val="auto"/>
          <w:sz w:val="22"/>
          <w:szCs w:val="22"/>
          <w:highlight w:val="none"/>
        </w:rPr>
      </w:pPr>
      <w:r>
        <w:rPr>
          <w:rFonts w:hint="eastAsia" w:ascii="宋体" w:hAnsi="宋体" w:cs="宋体"/>
          <w:color w:val="auto"/>
          <w:sz w:val="22"/>
          <w:szCs w:val="22"/>
          <w:highlight w:val="none"/>
        </w:rPr>
        <w:t>8.6</w:t>
      </w:r>
      <w:r>
        <w:rPr>
          <w:rFonts w:hint="eastAsia" w:ascii="宋体" w:hAnsi="宋体" w:cs="宋体"/>
          <w:bCs/>
          <w:color w:val="auto"/>
          <w:sz w:val="22"/>
          <w:szCs w:val="22"/>
          <w:highlight w:val="none"/>
        </w:rPr>
        <w:t>通知</w:t>
      </w:r>
    </w:p>
    <w:p w14:paraId="7EAF2559">
      <w:pPr>
        <w:spacing w:line="440" w:lineRule="exact"/>
        <w:ind w:firstLine="440" w:firstLineChars="200"/>
        <w:rPr>
          <w:rFonts w:ascii="宋体" w:hAnsi="宋体" w:cs="宋体"/>
          <w:bCs/>
          <w:color w:val="auto"/>
          <w:sz w:val="22"/>
          <w:szCs w:val="22"/>
          <w:highlight w:val="none"/>
        </w:rPr>
      </w:pPr>
      <w:r>
        <w:rPr>
          <w:rFonts w:hint="eastAsia" w:ascii="宋体" w:hAnsi="宋体" w:cs="宋体"/>
          <w:color w:val="auto"/>
          <w:sz w:val="22"/>
          <w:szCs w:val="22"/>
          <w:highlight w:val="none"/>
        </w:rPr>
        <w:t>本合同涉及的通知均应当采用书面形式，并在送达对方时生效，收件人应书面签收。</w:t>
      </w:r>
    </w:p>
    <w:p w14:paraId="575A4DEF">
      <w:pPr>
        <w:spacing w:line="440" w:lineRule="exact"/>
        <w:ind w:left="210" w:leftChars="100"/>
        <w:rPr>
          <w:rFonts w:ascii="宋体" w:hAnsi="宋体" w:cs="宋体"/>
          <w:bCs/>
          <w:color w:val="auto"/>
          <w:sz w:val="22"/>
          <w:szCs w:val="22"/>
          <w:highlight w:val="none"/>
        </w:rPr>
      </w:pPr>
      <w:r>
        <w:rPr>
          <w:rFonts w:hint="eastAsia" w:ascii="宋体" w:hAnsi="宋体" w:cs="宋体"/>
          <w:color w:val="auto"/>
          <w:sz w:val="22"/>
          <w:szCs w:val="22"/>
          <w:highlight w:val="none"/>
        </w:rPr>
        <w:t>8.7</w:t>
      </w:r>
      <w:r>
        <w:rPr>
          <w:rFonts w:hint="eastAsia" w:ascii="宋体" w:hAnsi="宋体" w:cs="宋体"/>
          <w:bCs/>
          <w:color w:val="auto"/>
          <w:sz w:val="22"/>
          <w:szCs w:val="22"/>
          <w:highlight w:val="none"/>
        </w:rPr>
        <w:t>著作权</w:t>
      </w:r>
    </w:p>
    <w:p w14:paraId="0E0AE2B2">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监理人对其编制的文件拥有著作权。</w:t>
      </w:r>
    </w:p>
    <w:p w14:paraId="726D1A11">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06440C63">
      <w:pPr>
        <w:snapToGrid w:val="0"/>
        <w:spacing w:line="360" w:lineRule="auto"/>
        <w:ind w:firstLine="480" w:firstLineChars="200"/>
        <w:rPr>
          <w:rFonts w:ascii="宋体" w:hAnsi="宋体"/>
          <w:color w:val="auto"/>
          <w:sz w:val="24"/>
          <w:highlight w:val="none"/>
        </w:rPr>
      </w:pPr>
    </w:p>
    <w:p w14:paraId="3CEA524D">
      <w:pPr>
        <w:rPr>
          <w:rFonts w:ascii="宋体" w:hAnsi="宋体"/>
          <w:color w:val="auto"/>
          <w:sz w:val="28"/>
          <w:szCs w:val="28"/>
          <w:highlight w:val="none"/>
        </w:rPr>
      </w:pPr>
      <w:bookmarkStart w:id="161" w:name="_Toc10723"/>
      <w:bookmarkStart w:id="162" w:name="_Toc398111701"/>
      <w:bookmarkStart w:id="163" w:name="_Toc9194605"/>
      <w:r>
        <w:rPr>
          <w:rFonts w:hint="eastAsia" w:ascii="宋体" w:hAnsi="宋体"/>
          <w:color w:val="auto"/>
          <w:sz w:val="28"/>
          <w:szCs w:val="28"/>
          <w:highlight w:val="none"/>
        </w:rPr>
        <w:br w:type="page"/>
      </w:r>
    </w:p>
    <w:p w14:paraId="6C649F42">
      <w:pPr>
        <w:pStyle w:val="3"/>
        <w:spacing w:line="360" w:lineRule="auto"/>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第三部分  专用条件</w:t>
      </w:r>
      <w:bookmarkEnd w:id="161"/>
      <w:bookmarkEnd w:id="162"/>
      <w:bookmarkEnd w:id="163"/>
    </w:p>
    <w:p w14:paraId="12BCD954">
      <w:pPr>
        <w:pStyle w:val="4"/>
        <w:spacing w:line="440" w:lineRule="exact"/>
        <w:rPr>
          <w:rFonts w:ascii="宋体" w:hAnsi="宋体" w:eastAsia="宋体"/>
          <w:color w:val="auto"/>
          <w:sz w:val="22"/>
          <w:szCs w:val="22"/>
          <w:highlight w:val="none"/>
        </w:rPr>
      </w:pPr>
      <w:bookmarkStart w:id="164" w:name="_Toc704"/>
      <w:bookmarkStart w:id="165" w:name="_Toc398111702"/>
      <w:bookmarkStart w:id="166" w:name="_Toc9194606"/>
      <w:r>
        <w:rPr>
          <w:rFonts w:hint="eastAsia" w:ascii="宋体" w:hAnsi="宋体" w:eastAsia="宋体"/>
          <w:color w:val="auto"/>
          <w:sz w:val="22"/>
          <w:szCs w:val="22"/>
          <w:highlight w:val="none"/>
        </w:rPr>
        <w:t>1. 定义与解释</w:t>
      </w:r>
      <w:bookmarkEnd w:id="164"/>
      <w:bookmarkEnd w:id="165"/>
      <w:bookmarkEnd w:id="166"/>
    </w:p>
    <w:p w14:paraId="013C331F">
      <w:pPr>
        <w:adjustRightInd w:val="0"/>
        <w:snapToGrid w:val="0"/>
        <w:spacing w:line="440" w:lineRule="exact"/>
        <w:rPr>
          <w:rFonts w:ascii="宋体" w:hAnsi="宋体"/>
          <w:color w:val="auto"/>
          <w:sz w:val="22"/>
          <w:szCs w:val="22"/>
          <w:highlight w:val="none"/>
        </w:rPr>
      </w:pPr>
      <w:r>
        <w:rPr>
          <w:rFonts w:hint="eastAsia" w:ascii="宋体" w:hAnsi="宋体"/>
          <w:color w:val="auto"/>
          <w:sz w:val="22"/>
          <w:szCs w:val="22"/>
          <w:highlight w:val="none"/>
        </w:rPr>
        <w:t xml:space="preserve">  1.2  解释</w:t>
      </w:r>
    </w:p>
    <w:p w14:paraId="7B29889F">
      <w:pPr>
        <w:adjustRightInd w:val="0"/>
        <w:snapToGrid w:val="0"/>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1.2.1 本合同文件除使用中文外，还可用</w:t>
      </w:r>
      <w:r>
        <w:rPr>
          <w:rFonts w:hint="eastAsia" w:ascii="宋体" w:hAnsi="宋体"/>
          <w:color w:val="auto"/>
          <w:sz w:val="22"/>
          <w:szCs w:val="22"/>
          <w:highlight w:val="none"/>
          <w:u w:val="single"/>
        </w:rPr>
        <w:t xml:space="preserve">        /                 </w:t>
      </w:r>
      <w:r>
        <w:rPr>
          <w:rFonts w:hint="eastAsia" w:ascii="宋体" w:hAnsi="宋体"/>
          <w:color w:val="auto"/>
          <w:sz w:val="22"/>
          <w:szCs w:val="22"/>
          <w:highlight w:val="none"/>
        </w:rPr>
        <w:t>。</w:t>
      </w:r>
    </w:p>
    <w:p w14:paraId="6C01A0DF">
      <w:pPr>
        <w:adjustRightInd w:val="0"/>
        <w:snapToGrid w:val="0"/>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1.2.2 约定本合同文件的解释顺序为：A、委托人与监理人签订的补充条款；B、协议书；B、中标通知书；C、招投标文件；D、专用条件；E、通用条件 。</w:t>
      </w:r>
    </w:p>
    <w:p w14:paraId="78741B05">
      <w:pPr>
        <w:pStyle w:val="4"/>
        <w:spacing w:line="440" w:lineRule="exact"/>
        <w:rPr>
          <w:rFonts w:ascii="宋体" w:hAnsi="宋体" w:eastAsia="宋体"/>
          <w:color w:val="auto"/>
          <w:sz w:val="22"/>
          <w:szCs w:val="22"/>
          <w:highlight w:val="none"/>
        </w:rPr>
      </w:pPr>
      <w:bookmarkStart w:id="167" w:name="_Toc24333"/>
      <w:bookmarkStart w:id="168" w:name="_Toc398111703"/>
      <w:bookmarkStart w:id="169" w:name="_Toc9194607"/>
      <w:r>
        <w:rPr>
          <w:rFonts w:hint="eastAsia" w:ascii="宋体" w:hAnsi="宋体" w:eastAsia="宋体"/>
          <w:color w:val="auto"/>
          <w:sz w:val="22"/>
          <w:szCs w:val="22"/>
          <w:highlight w:val="none"/>
        </w:rPr>
        <w:t>2. 监理人义务</w:t>
      </w:r>
      <w:bookmarkEnd w:id="167"/>
      <w:bookmarkEnd w:id="168"/>
      <w:bookmarkEnd w:id="169"/>
    </w:p>
    <w:p w14:paraId="5AAF3A75">
      <w:pPr>
        <w:adjustRightInd w:val="0"/>
        <w:snapToGrid w:val="0"/>
        <w:spacing w:line="440" w:lineRule="exact"/>
        <w:ind w:firstLine="215" w:firstLineChars="98"/>
        <w:rPr>
          <w:rFonts w:ascii="宋体" w:hAnsi="宋体"/>
          <w:color w:val="auto"/>
          <w:sz w:val="22"/>
          <w:szCs w:val="22"/>
          <w:highlight w:val="none"/>
        </w:rPr>
      </w:pPr>
      <w:r>
        <w:rPr>
          <w:rFonts w:hint="eastAsia" w:ascii="宋体" w:hAnsi="宋体"/>
          <w:color w:val="auto"/>
          <w:sz w:val="22"/>
          <w:szCs w:val="22"/>
          <w:highlight w:val="none"/>
        </w:rPr>
        <w:t>2.1 监理的范围和</w:t>
      </w:r>
      <w:r>
        <w:rPr>
          <w:rFonts w:hint="eastAsia" w:ascii="宋体" w:hAnsi="宋体"/>
          <w:bCs/>
          <w:color w:val="auto"/>
          <w:sz w:val="22"/>
          <w:szCs w:val="22"/>
          <w:highlight w:val="none"/>
        </w:rPr>
        <w:t>内容</w:t>
      </w:r>
    </w:p>
    <w:p w14:paraId="02AE9F34">
      <w:pPr>
        <w:adjustRightInd w:val="0"/>
        <w:snapToGrid w:val="0"/>
        <w:spacing w:line="440" w:lineRule="exact"/>
        <w:rPr>
          <w:rFonts w:ascii="宋体" w:hAnsi="宋体"/>
          <w:color w:val="auto"/>
          <w:sz w:val="22"/>
          <w:szCs w:val="22"/>
          <w:highlight w:val="none"/>
        </w:rPr>
      </w:pPr>
      <w:r>
        <w:rPr>
          <w:rFonts w:hint="eastAsia" w:ascii="宋体" w:hAnsi="宋体"/>
          <w:color w:val="auto"/>
          <w:sz w:val="22"/>
          <w:szCs w:val="22"/>
          <w:highlight w:val="none"/>
        </w:rPr>
        <w:t>2.1.1 监理范围包括：</w:t>
      </w:r>
      <w:r>
        <w:rPr>
          <w:rFonts w:hint="eastAsia" w:ascii="宋体" w:hAnsi="宋体" w:cs="宋体"/>
          <w:bCs/>
          <w:color w:val="auto"/>
          <w:sz w:val="22"/>
          <w:szCs w:val="28"/>
          <w:highlight w:val="none"/>
          <w:u w:val="single"/>
        </w:rPr>
        <w:t>工程施工准备阶段、施工阶段、竣工验收阶段和保修阶段全过程监理。协助委托人办理图纸审查和各项报批工作，对工程进行质量、进度、投资、安全四大控制和合同管理、信息管理、安全生产管理、文明施工管理、组织协调施工单位的施工现场各方关系，工程竣工资料审核等</w:t>
      </w:r>
      <w:r>
        <w:rPr>
          <w:rFonts w:ascii="宋体" w:hAnsi="宋体"/>
          <w:color w:val="auto"/>
          <w:sz w:val="22"/>
          <w:szCs w:val="22"/>
          <w:highlight w:val="none"/>
          <w:u w:val="single"/>
        </w:rPr>
        <w:t>。</w:t>
      </w:r>
    </w:p>
    <w:p w14:paraId="18BADE91">
      <w:pPr>
        <w:adjustRightInd w:val="0"/>
        <w:snapToGrid w:val="0"/>
        <w:spacing w:line="440" w:lineRule="exact"/>
        <w:rPr>
          <w:rFonts w:ascii="宋体" w:hAnsi="宋体"/>
          <w:color w:val="auto"/>
          <w:sz w:val="22"/>
          <w:szCs w:val="22"/>
          <w:highlight w:val="none"/>
          <w:u w:val="single"/>
        </w:rPr>
      </w:pPr>
      <w:r>
        <w:rPr>
          <w:rFonts w:hint="eastAsia" w:ascii="宋体" w:hAnsi="宋体"/>
          <w:color w:val="auto"/>
          <w:sz w:val="22"/>
          <w:szCs w:val="22"/>
          <w:highlight w:val="none"/>
        </w:rPr>
        <w:t>2.1.2 监理工作内容还包括：</w:t>
      </w:r>
    </w:p>
    <w:p w14:paraId="6E4705D9">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u w:val="single"/>
        </w:rPr>
        <w:t>（1）协助委托人进行设计图纸审查工作，凭借自身的技能和经验，根据本地的实际情况，为设计</w:t>
      </w:r>
      <w:r>
        <w:rPr>
          <w:rFonts w:hint="eastAsia" w:ascii="宋体" w:hAnsi="宋体"/>
          <w:color w:val="auto"/>
          <w:sz w:val="22"/>
          <w:szCs w:val="22"/>
          <w:highlight w:val="none"/>
          <w:u w:val="single"/>
          <w:lang w:eastAsia="zh-CN"/>
        </w:rPr>
        <w:t>单位</w:t>
      </w:r>
      <w:r>
        <w:rPr>
          <w:rFonts w:hint="eastAsia" w:ascii="宋体" w:hAnsi="宋体"/>
          <w:color w:val="auto"/>
          <w:sz w:val="22"/>
          <w:szCs w:val="22"/>
          <w:highlight w:val="none"/>
          <w:u w:val="single"/>
        </w:rPr>
        <w:t>提供建设性改进意见，并协调市有关部门完成各项报批工作；</w:t>
      </w:r>
    </w:p>
    <w:p w14:paraId="496F1DF9">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u w:val="single"/>
        </w:rPr>
        <w:t>（2）审核施工承包单位施工组织设计和施工方案，并督促检查承包单位按规范、规程、标准及图纸进行施工；</w:t>
      </w:r>
    </w:p>
    <w:p w14:paraId="675FA3F4">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u w:val="single"/>
        </w:rPr>
        <w:t>（3）审核承包单位的各项施工准备工作；</w:t>
      </w:r>
    </w:p>
    <w:p w14:paraId="55C6334C">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u w:val="single"/>
        </w:rPr>
        <w:t>（4）审查督促承包单位施工管理制度、质量管理和质量保证体系，确保质量管理和质量保证体系的建立、健全和实施。按省标化工地要求进行管理；</w:t>
      </w:r>
    </w:p>
    <w:p w14:paraId="4D35A986">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u w:val="single"/>
        </w:rPr>
        <w:t>（5）监理人员应熟悉及消化各专业图纸，了解设计要求、意图。协助组织设计交底、施工图纸会审及审查设计变更；</w:t>
      </w:r>
    </w:p>
    <w:p w14:paraId="77525453">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u w:val="single"/>
        </w:rPr>
        <w:t>（6）审核承包单位提出的分包单位的资质；</w:t>
      </w:r>
    </w:p>
    <w:p w14:paraId="7C5E65B1">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u w:val="single"/>
        </w:rPr>
        <w:t>（7）实施施工单位的</w:t>
      </w:r>
      <w:r>
        <w:rPr>
          <w:rFonts w:hint="eastAsia" w:ascii="宋体" w:hAnsi="宋体" w:cs="宋体"/>
          <w:bCs/>
          <w:color w:val="auto"/>
          <w:sz w:val="22"/>
          <w:szCs w:val="28"/>
          <w:highlight w:val="none"/>
          <w:u w:val="single"/>
        </w:rPr>
        <w:t>质量、进度、投资、安全四大控制</w:t>
      </w:r>
      <w:r>
        <w:rPr>
          <w:rFonts w:hint="eastAsia" w:ascii="宋体" w:hAnsi="宋体"/>
          <w:color w:val="auto"/>
          <w:sz w:val="22"/>
          <w:szCs w:val="22"/>
          <w:highlight w:val="none"/>
          <w:u w:val="single"/>
        </w:rPr>
        <w:t>，</w:t>
      </w:r>
      <w:r>
        <w:rPr>
          <w:rFonts w:hint="eastAsia" w:ascii="宋体" w:hAnsi="宋体" w:cs="宋体"/>
          <w:bCs/>
          <w:color w:val="auto"/>
          <w:sz w:val="22"/>
          <w:szCs w:val="28"/>
          <w:highlight w:val="none"/>
          <w:u w:val="single"/>
        </w:rPr>
        <w:t>合同管理、信息管理、安全生产管理、文明施工管理、组织协调工作</w:t>
      </w:r>
      <w:r>
        <w:rPr>
          <w:rFonts w:hint="eastAsia" w:ascii="宋体" w:hAnsi="宋体"/>
          <w:color w:val="auto"/>
          <w:sz w:val="22"/>
          <w:szCs w:val="22"/>
          <w:highlight w:val="none"/>
          <w:u w:val="single"/>
        </w:rPr>
        <w:t>；</w:t>
      </w:r>
    </w:p>
    <w:p w14:paraId="1637F907">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u w:val="single"/>
        </w:rPr>
        <w:t xml:space="preserve">（8）复核计算已完工程量，对工程变更和技术核定调整的工程进行初步审核，签署工程付款凭证； </w:t>
      </w:r>
    </w:p>
    <w:p w14:paraId="095AFFD2">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u w:val="single"/>
        </w:rPr>
        <w:t>（9）审查工程使用的原材料、半成品、成品和设备质量，按程序进行见证取样、送样、封样。同时配合委托人考察设备供应，进场设备开箱检验及安装调试确认；</w:t>
      </w:r>
    </w:p>
    <w:p w14:paraId="0C8F4E16">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u w:val="single"/>
        </w:rPr>
        <w:t>（10）按时向委托人提供形象进度报告，每月向委托人提交监理月报；</w:t>
      </w:r>
    </w:p>
    <w:p w14:paraId="54A77EE0">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u w:val="single"/>
        </w:rPr>
        <w:t>（11）分部、分项工程质量签证，组织基础、结构中验和竣工预验收，并提出工程质量评估报告，协助委托人组织竣工验收，办理竣工资料备案手续；</w:t>
      </w:r>
    </w:p>
    <w:p w14:paraId="189C02BE">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u w:val="single"/>
        </w:rPr>
        <w:t>（12）按照工程监理规划的要求，采用旁站、巡视和平行检查等形式监理工程质量。负责施工工序过程中的质量控制，对重要工序和关键部位实行旁站监理，对隐蔽工程进行复验签证及时检查质量保证资料记录。若发生工程质量事故，参与分析及处理工程质量事故的全过程；</w:t>
      </w:r>
    </w:p>
    <w:p w14:paraId="0B788913">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u w:val="single"/>
        </w:rPr>
        <w:t>（13）负责竣工图和各项工程质量资料的审查，督促施工单位完成资料的归档工作；</w:t>
      </w:r>
    </w:p>
    <w:p w14:paraId="72ACCCA7">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u w:val="single"/>
        </w:rPr>
        <w:t>（14）应对承包单位在施工场地的工作人员进行安全教育，督促施工单位完成资料的归档工作；并做好巡查记录，监督承包单位不得违反安全管理的规定进行施工。如承包单位发生安全事故，监理单位视情况承担部分责任。</w:t>
      </w:r>
    </w:p>
    <w:p w14:paraId="0B2F7646">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u w:val="single"/>
        </w:rPr>
        <w:t>（15）牵头各参建单位整理相关工程的竣工验收资料（含备案资料），并对工程施工资料审核；</w:t>
      </w:r>
    </w:p>
    <w:p w14:paraId="2F311CF3">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u w:val="single"/>
        </w:rPr>
        <w:t>（16）提供现场施工应有的检测设备及相关的技术规范，供委托人等相关单位使用及查阅。</w:t>
      </w:r>
    </w:p>
    <w:p w14:paraId="46A7E26D">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u w:val="single"/>
        </w:rPr>
        <w:t>(17)协助委托人做好所有标段施工招标及材料设备采购、材料的认质认价等工作。</w:t>
      </w:r>
    </w:p>
    <w:p w14:paraId="00265787">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u w:val="single"/>
        </w:rPr>
        <w:t>（18）如有甲供材料时，应及时做好施工单位提交的材料计划的审核工作，协助委托人做好各类甲供材料台账登记及一切相关工作。</w:t>
      </w:r>
    </w:p>
    <w:p w14:paraId="10975040">
      <w:pPr>
        <w:spacing w:line="440" w:lineRule="exact"/>
        <w:ind w:firstLine="215" w:firstLineChars="98"/>
        <w:rPr>
          <w:rFonts w:ascii="宋体" w:hAnsi="宋体"/>
          <w:color w:val="auto"/>
          <w:sz w:val="22"/>
          <w:szCs w:val="22"/>
          <w:highlight w:val="none"/>
        </w:rPr>
      </w:pPr>
      <w:r>
        <w:rPr>
          <w:rFonts w:hint="eastAsia" w:ascii="宋体" w:hAnsi="宋体"/>
          <w:color w:val="auto"/>
          <w:sz w:val="22"/>
          <w:szCs w:val="22"/>
          <w:highlight w:val="none"/>
        </w:rPr>
        <w:t>2.2 监理与相关服务依据</w:t>
      </w:r>
    </w:p>
    <w:p w14:paraId="514F6D75">
      <w:pPr>
        <w:adjustRightInd w:val="0"/>
        <w:snapToGrid w:val="0"/>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2.2.1 监理依据包括：</w:t>
      </w:r>
      <w:r>
        <w:rPr>
          <w:rFonts w:hint="eastAsia" w:ascii="宋体" w:hAnsi="宋体"/>
          <w:color w:val="auto"/>
          <w:sz w:val="22"/>
          <w:szCs w:val="22"/>
          <w:highlight w:val="none"/>
          <w:u w:val="single"/>
        </w:rPr>
        <w:t>《中华人民共和国民法典》、《中华人民共和国建筑法》、《中华人民共和国招标投标法》、《建设工程质量管理条例》等现行国家法律</w:t>
      </w:r>
      <w:r>
        <w:rPr>
          <w:rFonts w:hint="eastAsia" w:ascii="宋体" w:hAnsi="宋体"/>
          <w:color w:val="auto"/>
          <w:sz w:val="22"/>
          <w:szCs w:val="22"/>
          <w:highlight w:val="none"/>
        </w:rPr>
        <w:t>。</w:t>
      </w:r>
    </w:p>
    <w:p w14:paraId="72CCADEC">
      <w:pPr>
        <w:adjustRightInd w:val="0"/>
        <w:snapToGrid w:val="0"/>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rPr>
        <w:t>2.2.2 相关服务依据包括：</w:t>
      </w:r>
    </w:p>
    <w:p w14:paraId="21A36527">
      <w:pPr>
        <w:spacing w:line="440" w:lineRule="exact"/>
        <w:ind w:firstLine="480"/>
        <w:rPr>
          <w:rFonts w:ascii="宋体" w:hAnsi="宋体"/>
          <w:color w:val="auto"/>
          <w:sz w:val="22"/>
          <w:szCs w:val="22"/>
          <w:highlight w:val="none"/>
          <w:u w:val="single"/>
        </w:rPr>
      </w:pPr>
      <w:r>
        <w:rPr>
          <w:rFonts w:hint="eastAsia" w:ascii="宋体" w:hAnsi="宋体"/>
          <w:color w:val="auto"/>
          <w:sz w:val="22"/>
          <w:szCs w:val="22"/>
          <w:highlight w:val="none"/>
          <w:u w:val="single"/>
        </w:rPr>
        <w:t>（1）本工程的监理合同、工程施工合同及与工程相关的其他合同；</w:t>
      </w:r>
    </w:p>
    <w:p w14:paraId="4EC0B0EE">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u w:val="single"/>
        </w:rPr>
        <w:t>（2）《建设工程监理规范》（GB</w:t>
      </w:r>
      <w:r>
        <w:rPr>
          <w:rFonts w:ascii="宋体" w:hAnsi="宋体"/>
          <w:color w:val="auto"/>
          <w:sz w:val="22"/>
          <w:szCs w:val="22"/>
          <w:highlight w:val="none"/>
          <w:u w:val="single"/>
        </w:rPr>
        <w:t>/T</w:t>
      </w:r>
      <w:r>
        <w:rPr>
          <w:rFonts w:hint="eastAsia" w:ascii="宋体" w:hAnsi="宋体"/>
          <w:color w:val="auto"/>
          <w:sz w:val="22"/>
          <w:szCs w:val="22"/>
          <w:highlight w:val="none"/>
          <w:u w:val="single"/>
        </w:rPr>
        <w:t>50319-20</w:t>
      </w:r>
      <w:r>
        <w:rPr>
          <w:rFonts w:ascii="宋体" w:hAnsi="宋体"/>
          <w:color w:val="auto"/>
          <w:sz w:val="22"/>
          <w:szCs w:val="22"/>
          <w:highlight w:val="none"/>
          <w:u w:val="single"/>
        </w:rPr>
        <w:t>13</w:t>
      </w:r>
      <w:r>
        <w:rPr>
          <w:rFonts w:hint="eastAsia" w:ascii="宋体" w:hAnsi="宋体"/>
          <w:color w:val="auto"/>
          <w:sz w:val="22"/>
          <w:szCs w:val="22"/>
          <w:highlight w:val="none"/>
          <w:u w:val="single"/>
        </w:rPr>
        <w:t>）；（3）国家和工程所在地现行有关工程建设的法律法规、政策和规定；（4）本工程的设计文件施工图纸、工程地质勘探报告、设计变更通知单、图纸会审纪要等其他有关技术文件；（5）经委托人认可的监理大纲、监理规划和监理实施细则及施工组织设计、施工方案等；（6）委托人签发的工程监理委托书；；（</w:t>
      </w:r>
      <w:r>
        <w:rPr>
          <w:rFonts w:hint="eastAsia" w:ascii="宋体" w:hAnsi="宋体"/>
          <w:color w:val="auto"/>
          <w:sz w:val="22"/>
          <w:szCs w:val="22"/>
          <w:highlight w:val="none"/>
          <w:u w:val="single"/>
          <w:lang w:val="en-US" w:eastAsia="zh-CN"/>
        </w:rPr>
        <w:t>7</w:t>
      </w:r>
      <w:r>
        <w:rPr>
          <w:rFonts w:hint="eastAsia" w:ascii="宋体" w:hAnsi="宋体"/>
          <w:color w:val="auto"/>
          <w:sz w:val="22"/>
          <w:szCs w:val="22"/>
          <w:highlight w:val="none"/>
          <w:u w:val="single"/>
        </w:rPr>
        <w:t>）现行的工程建设规范和质量验收规范及检验评定标准等，监理人必须提供本工程相关的建设规范至施工现场，便于委托人随时查阅并使用。</w:t>
      </w:r>
    </w:p>
    <w:p w14:paraId="65D7DA02">
      <w:pPr>
        <w:spacing w:line="440" w:lineRule="exact"/>
        <w:rPr>
          <w:rFonts w:ascii="宋体" w:hAnsi="宋体" w:cs="宋体"/>
          <w:color w:val="auto"/>
          <w:kern w:val="0"/>
          <w:sz w:val="22"/>
          <w:szCs w:val="22"/>
          <w:highlight w:val="none"/>
        </w:rPr>
      </w:pPr>
      <w:r>
        <w:rPr>
          <w:rFonts w:hint="eastAsia" w:ascii="宋体" w:hAnsi="宋体"/>
          <w:color w:val="auto"/>
          <w:sz w:val="22"/>
          <w:szCs w:val="22"/>
          <w:highlight w:val="none"/>
        </w:rPr>
        <w:t>2.3</w:t>
      </w:r>
      <w:r>
        <w:rPr>
          <w:rFonts w:hint="eastAsia" w:ascii="宋体" w:hAnsi="宋体" w:cs="宋体"/>
          <w:color w:val="auto"/>
          <w:kern w:val="0"/>
          <w:sz w:val="22"/>
          <w:szCs w:val="22"/>
          <w:highlight w:val="none"/>
        </w:rPr>
        <w:t>项目监理机构和人员</w:t>
      </w:r>
    </w:p>
    <w:p w14:paraId="5599FFFB">
      <w:pPr>
        <w:spacing w:line="440" w:lineRule="exact"/>
        <w:ind w:firstLine="220" w:firstLineChars="100"/>
        <w:rPr>
          <w:rFonts w:ascii="宋体" w:hAnsi="宋体"/>
          <w:color w:val="auto"/>
          <w:sz w:val="22"/>
          <w:szCs w:val="22"/>
          <w:highlight w:val="none"/>
        </w:rPr>
      </w:pPr>
      <w:r>
        <w:rPr>
          <w:rFonts w:hint="eastAsia" w:ascii="宋体" w:hAnsi="宋体"/>
          <w:color w:val="auto"/>
          <w:sz w:val="22"/>
          <w:szCs w:val="22"/>
          <w:highlight w:val="none"/>
        </w:rPr>
        <w:t>2.3.1本项目设总监 1 名、</w:t>
      </w:r>
      <w:r>
        <w:rPr>
          <w:rFonts w:hint="eastAsia" w:ascii="宋体" w:hAnsi="宋体"/>
          <w:color w:val="auto"/>
          <w:sz w:val="22"/>
          <w:szCs w:val="22"/>
          <w:highlight w:val="none"/>
          <w:lang w:val="en-US" w:eastAsia="zh-CN"/>
        </w:rPr>
        <w:t>专业监理工程师</w:t>
      </w:r>
      <w:r>
        <w:rPr>
          <w:rFonts w:hint="eastAsia" w:ascii="宋体" w:hAnsi="宋体"/>
          <w:color w:val="auto"/>
          <w:sz w:val="22"/>
          <w:szCs w:val="22"/>
          <w:highlight w:val="none"/>
        </w:rPr>
        <w:t>2名。</w:t>
      </w:r>
    </w:p>
    <w:p w14:paraId="6EDCADB7">
      <w:pPr>
        <w:spacing w:line="440" w:lineRule="exact"/>
        <w:jc w:val="center"/>
        <w:rPr>
          <w:rFonts w:hint="eastAsia" w:ascii="宋体" w:hAnsi="宋体"/>
          <w:color w:val="auto"/>
          <w:sz w:val="22"/>
          <w:szCs w:val="22"/>
          <w:highlight w:val="none"/>
        </w:rPr>
      </w:pPr>
    </w:p>
    <w:p w14:paraId="5ED304CB">
      <w:pPr>
        <w:spacing w:line="440" w:lineRule="exact"/>
        <w:jc w:val="center"/>
        <w:rPr>
          <w:rFonts w:ascii="宋体" w:hAnsi="宋体"/>
          <w:color w:val="auto"/>
          <w:sz w:val="24"/>
          <w:highlight w:val="none"/>
        </w:rPr>
      </w:pPr>
      <w:r>
        <w:rPr>
          <w:rFonts w:hint="eastAsia" w:ascii="宋体" w:hAnsi="宋体"/>
          <w:color w:val="auto"/>
          <w:sz w:val="22"/>
          <w:szCs w:val="22"/>
          <w:highlight w:val="none"/>
        </w:rPr>
        <w:t>项目监理人员一览表</w:t>
      </w:r>
    </w:p>
    <w:tbl>
      <w:tblPr>
        <w:tblStyle w:val="34"/>
        <w:tblW w:w="85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2261"/>
        <w:gridCol w:w="795"/>
        <w:gridCol w:w="2425"/>
        <w:gridCol w:w="935"/>
        <w:gridCol w:w="1188"/>
      </w:tblGrid>
      <w:tr w14:paraId="03F3D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Pr>
          <w:p w14:paraId="4EADB14D">
            <w:pPr>
              <w:rPr>
                <w:rFonts w:ascii="宋体" w:hAnsi="宋体"/>
                <w:color w:val="auto"/>
                <w:sz w:val="22"/>
                <w:szCs w:val="22"/>
                <w:highlight w:val="none"/>
              </w:rPr>
            </w:pPr>
            <w:r>
              <w:rPr>
                <w:rFonts w:hint="eastAsia" w:ascii="宋体" w:hAnsi="宋体"/>
                <w:color w:val="auto"/>
                <w:sz w:val="22"/>
                <w:szCs w:val="22"/>
                <w:highlight w:val="none"/>
              </w:rPr>
              <w:t>序号</w:t>
            </w:r>
          </w:p>
        </w:tc>
        <w:tc>
          <w:tcPr>
            <w:tcW w:w="2261" w:type="dxa"/>
          </w:tcPr>
          <w:p w14:paraId="596DBB5B">
            <w:pPr>
              <w:rPr>
                <w:rFonts w:ascii="宋体" w:hAnsi="宋体"/>
                <w:color w:val="auto"/>
                <w:sz w:val="22"/>
                <w:szCs w:val="22"/>
                <w:highlight w:val="none"/>
              </w:rPr>
            </w:pPr>
            <w:r>
              <w:rPr>
                <w:rFonts w:hint="eastAsia" w:ascii="宋体" w:hAnsi="宋体"/>
                <w:color w:val="auto"/>
                <w:sz w:val="22"/>
                <w:szCs w:val="22"/>
                <w:highlight w:val="none"/>
              </w:rPr>
              <w:t>岗位</w:t>
            </w:r>
          </w:p>
        </w:tc>
        <w:tc>
          <w:tcPr>
            <w:tcW w:w="795" w:type="dxa"/>
          </w:tcPr>
          <w:p w14:paraId="2BEBB188">
            <w:pPr>
              <w:rPr>
                <w:rFonts w:ascii="宋体" w:hAnsi="宋体"/>
                <w:color w:val="auto"/>
                <w:sz w:val="22"/>
                <w:szCs w:val="22"/>
                <w:highlight w:val="none"/>
              </w:rPr>
            </w:pPr>
            <w:r>
              <w:rPr>
                <w:rFonts w:hint="eastAsia" w:ascii="宋体" w:hAnsi="宋体"/>
                <w:color w:val="auto"/>
                <w:sz w:val="22"/>
                <w:szCs w:val="22"/>
                <w:highlight w:val="none"/>
              </w:rPr>
              <w:t>姓名</w:t>
            </w:r>
          </w:p>
        </w:tc>
        <w:tc>
          <w:tcPr>
            <w:tcW w:w="2425" w:type="dxa"/>
          </w:tcPr>
          <w:p w14:paraId="097E36FF">
            <w:pPr>
              <w:rPr>
                <w:rFonts w:ascii="宋体" w:hAnsi="宋体"/>
                <w:color w:val="auto"/>
                <w:sz w:val="22"/>
                <w:szCs w:val="22"/>
                <w:highlight w:val="none"/>
              </w:rPr>
            </w:pPr>
            <w:r>
              <w:rPr>
                <w:rFonts w:hint="eastAsia" w:ascii="宋体" w:hAnsi="宋体"/>
                <w:color w:val="auto"/>
                <w:sz w:val="22"/>
                <w:szCs w:val="22"/>
                <w:highlight w:val="none"/>
              </w:rPr>
              <w:t>职业资格证编号</w:t>
            </w:r>
          </w:p>
        </w:tc>
        <w:tc>
          <w:tcPr>
            <w:tcW w:w="935" w:type="dxa"/>
          </w:tcPr>
          <w:p w14:paraId="05547D41">
            <w:pPr>
              <w:rPr>
                <w:rFonts w:ascii="宋体" w:hAnsi="宋体"/>
                <w:color w:val="auto"/>
                <w:sz w:val="22"/>
                <w:szCs w:val="22"/>
                <w:highlight w:val="none"/>
              </w:rPr>
            </w:pPr>
            <w:r>
              <w:rPr>
                <w:rFonts w:hint="eastAsia" w:ascii="宋体" w:hAnsi="宋体"/>
                <w:color w:val="auto"/>
                <w:sz w:val="22"/>
                <w:szCs w:val="22"/>
                <w:highlight w:val="none"/>
              </w:rPr>
              <w:t>职称</w:t>
            </w:r>
          </w:p>
        </w:tc>
        <w:tc>
          <w:tcPr>
            <w:tcW w:w="1188" w:type="dxa"/>
          </w:tcPr>
          <w:p w14:paraId="2D48AD21">
            <w:pPr>
              <w:rPr>
                <w:rFonts w:ascii="宋体" w:hAnsi="宋体"/>
                <w:color w:val="auto"/>
                <w:sz w:val="22"/>
                <w:szCs w:val="22"/>
                <w:highlight w:val="none"/>
              </w:rPr>
            </w:pPr>
            <w:r>
              <w:rPr>
                <w:rFonts w:hint="eastAsia" w:ascii="宋体" w:hAnsi="宋体"/>
                <w:color w:val="auto"/>
                <w:sz w:val="22"/>
                <w:szCs w:val="22"/>
                <w:highlight w:val="none"/>
              </w:rPr>
              <w:t>从业年限</w:t>
            </w:r>
          </w:p>
        </w:tc>
      </w:tr>
      <w:tr w14:paraId="29DB1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14:paraId="751B90CD">
            <w:pPr>
              <w:rPr>
                <w:rFonts w:ascii="宋体" w:hAnsi="宋体"/>
                <w:color w:val="auto"/>
                <w:sz w:val="22"/>
                <w:szCs w:val="22"/>
                <w:highlight w:val="none"/>
              </w:rPr>
            </w:pPr>
            <w:r>
              <w:rPr>
                <w:rFonts w:hint="eastAsia" w:ascii="宋体" w:hAnsi="宋体"/>
                <w:color w:val="auto"/>
                <w:sz w:val="22"/>
                <w:szCs w:val="22"/>
                <w:highlight w:val="none"/>
              </w:rPr>
              <w:t>1</w:t>
            </w:r>
          </w:p>
        </w:tc>
        <w:tc>
          <w:tcPr>
            <w:tcW w:w="2261" w:type="dxa"/>
          </w:tcPr>
          <w:p w14:paraId="2D76870C">
            <w:pPr>
              <w:rPr>
                <w:rFonts w:ascii="宋体" w:hAnsi="宋体"/>
                <w:color w:val="auto"/>
                <w:sz w:val="22"/>
                <w:szCs w:val="22"/>
                <w:highlight w:val="none"/>
              </w:rPr>
            </w:pPr>
            <w:r>
              <w:rPr>
                <w:rFonts w:hint="eastAsia" w:ascii="宋体" w:hAnsi="宋体"/>
                <w:color w:val="auto"/>
                <w:sz w:val="22"/>
                <w:szCs w:val="22"/>
                <w:highlight w:val="none"/>
              </w:rPr>
              <w:t>总监理工程师</w:t>
            </w:r>
          </w:p>
        </w:tc>
        <w:tc>
          <w:tcPr>
            <w:tcW w:w="795" w:type="dxa"/>
          </w:tcPr>
          <w:p w14:paraId="57B0772C">
            <w:pPr>
              <w:rPr>
                <w:rFonts w:ascii="宋体" w:hAnsi="宋体"/>
                <w:color w:val="auto"/>
                <w:sz w:val="22"/>
                <w:szCs w:val="22"/>
                <w:highlight w:val="none"/>
              </w:rPr>
            </w:pPr>
          </w:p>
        </w:tc>
        <w:tc>
          <w:tcPr>
            <w:tcW w:w="2425" w:type="dxa"/>
          </w:tcPr>
          <w:p w14:paraId="59EC0034">
            <w:pPr>
              <w:rPr>
                <w:rFonts w:ascii="宋体" w:hAnsi="宋体"/>
                <w:color w:val="auto"/>
                <w:sz w:val="22"/>
                <w:szCs w:val="22"/>
                <w:highlight w:val="none"/>
              </w:rPr>
            </w:pPr>
          </w:p>
        </w:tc>
        <w:tc>
          <w:tcPr>
            <w:tcW w:w="935" w:type="dxa"/>
          </w:tcPr>
          <w:p w14:paraId="030DCFF9">
            <w:pPr>
              <w:rPr>
                <w:rFonts w:ascii="宋体" w:hAnsi="宋体"/>
                <w:color w:val="auto"/>
                <w:sz w:val="22"/>
                <w:szCs w:val="22"/>
                <w:highlight w:val="none"/>
              </w:rPr>
            </w:pPr>
          </w:p>
        </w:tc>
        <w:tc>
          <w:tcPr>
            <w:tcW w:w="1188" w:type="dxa"/>
          </w:tcPr>
          <w:p w14:paraId="627D567E">
            <w:pPr>
              <w:rPr>
                <w:rFonts w:ascii="宋体" w:hAnsi="宋体"/>
                <w:color w:val="auto"/>
                <w:sz w:val="22"/>
                <w:szCs w:val="22"/>
                <w:highlight w:val="none"/>
              </w:rPr>
            </w:pPr>
          </w:p>
        </w:tc>
      </w:tr>
      <w:tr w14:paraId="416B0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14:paraId="6A1B0A74">
            <w:pPr>
              <w:rPr>
                <w:rFonts w:ascii="宋体" w:hAnsi="宋体"/>
                <w:color w:val="auto"/>
                <w:sz w:val="22"/>
                <w:szCs w:val="22"/>
                <w:highlight w:val="none"/>
              </w:rPr>
            </w:pPr>
            <w:r>
              <w:rPr>
                <w:rFonts w:hint="eastAsia" w:ascii="宋体" w:hAnsi="宋体"/>
                <w:color w:val="auto"/>
                <w:sz w:val="22"/>
                <w:szCs w:val="22"/>
                <w:highlight w:val="none"/>
              </w:rPr>
              <w:t>2</w:t>
            </w:r>
          </w:p>
        </w:tc>
        <w:tc>
          <w:tcPr>
            <w:tcW w:w="2261" w:type="dxa"/>
          </w:tcPr>
          <w:p w14:paraId="4FDD88BD">
            <w:pPr>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专业监理工程师</w:t>
            </w:r>
          </w:p>
        </w:tc>
        <w:tc>
          <w:tcPr>
            <w:tcW w:w="795" w:type="dxa"/>
          </w:tcPr>
          <w:p w14:paraId="3F8B3B93">
            <w:pPr>
              <w:rPr>
                <w:rFonts w:ascii="宋体" w:hAnsi="宋体"/>
                <w:color w:val="auto"/>
                <w:sz w:val="22"/>
                <w:szCs w:val="22"/>
                <w:highlight w:val="none"/>
              </w:rPr>
            </w:pPr>
          </w:p>
        </w:tc>
        <w:tc>
          <w:tcPr>
            <w:tcW w:w="2425" w:type="dxa"/>
          </w:tcPr>
          <w:p w14:paraId="186B71B1">
            <w:pPr>
              <w:rPr>
                <w:rFonts w:ascii="宋体" w:hAnsi="宋体"/>
                <w:color w:val="auto"/>
                <w:sz w:val="22"/>
                <w:szCs w:val="22"/>
                <w:highlight w:val="none"/>
              </w:rPr>
            </w:pPr>
          </w:p>
        </w:tc>
        <w:tc>
          <w:tcPr>
            <w:tcW w:w="935" w:type="dxa"/>
          </w:tcPr>
          <w:p w14:paraId="2857A6BF">
            <w:pPr>
              <w:rPr>
                <w:rFonts w:ascii="宋体" w:hAnsi="宋体"/>
                <w:color w:val="auto"/>
                <w:sz w:val="22"/>
                <w:szCs w:val="22"/>
                <w:highlight w:val="none"/>
              </w:rPr>
            </w:pPr>
          </w:p>
        </w:tc>
        <w:tc>
          <w:tcPr>
            <w:tcW w:w="1188" w:type="dxa"/>
          </w:tcPr>
          <w:p w14:paraId="700834D6">
            <w:pPr>
              <w:rPr>
                <w:rFonts w:ascii="宋体" w:hAnsi="宋体"/>
                <w:color w:val="auto"/>
                <w:sz w:val="22"/>
                <w:szCs w:val="22"/>
                <w:highlight w:val="none"/>
              </w:rPr>
            </w:pPr>
          </w:p>
        </w:tc>
      </w:tr>
      <w:tr w14:paraId="024D6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14:paraId="3128A65E">
            <w:pPr>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3</w:t>
            </w:r>
          </w:p>
        </w:tc>
        <w:tc>
          <w:tcPr>
            <w:tcW w:w="2261" w:type="dxa"/>
          </w:tcPr>
          <w:p w14:paraId="32F595D7">
            <w:pPr>
              <w:rPr>
                <w:rFonts w:ascii="宋体" w:hAnsi="宋体"/>
                <w:color w:val="auto"/>
                <w:sz w:val="22"/>
                <w:szCs w:val="22"/>
                <w:highlight w:val="none"/>
              </w:rPr>
            </w:pPr>
            <w:r>
              <w:rPr>
                <w:rFonts w:hint="eastAsia" w:ascii="宋体" w:hAnsi="宋体"/>
                <w:color w:val="auto"/>
                <w:sz w:val="22"/>
                <w:szCs w:val="22"/>
                <w:highlight w:val="none"/>
                <w:lang w:val="en-US" w:eastAsia="zh-CN"/>
              </w:rPr>
              <w:t>专业监理工程师</w:t>
            </w:r>
          </w:p>
        </w:tc>
        <w:tc>
          <w:tcPr>
            <w:tcW w:w="795" w:type="dxa"/>
          </w:tcPr>
          <w:p w14:paraId="1589E85B">
            <w:pPr>
              <w:rPr>
                <w:rFonts w:ascii="宋体" w:hAnsi="宋体"/>
                <w:color w:val="auto"/>
                <w:sz w:val="22"/>
                <w:szCs w:val="22"/>
                <w:highlight w:val="none"/>
              </w:rPr>
            </w:pPr>
          </w:p>
        </w:tc>
        <w:tc>
          <w:tcPr>
            <w:tcW w:w="2425" w:type="dxa"/>
          </w:tcPr>
          <w:p w14:paraId="4CBA2A41">
            <w:pPr>
              <w:rPr>
                <w:rFonts w:ascii="宋体" w:hAnsi="宋体"/>
                <w:color w:val="auto"/>
                <w:sz w:val="22"/>
                <w:szCs w:val="22"/>
                <w:highlight w:val="none"/>
              </w:rPr>
            </w:pPr>
          </w:p>
        </w:tc>
        <w:tc>
          <w:tcPr>
            <w:tcW w:w="935" w:type="dxa"/>
          </w:tcPr>
          <w:p w14:paraId="50F0C638">
            <w:pPr>
              <w:rPr>
                <w:rFonts w:ascii="宋体" w:hAnsi="宋体"/>
                <w:color w:val="auto"/>
                <w:sz w:val="22"/>
                <w:szCs w:val="22"/>
                <w:highlight w:val="none"/>
              </w:rPr>
            </w:pPr>
          </w:p>
        </w:tc>
        <w:tc>
          <w:tcPr>
            <w:tcW w:w="1188" w:type="dxa"/>
          </w:tcPr>
          <w:p w14:paraId="2EFF7C0B">
            <w:pPr>
              <w:rPr>
                <w:rFonts w:ascii="宋体" w:hAnsi="宋体"/>
                <w:color w:val="auto"/>
                <w:sz w:val="22"/>
                <w:szCs w:val="22"/>
                <w:highlight w:val="none"/>
              </w:rPr>
            </w:pPr>
          </w:p>
        </w:tc>
      </w:tr>
      <w:tr w14:paraId="1484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14:paraId="6394C5A5">
            <w:pPr>
              <w:rPr>
                <w:rFonts w:hint="default" w:ascii="宋体" w:hAnsi="宋体"/>
                <w:color w:val="auto"/>
                <w:sz w:val="22"/>
                <w:szCs w:val="22"/>
                <w:highlight w:val="none"/>
                <w:lang w:val="en-US" w:eastAsia="zh-CN"/>
              </w:rPr>
            </w:pPr>
            <w:r>
              <w:rPr>
                <w:rFonts w:hint="eastAsia" w:ascii="宋体" w:hAnsi="宋体"/>
                <w:color w:val="auto"/>
                <w:sz w:val="22"/>
                <w:szCs w:val="22"/>
                <w:highlight w:val="none"/>
                <w:lang w:val="en-US" w:eastAsia="zh-CN"/>
              </w:rPr>
              <w:t>4</w:t>
            </w:r>
          </w:p>
        </w:tc>
        <w:tc>
          <w:tcPr>
            <w:tcW w:w="2261" w:type="dxa"/>
          </w:tcPr>
          <w:p w14:paraId="0D7F9B92">
            <w:pPr>
              <w:rPr>
                <w:rFonts w:ascii="宋体" w:hAnsi="宋体"/>
                <w:color w:val="auto"/>
                <w:sz w:val="22"/>
                <w:szCs w:val="22"/>
                <w:highlight w:val="none"/>
              </w:rPr>
            </w:pPr>
            <w:r>
              <w:rPr>
                <w:rFonts w:ascii="宋体" w:hAnsi="宋体"/>
                <w:color w:val="auto"/>
                <w:sz w:val="22"/>
                <w:szCs w:val="22"/>
                <w:highlight w:val="none"/>
              </w:rPr>
              <w:t>……</w:t>
            </w:r>
          </w:p>
        </w:tc>
        <w:tc>
          <w:tcPr>
            <w:tcW w:w="795" w:type="dxa"/>
          </w:tcPr>
          <w:p w14:paraId="2368505B">
            <w:pPr>
              <w:rPr>
                <w:rFonts w:ascii="宋体" w:hAnsi="宋体"/>
                <w:color w:val="auto"/>
                <w:sz w:val="22"/>
                <w:szCs w:val="22"/>
                <w:highlight w:val="none"/>
              </w:rPr>
            </w:pPr>
          </w:p>
        </w:tc>
        <w:tc>
          <w:tcPr>
            <w:tcW w:w="2425" w:type="dxa"/>
          </w:tcPr>
          <w:p w14:paraId="520ED72B">
            <w:pPr>
              <w:rPr>
                <w:rFonts w:ascii="宋体" w:hAnsi="宋体"/>
                <w:color w:val="auto"/>
                <w:sz w:val="22"/>
                <w:szCs w:val="22"/>
                <w:highlight w:val="none"/>
              </w:rPr>
            </w:pPr>
          </w:p>
        </w:tc>
        <w:tc>
          <w:tcPr>
            <w:tcW w:w="935" w:type="dxa"/>
          </w:tcPr>
          <w:p w14:paraId="1ECD71D7">
            <w:pPr>
              <w:rPr>
                <w:rFonts w:ascii="宋体" w:hAnsi="宋体"/>
                <w:color w:val="auto"/>
                <w:sz w:val="22"/>
                <w:szCs w:val="22"/>
                <w:highlight w:val="none"/>
              </w:rPr>
            </w:pPr>
          </w:p>
        </w:tc>
        <w:tc>
          <w:tcPr>
            <w:tcW w:w="1188" w:type="dxa"/>
          </w:tcPr>
          <w:p w14:paraId="60A1F949">
            <w:pPr>
              <w:rPr>
                <w:rFonts w:ascii="宋体" w:hAnsi="宋体"/>
                <w:color w:val="auto"/>
                <w:sz w:val="22"/>
                <w:szCs w:val="22"/>
                <w:highlight w:val="none"/>
              </w:rPr>
            </w:pPr>
          </w:p>
        </w:tc>
      </w:tr>
    </w:tbl>
    <w:p w14:paraId="492A7801">
      <w:pPr>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2 3.2 监理人员出勤要求</w:t>
      </w:r>
    </w:p>
    <w:p w14:paraId="30B4570C">
      <w:pPr>
        <w:spacing w:line="44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(1)总监理工程师每周出勤不得少于6天，如需请假须事先征得委托人代表的同意。否则，每少出勤1天，监理人应向委托人支付1000元的违约金。 </w:t>
      </w:r>
    </w:p>
    <w:p w14:paraId="665B2794">
      <w:pPr>
        <w:spacing w:line="44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(2)其他监理人员每周出勤不得少于6天，如需请假须事先征得委托人代表的同意。否则，每少出勤1天，监理人应向委托人支付500元的违约金。</w:t>
      </w:r>
    </w:p>
    <w:p w14:paraId="12AC240A">
      <w:pPr>
        <w:spacing w:line="44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注：周六周日或法定节假日均需安排人员到岗。每天现场必须保证至少</w:t>
      </w:r>
      <w:r>
        <w:rPr>
          <w:rFonts w:hint="eastAsia" w:ascii="宋体" w:hAnsi="宋体" w:cs="宋体"/>
          <w:b/>
          <w:bCs/>
          <w:color w:val="auto"/>
          <w:sz w:val="22"/>
          <w:szCs w:val="22"/>
          <w:highlight w:val="none"/>
          <w:lang w:val="en-US" w:eastAsia="zh-CN"/>
        </w:rPr>
        <w:t>两名监理人员</w:t>
      </w:r>
      <w:r>
        <w:rPr>
          <w:rFonts w:hint="eastAsia" w:ascii="宋体" w:hAnsi="宋体" w:cs="宋体"/>
          <w:b/>
          <w:bCs/>
          <w:color w:val="auto"/>
          <w:sz w:val="22"/>
          <w:szCs w:val="22"/>
          <w:highlight w:val="none"/>
        </w:rPr>
        <w:t>到岗。</w:t>
      </w:r>
    </w:p>
    <w:p w14:paraId="7CB051FE">
      <w:pPr>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 2.3.</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更换监理人员的其他情形: 投标书中明确的监理机构主要成员须常驻现场，未经委托人同意不得更换总监及监理机构人员。监理机构的任何成员变动，均须得到委托人书面认可，未经委托人同意，不得更换或减少监理人员。如擅自变更，总监理工程师每更换一次，监理人向委托人支付违约金5000元；监理员每更换一次，监理人向委托人支付违约金1000元。</w:t>
      </w:r>
    </w:p>
    <w:p w14:paraId="2489D0A4">
      <w:pPr>
        <w:widowControl/>
        <w:adjustRightInd w:val="0"/>
        <w:spacing w:line="440" w:lineRule="exact"/>
        <w:ind w:firstLine="0" w:firstLineChars="0"/>
        <w:jc w:val="left"/>
        <w:rPr>
          <w:rFonts w:ascii="宋体" w:hAnsi="宋体" w:cs="宋体"/>
          <w:color w:val="auto"/>
          <w:sz w:val="22"/>
          <w:szCs w:val="22"/>
          <w:highlight w:val="none"/>
          <w:u w:val="single"/>
        </w:rPr>
      </w:pPr>
      <w:r>
        <w:rPr>
          <w:rFonts w:hint="eastAsia"/>
          <w:color w:val="auto"/>
          <w:highlight w:val="none"/>
          <w:lang w:val="en-US" w:eastAsia="zh-CN"/>
        </w:rPr>
        <w:t xml:space="preserve">  </w:t>
      </w:r>
      <w:r>
        <w:rPr>
          <w:rFonts w:hint="eastAsia" w:ascii="宋体" w:hAnsi="宋体" w:cs="宋体"/>
          <w:color w:val="auto"/>
          <w:sz w:val="22"/>
          <w:szCs w:val="22"/>
          <w:highlight w:val="none"/>
          <w:u w:val="single"/>
        </w:rPr>
        <w:t>（1）若委托人在监理工作过程中发现总监不能胜任该职务，则委托人有权要求监理人更换总监工程师，直至通过委托人认可，所换总监工程师的资质及业绩条件必须等同于或高于原总监工程师，且必须支付委托人违约金5000元/人次。</w:t>
      </w:r>
    </w:p>
    <w:p w14:paraId="7163571E">
      <w:pPr>
        <w:widowControl/>
        <w:spacing w:line="44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2）若委托人在监理工作过程中发现监理人员（不含总监）不能胜任监理工作（委托人对其监理工作不认可、不满意），则委托人有权要求监理方更换监理人员，直至通过委托人认可，且必须支付委托人违约金1000元/人次。</w:t>
      </w:r>
    </w:p>
    <w:p w14:paraId="4D29A0E4">
      <w:pPr>
        <w:spacing w:line="440" w:lineRule="exact"/>
        <w:ind w:firstLine="550" w:firstLineChars="25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（3）监理人在监理过程中应严格遵循监理职业道德，当发现下列任一情况，委托人有权向监理人提出调换监理人员的要求，且发生一次，由监理人向委托人支付违约金（同2.3.</w:t>
      </w:r>
      <w:r>
        <w:rPr>
          <w:rFonts w:hint="eastAsia" w:ascii="宋体" w:hAnsi="宋体" w:cs="宋体"/>
          <w:color w:val="auto"/>
          <w:sz w:val="22"/>
          <w:szCs w:val="22"/>
          <w:highlight w:val="none"/>
          <w:u w:val="single"/>
          <w:lang w:val="en-US" w:eastAsia="zh-CN"/>
        </w:rPr>
        <w:t>3</w:t>
      </w:r>
      <w:r>
        <w:rPr>
          <w:rFonts w:hint="eastAsia" w:ascii="宋体" w:hAnsi="宋体" w:cs="宋体"/>
          <w:color w:val="auto"/>
          <w:sz w:val="22"/>
          <w:szCs w:val="22"/>
          <w:highlight w:val="none"/>
          <w:u w:val="single"/>
        </w:rPr>
        <w:t>），另视情节严重处罚500—2000元，直至解除本合同：</w:t>
      </w:r>
    </w:p>
    <w:p w14:paraId="22561CCA">
      <w:pPr>
        <w:spacing w:line="440" w:lineRule="exact"/>
        <w:ind w:left="48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A、监理人员资历和能力不足以胜任所承担的职责时；</w:t>
      </w:r>
    </w:p>
    <w:p w14:paraId="13CFFBBB">
      <w:pPr>
        <w:spacing w:line="440" w:lineRule="exact"/>
        <w:ind w:left="48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B、驻现场监理人员不履行职责或履行职责不力时；</w:t>
      </w:r>
    </w:p>
    <w:p w14:paraId="2E8D64F4">
      <w:pPr>
        <w:spacing w:line="440" w:lineRule="exact"/>
        <w:ind w:left="48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C、监理人员的行为有损于监理工作应坚持的科学性和廉洁性时；</w:t>
      </w:r>
    </w:p>
    <w:p w14:paraId="0FA62DE9">
      <w:pPr>
        <w:spacing w:line="440" w:lineRule="exact"/>
        <w:ind w:left="48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D、监理人或监理人员与承包人发生合伙经营关系时；</w:t>
      </w:r>
    </w:p>
    <w:p w14:paraId="5551E830">
      <w:pPr>
        <w:spacing w:line="440" w:lineRule="exact"/>
        <w:ind w:left="48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E、接受承包人请吃或娱乐活动；</w:t>
      </w:r>
    </w:p>
    <w:p w14:paraId="387807DE">
      <w:pPr>
        <w:spacing w:line="440" w:lineRule="exact"/>
        <w:ind w:left="48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F、向承包人介绍施工作业人员；</w:t>
      </w:r>
    </w:p>
    <w:p w14:paraId="2757D97A">
      <w:pPr>
        <w:spacing w:line="440" w:lineRule="exact"/>
        <w:ind w:left="48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G、向承包人介绍材料供应商；</w:t>
      </w:r>
    </w:p>
    <w:p w14:paraId="277CDCB9">
      <w:pPr>
        <w:spacing w:line="440" w:lineRule="exact"/>
        <w:ind w:left="48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H、扬尘管控不力;</w:t>
      </w:r>
    </w:p>
    <w:p w14:paraId="0550125D">
      <w:pPr>
        <w:spacing w:line="440" w:lineRule="exact"/>
        <w:ind w:left="48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 xml:space="preserve">J、安全文明施工管控不力; </w:t>
      </w:r>
    </w:p>
    <w:p w14:paraId="7380DEC8">
      <w:pPr>
        <w:spacing w:line="440" w:lineRule="exact"/>
        <w:ind w:left="48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K、监督农民工四项制度落实不到位。</w:t>
      </w:r>
    </w:p>
    <w:p w14:paraId="1A6D4A54">
      <w:pPr>
        <w:spacing w:line="440" w:lineRule="exact"/>
        <w:ind w:firstLine="215" w:firstLineChars="98"/>
        <w:rPr>
          <w:rFonts w:ascii="宋体" w:hAnsi="宋体" w:cs="宋体"/>
          <w:color w:val="auto"/>
          <w:sz w:val="22"/>
          <w:szCs w:val="22"/>
          <w:highlight w:val="none"/>
        </w:rPr>
      </w:pPr>
      <w:r>
        <w:rPr>
          <w:rFonts w:hint="eastAsia" w:ascii="宋体" w:hAnsi="宋体" w:cs="宋体"/>
          <w:color w:val="auto"/>
          <w:sz w:val="22"/>
          <w:szCs w:val="22"/>
          <w:highlight w:val="none"/>
        </w:rPr>
        <w:t xml:space="preserve">2.4 </w:t>
      </w:r>
      <w:r>
        <w:rPr>
          <w:rFonts w:hint="eastAsia" w:ascii="宋体" w:hAnsi="宋体" w:cs="宋体"/>
          <w:color w:val="auto"/>
          <w:kern w:val="0"/>
          <w:sz w:val="22"/>
          <w:szCs w:val="22"/>
          <w:highlight w:val="none"/>
        </w:rPr>
        <w:t>履行职责</w:t>
      </w:r>
    </w:p>
    <w:p w14:paraId="16F98297">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2.4.1 对监理人的授权范围：</w:t>
      </w:r>
      <w:r>
        <w:rPr>
          <w:rFonts w:hint="eastAsia" w:ascii="宋体" w:hAnsi="宋体" w:cs="宋体"/>
          <w:color w:val="auto"/>
          <w:sz w:val="22"/>
          <w:szCs w:val="22"/>
          <w:highlight w:val="none"/>
          <w:u w:val="single"/>
        </w:rPr>
        <w:t xml:space="preserve">对本工程质量、进度、投资、安全四大控制，对安全生产、文明施工、信息管理、组织协调施工现场和各方关系，以及《委托监理合同》内发包人委托的职权。 </w:t>
      </w:r>
      <w:r>
        <w:rPr>
          <w:rFonts w:hint="eastAsia" w:ascii="宋体" w:hAnsi="宋体" w:cs="宋体"/>
          <w:color w:val="auto"/>
          <w:sz w:val="22"/>
          <w:szCs w:val="22"/>
          <w:highlight w:val="none"/>
        </w:rPr>
        <w:t>需要取得发包人批准才能行使的职权：</w:t>
      </w:r>
      <w:r>
        <w:rPr>
          <w:rFonts w:hint="eastAsia" w:ascii="宋体" w:hAnsi="宋体" w:cs="宋体"/>
          <w:color w:val="auto"/>
          <w:sz w:val="22"/>
          <w:szCs w:val="22"/>
          <w:highlight w:val="none"/>
          <w:u w:val="single"/>
        </w:rPr>
        <w:t>工程开工令、停工令、工程款支付、工程量签证以及其他超出发包人授权之外的职权</w:t>
      </w:r>
      <w:r>
        <w:rPr>
          <w:rFonts w:hint="eastAsia" w:ascii="宋体" w:hAnsi="宋体" w:cs="宋体"/>
          <w:color w:val="auto"/>
          <w:sz w:val="22"/>
          <w:szCs w:val="22"/>
          <w:highlight w:val="none"/>
        </w:rPr>
        <w:t>。</w:t>
      </w:r>
    </w:p>
    <w:p w14:paraId="4B859A0F">
      <w:pPr>
        <w:adjustRightInd w:val="0"/>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在涉及工程延期</w:t>
      </w:r>
      <w:r>
        <w:rPr>
          <w:rFonts w:hint="eastAsia" w:ascii="宋体" w:hAnsi="宋体" w:cs="宋体"/>
          <w:color w:val="auto"/>
          <w:kern w:val="0"/>
          <w:sz w:val="22"/>
          <w:szCs w:val="22"/>
          <w:highlight w:val="none"/>
          <w:u w:val="single"/>
        </w:rPr>
        <w:t>及图纸</w:t>
      </w:r>
      <w:r>
        <w:rPr>
          <w:rFonts w:hint="eastAsia" w:ascii="宋体" w:hAnsi="宋体" w:cs="宋体"/>
          <w:color w:val="auto"/>
          <w:kern w:val="0"/>
          <w:sz w:val="22"/>
          <w:szCs w:val="22"/>
          <w:highlight w:val="none"/>
        </w:rPr>
        <w:t>的变更，监理人须征得委托人同意。</w:t>
      </w:r>
    </w:p>
    <w:p w14:paraId="3C959693">
      <w:pPr>
        <w:adjustRightInd w:val="0"/>
        <w:spacing w:line="440" w:lineRule="exact"/>
        <w:ind w:firstLine="330" w:firstLineChars="150"/>
        <w:rPr>
          <w:rFonts w:ascii="宋体" w:hAnsi="宋体" w:cs="宋体"/>
          <w:color w:val="auto"/>
          <w:sz w:val="22"/>
          <w:szCs w:val="22"/>
          <w:highlight w:val="none"/>
        </w:rPr>
      </w:pPr>
      <w:r>
        <w:rPr>
          <w:rFonts w:hint="eastAsia" w:ascii="宋体" w:hAnsi="宋体" w:cs="宋体"/>
          <w:color w:val="auto"/>
          <w:kern w:val="0"/>
          <w:sz w:val="22"/>
          <w:szCs w:val="22"/>
          <w:highlight w:val="none"/>
        </w:rPr>
        <w:t>2.4.2 监理人有权要求承包人调换其人员</w:t>
      </w:r>
      <w:r>
        <w:rPr>
          <w:rFonts w:hint="eastAsia" w:ascii="宋体" w:hAnsi="宋体" w:cs="宋体"/>
          <w:color w:val="auto"/>
          <w:sz w:val="22"/>
          <w:szCs w:val="22"/>
          <w:highlight w:val="none"/>
        </w:rPr>
        <w:t>的限制条件：</w:t>
      </w:r>
      <w:r>
        <w:rPr>
          <w:rFonts w:hint="eastAsia" w:ascii="宋体" w:hAnsi="宋体" w:cs="宋体"/>
          <w:color w:val="auto"/>
          <w:sz w:val="22"/>
          <w:szCs w:val="22"/>
          <w:highlight w:val="none"/>
          <w:u w:val="single"/>
        </w:rPr>
        <w:t>须经发包人同意</w:t>
      </w:r>
      <w:r>
        <w:rPr>
          <w:rFonts w:hint="eastAsia" w:ascii="宋体" w:hAnsi="宋体" w:cs="宋体"/>
          <w:color w:val="auto"/>
          <w:sz w:val="22"/>
          <w:szCs w:val="22"/>
          <w:highlight w:val="none"/>
        </w:rPr>
        <w:t xml:space="preserve">。  </w:t>
      </w:r>
    </w:p>
    <w:p w14:paraId="434B2358">
      <w:pPr>
        <w:adjustRightInd w:val="0"/>
        <w:spacing w:line="440" w:lineRule="exact"/>
        <w:ind w:firstLine="110" w:firstLineChars="50"/>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2.5 </w:t>
      </w:r>
      <w:r>
        <w:rPr>
          <w:rFonts w:hint="eastAsia" w:ascii="宋体" w:hAnsi="宋体" w:cs="宋体"/>
          <w:color w:val="auto"/>
          <w:sz w:val="22"/>
          <w:szCs w:val="22"/>
          <w:highlight w:val="none"/>
        </w:rPr>
        <w:t>提交</w:t>
      </w:r>
      <w:r>
        <w:rPr>
          <w:rFonts w:hint="eastAsia" w:ascii="宋体" w:hAnsi="宋体" w:cs="宋体"/>
          <w:color w:val="auto"/>
          <w:kern w:val="0"/>
          <w:sz w:val="22"/>
          <w:szCs w:val="22"/>
          <w:highlight w:val="none"/>
        </w:rPr>
        <w:t>报告</w:t>
      </w:r>
    </w:p>
    <w:p w14:paraId="4DAE88D6">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监理人应提交报告的种类(</w:t>
      </w:r>
      <w:r>
        <w:rPr>
          <w:rFonts w:hint="eastAsia" w:ascii="宋体" w:hAnsi="宋体" w:cs="宋体"/>
          <w:color w:val="auto"/>
          <w:kern w:val="0"/>
          <w:sz w:val="22"/>
          <w:szCs w:val="22"/>
          <w:highlight w:val="none"/>
        </w:rPr>
        <w:t>包括监理规划、监理月报及约定的专项报告)</w:t>
      </w:r>
      <w:r>
        <w:rPr>
          <w:rFonts w:hint="eastAsia" w:ascii="宋体" w:hAnsi="宋体" w:cs="宋体"/>
          <w:color w:val="auto"/>
          <w:sz w:val="22"/>
          <w:szCs w:val="22"/>
          <w:highlight w:val="none"/>
        </w:rPr>
        <w:t>、时间和份数</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u w:val="single"/>
        </w:rPr>
        <w:t>监理规划在开工前5天，监理月报在</w:t>
      </w:r>
      <w:r>
        <w:rPr>
          <w:rFonts w:hint="eastAsia" w:ascii="宋体" w:hAnsi="宋体" w:cs="宋体"/>
          <w:color w:val="auto"/>
          <w:sz w:val="22"/>
          <w:szCs w:val="22"/>
          <w:highlight w:val="none"/>
          <w:u w:val="single"/>
        </w:rPr>
        <w:t>每月10日前，</w:t>
      </w:r>
      <w:r>
        <w:rPr>
          <w:rFonts w:hint="eastAsia" w:ascii="宋体" w:hAnsi="宋体" w:cs="宋体"/>
          <w:color w:val="auto"/>
          <w:kern w:val="0"/>
          <w:sz w:val="22"/>
          <w:szCs w:val="22"/>
          <w:highlight w:val="none"/>
          <w:u w:val="single"/>
        </w:rPr>
        <w:t>约定的专项报告及其他内容须在委托人要求的时间内，份数：5份</w:t>
      </w:r>
      <w:r>
        <w:rPr>
          <w:rFonts w:hint="eastAsia" w:ascii="宋体" w:hAnsi="宋体" w:cs="宋体"/>
          <w:color w:val="auto"/>
          <w:sz w:val="22"/>
          <w:szCs w:val="22"/>
          <w:highlight w:val="none"/>
        </w:rPr>
        <w:t>。</w:t>
      </w:r>
    </w:p>
    <w:p w14:paraId="544C8030">
      <w:pPr>
        <w:adjustRightInd w:val="0"/>
        <w:spacing w:line="440" w:lineRule="exact"/>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未按时提交上述资料，监理人应向委托人支付违约金</w:t>
      </w:r>
      <w:r>
        <w:rPr>
          <w:rFonts w:hint="eastAsia" w:ascii="宋体" w:hAnsi="宋体" w:cs="宋体"/>
          <w:color w:val="auto"/>
          <w:sz w:val="22"/>
          <w:szCs w:val="22"/>
          <w:highlight w:val="none"/>
          <w:u w:val="single"/>
        </w:rPr>
        <w:t>500</w:t>
      </w:r>
      <w:r>
        <w:rPr>
          <w:rFonts w:hint="eastAsia" w:ascii="宋体" w:hAnsi="宋体" w:cs="宋体"/>
          <w:color w:val="auto"/>
          <w:sz w:val="22"/>
          <w:szCs w:val="22"/>
          <w:highlight w:val="none"/>
        </w:rPr>
        <w:t>元/次。</w:t>
      </w:r>
    </w:p>
    <w:p w14:paraId="65C0C75E">
      <w:pPr>
        <w:spacing w:line="44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2.6 使用委托人的财产</w:t>
      </w:r>
    </w:p>
    <w:p w14:paraId="4C91B051">
      <w:pPr>
        <w:spacing w:line="440" w:lineRule="exact"/>
        <w:rPr>
          <w:rFonts w:ascii="宋体" w:hAnsi="宋体" w:cs="宋体"/>
          <w:color w:val="auto"/>
          <w:kern w:val="0"/>
          <w:sz w:val="22"/>
          <w:szCs w:val="22"/>
          <w:highlight w:val="none"/>
        </w:rPr>
      </w:pPr>
      <w:r>
        <w:rPr>
          <w:rFonts w:hint="eastAsia" w:ascii="宋体" w:hAnsi="宋体" w:cs="宋体"/>
          <w:color w:val="auto"/>
          <w:sz w:val="22"/>
          <w:szCs w:val="22"/>
          <w:highlight w:val="none"/>
        </w:rPr>
        <w:t>附录B中由委托人无偿提供的房屋、设备的所有权属于：</w:t>
      </w:r>
      <w:r>
        <w:rPr>
          <w:rFonts w:hint="eastAsia" w:ascii="宋体" w:hAnsi="宋体" w:cs="宋体"/>
          <w:color w:val="auto"/>
          <w:sz w:val="22"/>
          <w:szCs w:val="22"/>
          <w:highlight w:val="none"/>
          <w:u w:val="single"/>
        </w:rPr>
        <w:t xml:space="preserve">  委托人   </w:t>
      </w:r>
      <w:r>
        <w:rPr>
          <w:rFonts w:hint="eastAsia" w:ascii="宋体" w:hAnsi="宋体" w:cs="宋体"/>
          <w:color w:val="auto"/>
          <w:sz w:val="22"/>
          <w:szCs w:val="22"/>
          <w:highlight w:val="none"/>
        </w:rPr>
        <w:t>。</w:t>
      </w:r>
    </w:p>
    <w:p w14:paraId="4EB188E9">
      <w:pPr>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sz w:val="22"/>
          <w:szCs w:val="22"/>
          <w:highlight w:val="none"/>
        </w:rPr>
        <w:t>监理人应在本合同终止后</w:t>
      </w:r>
      <w:r>
        <w:rPr>
          <w:rFonts w:hint="eastAsia" w:ascii="宋体" w:hAnsi="宋体" w:cs="宋体"/>
          <w:color w:val="auto"/>
          <w:sz w:val="22"/>
          <w:szCs w:val="22"/>
          <w:highlight w:val="none"/>
          <w:u w:val="single"/>
        </w:rPr>
        <w:t xml:space="preserve">  5 </w:t>
      </w:r>
      <w:r>
        <w:rPr>
          <w:rFonts w:hint="eastAsia" w:ascii="宋体" w:hAnsi="宋体" w:cs="宋体"/>
          <w:color w:val="auto"/>
          <w:sz w:val="22"/>
          <w:szCs w:val="22"/>
          <w:highlight w:val="none"/>
        </w:rPr>
        <w:t>天内移交委托人无偿提供的房屋、设备，移交的时间和方式为：</w:t>
      </w:r>
      <w:r>
        <w:rPr>
          <w:rFonts w:hint="eastAsia" w:ascii="宋体" w:hAnsi="宋体" w:cs="宋体"/>
          <w:color w:val="auto"/>
          <w:sz w:val="22"/>
          <w:szCs w:val="22"/>
          <w:highlight w:val="none"/>
          <w:u w:val="single"/>
        </w:rPr>
        <w:t xml:space="preserve"> 由委托人当场验收</w:t>
      </w:r>
      <w:r>
        <w:rPr>
          <w:rFonts w:hint="eastAsia" w:ascii="宋体" w:hAnsi="宋体" w:cs="宋体"/>
          <w:color w:val="auto"/>
          <w:sz w:val="22"/>
          <w:szCs w:val="22"/>
          <w:highlight w:val="none"/>
        </w:rPr>
        <w:t>。</w:t>
      </w:r>
    </w:p>
    <w:p w14:paraId="618F076B">
      <w:pPr>
        <w:pStyle w:val="4"/>
        <w:spacing w:line="440" w:lineRule="exact"/>
        <w:rPr>
          <w:rFonts w:ascii="宋体" w:hAnsi="宋体" w:eastAsia="宋体" w:cs="宋体"/>
          <w:color w:val="auto"/>
          <w:sz w:val="22"/>
          <w:szCs w:val="22"/>
          <w:highlight w:val="none"/>
        </w:rPr>
      </w:pPr>
      <w:bookmarkStart w:id="170" w:name="_Toc22957"/>
      <w:bookmarkStart w:id="171" w:name="_Toc9194608"/>
      <w:bookmarkStart w:id="172" w:name="_Toc398111704"/>
      <w:r>
        <w:rPr>
          <w:rFonts w:hint="eastAsia" w:ascii="宋体" w:hAnsi="宋体" w:eastAsia="宋体" w:cs="宋体"/>
          <w:color w:val="auto"/>
          <w:sz w:val="22"/>
          <w:szCs w:val="22"/>
          <w:highlight w:val="none"/>
        </w:rPr>
        <w:t>3. 委托人义务</w:t>
      </w:r>
      <w:bookmarkEnd w:id="170"/>
      <w:bookmarkEnd w:id="171"/>
      <w:bookmarkEnd w:id="172"/>
    </w:p>
    <w:p w14:paraId="0744E78F">
      <w:pPr>
        <w:spacing w:line="440" w:lineRule="exact"/>
        <w:rPr>
          <w:rFonts w:ascii="宋体" w:hAnsi="宋体" w:cs="宋体"/>
          <w:color w:val="auto"/>
          <w:sz w:val="22"/>
          <w:szCs w:val="22"/>
          <w:highlight w:val="none"/>
        </w:rPr>
      </w:pPr>
      <w:r>
        <w:rPr>
          <w:rFonts w:hint="eastAsia" w:ascii="宋体" w:hAnsi="宋体" w:cs="宋体"/>
          <w:color w:val="auto"/>
          <w:kern w:val="0"/>
          <w:sz w:val="22"/>
          <w:szCs w:val="22"/>
          <w:highlight w:val="none"/>
        </w:rPr>
        <w:t>3.1 委托人代表</w:t>
      </w:r>
    </w:p>
    <w:p w14:paraId="13087628">
      <w:pPr>
        <w:adjustRightInd w:val="0"/>
        <w:spacing w:line="440" w:lineRule="exact"/>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委托人代表为：。</w:t>
      </w:r>
    </w:p>
    <w:p w14:paraId="19A24F5B">
      <w:pPr>
        <w:adjustRightInd w:val="0"/>
        <w:spacing w:line="440" w:lineRule="exact"/>
        <w:ind w:firstLine="215" w:firstLineChars="98"/>
        <w:rPr>
          <w:rFonts w:ascii="宋体" w:hAnsi="宋体" w:cs="宋体"/>
          <w:color w:val="auto"/>
          <w:kern w:val="0"/>
          <w:sz w:val="22"/>
          <w:szCs w:val="22"/>
          <w:highlight w:val="none"/>
        </w:rPr>
      </w:pPr>
      <w:r>
        <w:rPr>
          <w:rFonts w:hint="eastAsia" w:ascii="宋体" w:hAnsi="宋体" w:cs="宋体"/>
          <w:color w:val="auto"/>
          <w:kern w:val="0"/>
          <w:sz w:val="22"/>
          <w:szCs w:val="22"/>
          <w:highlight w:val="none"/>
        </w:rPr>
        <w:t>3.2 答复</w:t>
      </w:r>
    </w:p>
    <w:p w14:paraId="33A54720">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委托人同意在</w:t>
      </w:r>
      <w:r>
        <w:rPr>
          <w:rFonts w:hint="eastAsia" w:ascii="宋体" w:hAnsi="宋体" w:cs="宋体"/>
          <w:color w:val="auto"/>
          <w:sz w:val="22"/>
          <w:szCs w:val="22"/>
          <w:highlight w:val="none"/>
          <w:u w:val="single"/>
        </w:rPr>
        <w:t xml:space="preserve">  7  </w:t>
      </w:r>
      <w:r>
        <w:rPr>
          <w:rFonts w:hint="eastAsia" w:ascii="宋体" w:hAnsi="宋体" w:cs="宋体"/>
          <w:color w:val="auto"/>
          <w:sz w:val="22"/>
          <w:szCs w:val="22"/>
          <w:highlight w:val="none"/>
        </w:rPr>
        <w:t>天内，对监理人书面提交并要求做出决定的事宜给予书面答复。</w:t>
      </w:r>
    </w:p>
    <w:p w14:paraId="6AF86D9A">
      <w:pPr>
        <w:pStyle w:val="4"/>
        <w:spacing w:line="440" w:lineRule="exact"/>
        <w:rPr>
          <w:rFonts w:ascii="宋体" w:hAnsi="宋体" w:eastAsia="宋体" w:cs="宋体"/>
          <w:color w:val="auto"/>
          <w:sz w:val="22"/>
          <w:szCs w:val="22"/>
          <w:highlight w:val="none"/>
        </w:rPr>
      </w:pPr>
      <w:bookmarkStart w:id="173" w:name="_Toc398111705"/>
      <w:bookmarkStart w:id="174" w:name="_Toc11945"/>
      <w:bookmarkStart w:id="175" w:name="_Toc9194609"/>
      <w:r>
        <w:rPr>
          <w:rFonts w:hint="eastAsia" w:ascii="宋体" w:hAnsi="宋体" w:eastAsia="宋体" w:cs="宋体"/>
          <w:color w:val="auto"/>
          <w:sz w:val="22"/>
          <w:szCs w:val="22"/>
          <w:highlight w:val="none"/>
        </w:rPr>
        <w:t>4. 违约责任</w:t>
      </w:r>
      <w:bookmarkEnd w:id="173"/>
      <w:bookmarkEnd w:id="174"/>
      <w:bookmarkEnd w:id="175"/>
    </w:p>
    <w:p w14:paraId="3410381E">
      <w:pPr>
        <w:spacing w:line="440" w:lineRule="exact"/>
        <w:ind w:left="210" w:left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4.1 监理人的违约责任</w:t>
      </w:r>
    </w:p>
    <w:p w14:paraId="133660A6">
      <w:pPr>
        <w:adjustRightInd w:val="0"/>
        <w:spacing w:line="440" w:lineRule="exact"/>
        <w:ind w:firstLine="440" w:firstLineChars="20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4.1.1监理人赔偿金额按下列方法确定：</w:t>
      </w:r>
      <w:r>
        <w:rPr>
          <w:rFonts w:hint="eastAsia" w:ascii="宋体" w:hAnsi="宋体" w:cs="宋体"/>
          <w:color w:val="auto"/>
          <w:kern w:val="0"/>
          <w:sz w:val="22"/>
          <w:szCs w:val="22"/>
          <w:highlight w:val="none"/>
          <w:u w:val="single"/>
        </w:rPr>
        <w:t>/</w:t>
      </w:r>
    </w:p>
    <w:p w14:paraId="0CE891CC">
      <w:pPr>
        <w:spacing w:line="440" w:lineRule="exact"/>
        <w:ind w:firstLine="220" w:firstLine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4.2 委托人的违约责任</w:t>
      </w:r>
    </w:p>
    <w:p w14:paraId="40B320D3">
      <w:pPr>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sz w:val="22"/>
          <w:szCs w:val="22"/>
          <w:highlight w:val="none"/>
        </w:rPr>
        <w:t>4.2.1 委托人</w:t>
      </w:r>
      <w:r>
        <w:rPr>
          <w:rFonts w:hint="eastAsia" w:ascii="宋体" w:hAnsi="宋体" w:cs="宋体"/>
          <w:color w:val="auto"/>
          <w:kern w:val="0"/>
          <w:sz w:val="22"/>
          <w:szCs w:val="22"/>
          <w:highlight w:val="none"/>
        </w:rPr>
        <w:t>逾期付款利息按下列方法确定：</w:t>
      </w:r>
      <w:bookmarkStart w:id="176" w:name="_Toc18123"/>
      <w:bookmarkStart w:id="177" w:name="_Toc398111706"/>
      <w:r>
        <w:rPr>
          <w:rFonts w:hint="eastAsia" w:ascii="宋体" w:hAnsi="宋体" w:cs="宋体"/>
          <w:color w:val="auto"/>
          <w:kern w:val="0"/>
          <w:sz w:val="22"/>
          <w:szCs w:val="22"/>
          <w:highlight w:val="none"/>
          <w:u w:val="single"/>
        </w:rPr>
        <w:t>不计</w:t>
      </w:r>
      <w:r>
        <w:rPr>
          <w:rFonts w:hint="eastAsia" w:ascii="宋体" w:hAnsi="宋体" w:cs="宋体"/>
          <w:color w:val="auto"/>
          <w:kern w:val="0"/>
          <w:sz w:val="22"/>
          <w:szCs w:val="22"/>
          <w:highlight w:val="none"/>
        </w:rPr>
        <w:t>。</w:t>
      </w:r>
    </w:p>
    <w:p w14:paraId="30D6359A">
      <w:pPr>
        <w:pStyle w:val="4"/>
        <w:spacing w:line="440" w:lineRule="exact"/>
        <w:rPr>
          <w:rFonts w:ascii="宋体" w:hAnsi="宋体" w:eastAsia="宋体" w:cs="宋体"/>
          <w:color w:val="auto"/>
          <w:sz w:val="22"/>
          <w:szCs w:val="22"/>
          <w:highlight w:val="none"/>
        </w:rPr>
      </w:pPr>
      <w:bookmarkStart w:id="178" w:name="_Toc9194610"/>
      <w:r>
        <w:rPr>
          <w:rFonts w:hint="eastAsia" w:ascii="宋体" w:hAnsi="宋体" w:eastAsia="宋体" w:cs="宋体"/>
          <w:color w:val="auto"/>
          <w:sz w:val="22"/>
          <w:szCs w:val="22"/>
          <w:highlight w:val="none"/>
        </w:rPr>
        <w:t>5. 支付</w:t>
      </w:r>
      <w:bookmarkEnd w:id="176"/>
      <w:bookmarkEnd w:id="177"/>
      <w:bookmarkEnd w:id="178"/>
    </w:p>
    <w:p w14:paraId="61B742C1">
      <w:pPr>
        <w:spacing w:line="440" w:lineRule="exact"/>
        <w:rPr>
          <w:rFonts w:ascii="宋体" w:hAnsi="宋体" w:cs="宋体"/>
          <w:bCs/>
          <w:color w:val="auto"/>
          <w:sz w:val="22"/>
          <w:szCs w:val="22"/>
          <w:highlight w:val="none"/>
        </w:rPr>
      </w:pPr>
      <w:r>
        <w:rPr>
          <w:rFonts w:hint="eastAsia" w:ascii="宋体" w:hAnsi="宋体" w:cs="宋体"/>
          <w:color w:val="auto"/>
          <w:sz w:val="22"/>
          <w:szCs w:val="22"/>
          <w:highlight w:val="none"/>
        </w:rPr>
        <w:t xml:space="preserve">  5.1 </w:t>
      </w:r>
      <w:r>
        <w:rPr>
          <w:rFonts w:hint="eastAsia" w:ascii="宋体" w:hAnsi="宋体" w:cs="宋体"/>
          <w:bCs/>
          <w:color w:val="auto"/>
          <w:sz w:val="22"/>
          <w:szCs w:val="22"/>
          <w:highlight w:val="none"/>
        </w:rPr>
        <w:t>支付货币</w:t>
      </w:r>
    </w:p>
    <w:p w14:paraId="0A0A7AE9">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币种为：</w:t>
      </w:r>
      <w:r>
        <w:rPr>
          <w:rFonts w:hint="eastAsia" w:ascii="宋体" w:hAnsi="宋体" w:cs="宋体"/>
          <w:color w:val="auto"/>
          <w:sz w:val="22"/>
          <w:szCs w:val="22"/>
          <w:highlight w:val="none"/>
          <w:u w:val="single"/>
        </w:rPr>
        <w:t xml:space="preserve">  人民币    </w:t>
      </w:r>
      <w:r>
        <w:rPr>
          <w:rFonts w:hint="eastAsia" w:ascii="宋体" w:hAnsi="宋体" w:cs="宋体"/>
          <w:color w:val="auto"/>
          <w:sz w:val="22"/>
          <w:szCs w:val="22"/>
          <w:highlight w:val="none"/>
        </w:rPr>
        <w:t xml:space="preserve">。 </w:t>
      </w:r>
    </w:p>
    <w:p w14:paraId="56863831">
      <w:pPr>
        <w:spacing w:line="440" w:lineRule="exact"/>
        <w:ind w:firstLine="220" w:firstLine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5.2 支付酬金</w:t>
      </w:r>
    </w:p>
    <w:p w14:paraId="50A90159">
      <w:pPr>
        <w:spacing w:line="440" w:lineRule="exact"/>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5.2.1监理酬金：</w:t>
      </w:r>
      <w:r>
        <w:rPr>
          <w:rFonts w:hint="eastAsia" w:ascii="宋体" w:hAnsi="宋体" w:cs="宋体"/>
          <w:color w:val="auto"/>
          <w:sz w:val="22"/>
          <w:szCs w:val="22"/>
          <w:highlight w:val="none"/>
          <w:u w:val="single"/>
        </w:rPr>
        <w:t xml:space="preserve">         元</w:t>
      </w:r>
    </w:p>
    <w:p w14:paraId="156511DB">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5.2.2监理报酬支付方式：</w:t>
      </w:r>
    </w:p>
    <w:p w14:paraId="603B9693">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正常工作酬金的支付：</w:t>
      </w:r>
    </w:p>
    <w:p w14:paraId="07C35B6F">
      <w:pPr>
        <w:numPr>
          <w:ilvl w:val="0"/>
          <w:numId w:val="3"/>
        </w:num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验收合格后，支付至合同价的70%；</w:t>
      </w:r>
    </w:p>
    <w:p w14:paraId="7A654F05">
      <w:pPr>
        <w:numPr>
          <w:ilvl w:val="0"/>
          <w:numId w:val="3"/>
        </w:num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完成工程竣工结算审计结束后，监理费付至合同价90%；</w:t>
      </w:r>
    </w:p>
    <w:p w14:paraId="46CBBC80">
      <w:pPr>
        <w:numPr>
          <w:ilvl w:val="0"/>
          <w:numId w:val="3"/>
        </w:num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余款在工程质量保修期满后一次性付清（不计利息）。</w:t>
      </w:r>
    </w:p>
    <w:p w14:paraId="7C00D641">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结算监理酬金中已包含保修阶段的服务酬金。</w:t>
      </w:r>
    </w:p>
    <w:p w14:paraId="7413A82F">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每次付款前须按照增值税相关规定，由监理人填写资金拨付申请报表交委托人汇总并上报，待批准后付款，同时提供项目所在地税务部门开具的发票。</w:t>
      </w:r>
    </w:p>
    <w:p w14:paraId="5F7AA4D6">
      <w:pPr>
        <w:spacing w:line="440" w:lineRule="exact"/>
        <w:ind w:firstLine="442" w:firstLineChars="200"/>
        <w:rPr>
          <w:rFonts w:ascii="宋体" w:hAnsi="宋体" w:cs="宋体"/>
          <w:color w:val="auto"/>
          <w:sz w:val="22"/>
          <w:szCs w:val="22"/>
          <w:highlight w:val="none"/>
        </w:rPr>
      </w:pPr>
      <w:r>
        <w:rPr>
          <w:rFonts w:hint="eastAsia" w:ascii="宋体" w:hAnsi="宋体" w:cs="宋体"/>
          <w:b/>
          <w:bCs/>
          <w:color w:val="auto"/>
          <w:sz w:val="22"/>
          <w:szCs w:val="22"/>
          <w:highlight w:val="none"/>
        </w:rPr>
        <w:t>工期延长的，委托人不支付附加工作报酬</w:t>
      </w:r>
      <w:r>
        <w:rPr>
          <w:rFonts w:hint="eastAsia" w:ascii="宋体" w:hAnsi="宋体" w:cs="宋体"/>
          <w:color w:val="auto"/>
          <w:sz w:val="22"/>
          <w:szCs w:val="22"/>
          <w:highlight w:val="none"/>
        </w:rPr>
        <w:t>。</w:t>
      </w:r>
    </w:p>
    <w:p w14:paraId="7F376676">
      <w:pPr>
        <w:pStyle w:val="4"/>
        <w:spacing w:line="440" w:lineRule="exact"/>
        <w:rPr>
          <w:rFonts w:ascii="宋体" w:hAnsi="宋体" w:eastAsia="宋体" w:cs="宋体"/>
          <w:color w:val="auto"/>
          <w:sz w:val="22"/>
          <w:szCs w:val="22"/>
          <w:highlight w:val="none"/>
        </w:rPr>
      </w:pPr>
      <w:bookmarkStart w:id="179" w:name="_Toc18450"/>
      <w:bookmarkStart w:id="180" w:name="_Toc9194611"/>
      <w:bookmarkStart w:id="181" w:name="_Toc398111707"/>
      <w:r>
        <w:rPr>
          <w:rFonts w:hint="eastAsia" w:ascii="宋体" w:hAnsi="宋体" w:eastAsia="宋体" w:cs="宋体"/>
          <w:color w:val="auto"/>
          <w:sz w:val="22"/>
          <w:szCs w:val="22"/>
          <w:highlight w:val="none"/>
        </w:rPr>
        <w:t>6. 合同生效、变更、暂停、解除与终止</w:t>
      </w:r>
      <w:bookmarkEnd w:id="179"/>
      <w:bookmarkEnd w:id="180"/>
      <w:bookmarkEnd w:id="181"/>
    </w:p>
    <w:p w14:paraId="6071B01B">
      <w:pPr>
        <w:adjustRightInd w:val="0"/>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6.1 生效</w:t>
      </w:r>
    </w:p>
    <w:p w14:paraId="5303F37A">
      <w:pPr>
        <w:adjustRightInd w:val="0"/>
        <w:spacing w:line="44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本合同生效条件：</w:t>
      </w:r>
      <w:r>
        <w:rPr>
          <w:rFonts w:hint="eastAsia" w:ascii="宋体" w:hAnsi="宋体" w:cs="宋体"/>
          <w:color w:val="auto"/>
          <w:sz w:val="22"/>
          <w:szCs w:val="22"/>
          <w:highlight w:val="none"/>
          <w:u w:val="single"/>
        </w:rPr>
        <w:t>双方签字并盖章</w:t>
      </w:r>
      <w:r>
        <w:rPr>
          <w:rFonts w:hint="eastAsia" w:ascii="宋体" w:hAnsi="宋体" w:cs="宋体"/>
          <w:color w:val="auto"/>
          <w:sz w:val="22"/>
          <w:szCs w:val="22"/>
          <w:highlight w:val="none"/>
        </w:rPr>
        <w:t>。</w:t>
      </w:r>
    </w:p>
    <w:p w14:paraId="30C4D668">
      <w:pPr>
        <w:adjustRightInd w:val="0"/>
        <w:spacing w:line="440" w:lineRule="exact"/>
        <w:ind w:firstLine="215" w:firstLineChars="98"/>
        <w:rPr>
          <w:rFonts w:ascii="宋体" w:hAnsi="宋体" w:cs="宋体"/>
          <w:color w:val="auto"/>
          <w:sz w:val="22"/>
          <w:szCs w:val="22"/>
          <w:highlight w:val="none"/>
        </w:rPr>
      </w:pPr>
      <w:r>
        <w:rPr>
          <w:rFonts w:hint="eastAsia" w:ascii="宋体" w:hAnsi="宋体" w:cs="宋体"/>
          <w:color w:val="auto"/>
          <w:sz w:val="22"/>
          <w:szCs w:val="22"/>
          <w:highlight w:val="none"/>
        </w:rPr>
        <w:t>6.2 变更</w:t>
      </w:r>
    </w:p>
    <w:p w14:paraId="45CF2BBF">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6.2.1 因工程规模、监理范围的变化导致监理人的正常工作量减少时，按减少工作量的比例从协议书约定的正常工作酬金中扣减相同比例的酬金。</w:t>
      </w:r>
    </w:p>
    <w:p w14:paraId="18FEBE86">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6.2.2变更部分，委托人同意按以下的计算方法、支付时间与金额，支付额外工作报酬： 。</w:t>
      </w:r>
    </w:p>
    <w:p w14:paraId="3C8CE6A7">
      <w:pPr>
        <w:pStyle w:val="4"/>
        <w:spacing w:line="440" w:lineRule="exact"/>
        <w:rPr>
          <w:rFonts w:ascii="宋体" w:hAnsi="宋体" w:eastAsia="宋体" w:cs="宋体"/>
          <w:color w:val="auto"/>
          <w:sz w:val="22"/>
          <w:szCs w:val="22"/>
          <w:highlight w:val="none"/>
        </w:rPr>
      </w:pPr>
      <w:bookmarkStart w:id="182" w:name="_Toc31340"/>
      <w:bookmarkStart w:id="183" w:name="_Toc398111708"/>
      <w:bookmarkStart w:id="184" w:name="_Toc9194612"/>
      <w:r>
        <w:rPr>
          <w:rFonts w:hint="eastAsia" w:ascii="宋体" w:hAnsi="宋体" w:eastAsia="宋体" w:cs="宋体"/>
          <w:color w:val="auto"/>
          <w:sz w:val="22"/>
          <w:szCs w:val="22"/>
          <w:highlight w:val="none"/>
        </w:rPr>
        <w:t>7. 争议解决</w:t>
      </w:r>
      <w:bookmarkEnd w:id="182"/>
      <w:bookmarkEnd w:id="183"/>
      <w:bookmarkEnd w:id="184"/>
    </w:p>
    <w:p w14:paraId="209388E7">
      <w:pPr>
        <w:spacing w:line="440" w:lineRule="exact"/>
        <w:ind w:firstLine="215" w:firstLineChars="98"/>
        <w:rPr>
          <w:rFonts w:ascii="宋体" w:hAnsi="宋体" w:cs="宋体"/>
          <w:color w:val="auto"/>
          <w:sz w:val="22"/>
          <w:szCs w:val="22"/>
          <w:highlight w:val="none"/>
        </w:rPr>
      </w:pPr>
      <w:r>
        <w:rPr>
          <w:rFonts w:hint="eastAsia" w:ascii="宋体" w:hAnsi="宋体" w:cs="宋体"/>
          <w:color w:val="auto"/>
          <w:sz w:val="22"/>
          <w:szCs w:val="22"/>
          <w:highlight w:val="none"/>
        </w:rPr>
        <w:t xml:space="preserve">7.1 </w:t>
      </w:r>
      <w:r>
        <w:rPr>
          <w:rFonts w:hint="eastAsia" w:ascii="宋体" w:hAnsi="宋体" w:cs="宋体"/>
          <w:bCs/>
          <w:color w:val="auto"/>
          <w:sz w:val="22"/>
          <w:szCs w:val="22"/>
          <w:highlight w:val="none"/>
        </w:rPr>
        <w:t>调解</w:t>
      </w:r>
    </w:p>
    <w:p w14:paraId="6EC8FD61">
      <w:pPr>
        <w:spacing w:line="440" w:lineRule="exact"/>
        <w:ind w:firstLine="431" w:firstLineChars="196"/>
        <w:rPr>
          <w:rFonts w:ascii="宋体" w:hAnsi="宋体" w:cs="宋体"/>
          <w:color w:val="auto"/>
          <w:sz w:val="22"/>
          <w:szCs w:val="22"/>
          <w:highlight w:val="none"/>
        </w:rPr>
      </w:pPr>
      <w:r>
        <w:rPr>
          <w:rFonts w:hint="eastAsia" w:ascii="宋体" w:hAnsi="宋体" w:cs="宋体"/>
          <w:color w:val="auto"/>
          <w:sz w:val="22"/>
          <w:szCs w:val="22"/>
          <w:highlight w:val="none"/>
        </w:rPr>
        <w:t>本合同争议进行调解时，可提交</w:t>
      </w:r>
      <w:r>
        <w:rPr>
          <w:rFonts w:hint="eastAsia" w:ascii="宋体" w:hAnsi="宋体" w:cs="宋体"/>
          <w:color w:val="auto"/>
          <w:sz w:val="22"/>
          <w:szCs w:val="22"/>
          <w:highlight w:val="none"/>
          <w:u w:val="single"/>
        </w:rPr>
        <w:t xml:space="preserve">   双方当事人   </w:t>
      </w:r>
      <w:r>
        <w:rPr>
          <w:rFonts w:hint="eastAsia" w:ascii="宋体" w:hAnsi="宋体" w:cs="宋体"/>
          <w:color w:val="auto"/>
          <w:sz w:val="22"/>
          <w:szCs w:val="22"/>
          <w:highlight w:val="none"/>
        </w:rPr>
        <w:t>进行调解。</w:t>
      </w:r>
    </w:p>
    <w:p w14:paraId="297281E6">
      <w:pPr>
        <w:spacing w:line="440" w:lineRule="exact"/>
        <w:ind w:firstLine="215" w:firstLineChars="98"/>
        <w:rPr>
          <w:rFonts w:ascii="宋体" w:hAnsi="宋体" w:cs="宋体"/>
          <w:color w:val="auto"/>
          <w:sz w:val="22"/>
          <w:szCs w:val="22"/>
          <w:highlight w:val="none"/>
        </w:rPr>
      </w:pPr>
      <w:r>
        <w:rPr>
          <w:rFonts w:hint="eastAsia" w:ascii="宋体" w:hAnsi="宋体" w:cs="宋体"/>
          <w:color w:val="auto"/>
          <w:sz w:val="22"/>
          <w:szCs w:val="22"/>
          <w:highlight w:val="none"/>
        </w:rPr>
        <w:t xml:space="preserve">7.2 </w:t>
      </w:r>
      <w:r>
        <w:rPr>
          <w:rFonts w:hint="eastAsia" w:ascii="宋体" w:hAnsi="宋体" w:cs="宋体"/>
          <w:bCs/>
          <w:color w:val="auto"/>
          <w:sz w:val="22"/>
          <w:szCs w:val="22"/>
          <w:highlight w:val="none"/>
        </w:rPr>
        <w:t>仲裁或诉讼</w:t>
      </w:r>
    </w:p>
    <w:p w14:paraId="04F51BB9">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合同争议的最终解决方式为下列第</w:t>
      </w:r>
      <w:r>
        <w:rPr>
          <w:rFonts w:hint="eastAsia" w:ascii="宋体" w:hAnsi="宋体" w:cs="宋体"/>
          <w:color w:val="auto"/>
          <w:sz w:val="22"/>
          <w:szCs w:val="22"/>
          <w:highlight w:val="none"/>
          <w:u w:val="single"/>
        </w:rPr>
        <w:t xml:space="preserve">    (2)    </w:t>
      </w:r>
      <w:r>
        <w:rPr>
          <w:rFonts w:hint="eastAsia" w:ascii="宋体" w:hAnsi="宋体" w:cs="宋体"/>
          <w:color w:val="auto"/>
          <w:sz w:val="22"/>
          <w:szCs w:val="22"/>
          <w:highlight w:val="none"/>
        </w:rPr>
        <w:t>种方式：</w:t>
      </w:r>
    </w:p>
    <w:p w14:paraId="1A708531">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（1）提请仲裁委员会进行仲裁。</w:t>
      </w:r>
    </w:p>
    <w:p w14:paraId="2E617BD9">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（2）向</w:t>
      </w:r>
      <w:r>
        <w:rPr>
          <w:rFonts w:hint="eastAsia" w:ascii="宋体" w:hAnsi="宋体" w:cs="宋体"/>
          <w:color w:val="auto"/>
          <w:sz w:val="22"/>
          <w:szCs w:val="22"/>
          <w:highlight w:val="none"/>
          <w:u w:val="single"/>
        </w:rPr>
        <w:t xml:space="preserve">  工程所在地   </w:t>
      </w:r>
      <w:r>
        <w:rPr>
          <w:rFonts w:hint="eastAsia" w:ascii="宋体" w:hAnsi="宋体" w:cs="宋体"/>
          <w:color w:val="auto"/>
          <w:sz w:val="22"/>
          <w:szCs w:val="22"/>
          <w:highlight w:val="none"/>
        </w:rPr>
        <w:t>人民法院提起诉讼。</w:t>
      </w:r>
    </w:p>
    <w:p w14:paraId="571AD18E">
      <w:pPr>
        <w:pStyle w:val="4"/>
        <w:spacing w:line="440" w:lineRule="exact"/>
        <w:rPr>
          <w:rFonts w:ascii="宋体" w:hAnsi="宋体" w:eastAsia="宋体" w:cs="宋体"/>
          <w:color w:val="auto"/>
          <w:sz w:val="22"/>
          <w:szCs w:val="22"/>
          <w:highlight w:val="none"/>
        </w:rPr>
      </w:pPr>
      <w:bookmarkStart w:id="185" w:name="_Toc9194613"/>
      <w:bookmarkStart w:id="186" w:name="_Toc398111709"/>
      <w:bookmarkStart w:id="187" w:name="_Toc18239"/>
      <w:r>
        <w:rPr>
          <w:rFonts w:hint="eastAsia" w:ascii="宋体" w:hAnsi="宋体" w:eastAsia="宋体" w:cs="宋体"/>
          <w:color w:val="auto"/>
          <w:sz w:val="22"/>
          <w:szCs w:val="22"/>
          <w:highlight w:val="none"/>
        </w:rPr>
        <w:t>8. 其他</w:t>
      </w:r>
      <w:bookmarkEnd w:id="185"/>
      <w:bookmarkEnd w:id="186"/>
      <w:bookmarkEnd w:id="187"/>
    </w:p>
    <w:p w14:paraId="38A8201A">
      <w:pPr>
        <w:adjustRightInd w:val="0"/>
        <w:spacing w:line="440" w:lineRule="exact"/>
        <w:rPr>
          <w:rFonts w:ascii="宋体" w:hAnsi="宋体" w:cs="宋体"/>
          <w:bCs/>
          <w:color w:val="auto"/>
          <w:sz w:val="22"/>
          <w:szCs w:val="22"/>
          <w:highlight w:val="none"/>
        </w:rPr>
      </w:pPr>
      <w:r>
        <w:rPr>
          <w:rFonts w:hint="eastAsia" w:ascii="宋体" w:hAnsi="宋体" w:cs="宋体"/>
          <w:bCs/>
          <w:color w:val="auto"/>
          <w:sz w:val="22"/>
          <w:szCs w:val="22"/>
          <w:highlight w:val="none"/>
        </w:rPr>
        <w:t>8.1 检测费用</w:t>
      </w:r>
    </w:p>
    <w:p w14:paraId="2178C24E">
      <w:pPr>
        <w:adjustRightInd w:val="0"/>
        <w:spacing w:line="440" w:lineRule="exact"/>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委托人应在检测工作完成后</w:t>
      </w:r>
      <w:r>
        <w:rPr>
          <w:rFonts w:hint="eastAsia" w:ascii="宋体" w:hAnsi="宋体" w:cs="宋体"/>
          <w:color w:val="auto"/>
          <w:sz w:val="22"/>
          <w:szCs w:val="22"/>
          <w:highlight w:val="none"/>
          <w:u w:val="single"/>
        </w:rPr>
        <w:t xml:space="preserve">  /   </w:t>
      </w:r>
      <w:r>
        <w:rPr>
          <w:rFonts w:hint="eastAsia" w:ascii="宋体" w:hAnsi="宋体" w:cs="宋体"/>
          <w:bCs/>
          <w:color w:val="auto"/>
          <w:sz w:val="22"/>
          <w:szCs w:val="22"/>
          <w:highlight w:val="none"/>
        </w:rPr>
        <w:t>天内支付检测费用。</w:t>
      </w:r>
    </w:p>
    <w:p w14:paraId="3FB30572">
      <w:pPr>
        <w:adjustRightInd w:val="0"/>
        <w:spacing w:line="440" w:lineRule="exact"/>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8.2 咨询费用</w:t>
      </w:r>
    </w:p>
    <w:p w14:paraId="421011BF">
      <w:pPr>
        <w:adjustRightInd w:val="0"/>
        <w:spacing w:line="440" w:lineRule="exact"/>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委托人应在咨询工作完成后</w:t>
      </w:r>
      <w:r>
        <w:rPr>
          <w:rFonts w:hint="eastAsia" w:ascii="宋体" w:hAnsi="宋体" w:cs="宋体"/>
          <w:color w:val="auto"/>
          <w:sz w:val="22"/>
          <w:szCs w:val="22"/>
          <w:highlight w:val="none"/>
          <w:u w:val="single"/>
        </w:rPr>
        <w:t xml:space="preserve">   /  </w:t>
      </w:r>
      <w:r>
        <w:rPr>
          <w:rFonts w:hint="eastAsia" w:ascii="宋体" w:hAnsi="宋体" w:cs="宋体"/>
          <w:bCs/>
          <w:color w:val="auto"/>
          <w:sz w:val="22"/>
          <w:szCs w:val="22"/>
          <w:highlight w:val="none"/>
        </w:rPr>
        <w:t>天内支付咨询费用。</w:t>
      </w:r>
    </w:p>
    <w:p w14:paraId="58E8781E">
      <w:pPr>
        <w:adjustRightInd w:val="0"/>
        <w:spacing w:line="440" w:lineRule="exact"/>
        <w:ind w:firstLine="215" w:firstLineChars="98"/>
        <w:rPr>
          <w:rFonts w:ascii="宋体" w:hAnsi="宋体" w:cs="宋体"/>
          <w:color w:val="auto"/>
          <w:sz w:val="22"/>
          <w:szCs w:val="22"/>
          <w:highlight w:val="none"/>
        </w:rPr>
      </w:pPr>
      <w:r>
        <w:rPr>
          <w:rFonts w:hint="eastAsia" w:ascii="宋体" w:hAnsi="宋体" w:cs="宋体"/>
          <w:color w:val="auto"/>
          <w:sz w:val="22"/>
          <w:szCs w:val="22"/>
          <w:highlight w:val="none"/>
        </w:rPr>
        <w:t>8.3保密</w:t>
      </w:r>
    </w:p>
    <w:p w14:paraId="60424F12">
      <w:pPr>
        <w:adjustRightInd w:val="0"/>
        <w:spacing w:line="440" w:lineRule="exact"/>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委托人申明的保密事项和期限：</w:t>
      </w:r>
      <w:r>
        <w:rPr>
          <w:rFonts w:hint="eastAsia" w:ascii="宋体" w:hAnsi="宋体" w:cs="宋体"/>
          <w:color w:val="auto"/>
          <w:sz w:val="22"/>
          <w:szCs w:val="22"/>
          <w:highlight w:val="none"/>
          <w:u w:val="single"/>
        </w:rPr>
        <w:t xml:space="preserve">  委托方与施工单位签订的施工合同，本合同结束前   </w:t>
      </w:r>
      <w:r>
        <w:rPr>
          <w:rFonts w:hint="eastAsia" w:ascii="宋体" w:hAnsi="宋体" w:cs="宋体"/>
          <w:color w:val="auto"/>
          <w:sz w:val="22"/>
          <w:szCs w:val="22"/>
          <w:highlight w:val="none"/>
        </w:rPr>
        <w:t>。</w:t>
      </w:r>
    </w:p>
    <w:p w14:paraId="2F054D37">
      <w:pPr>
        <w:adjustRightInd w:val="0"/>
        <w:spacing w:line="440" w:lineRule="exact"/>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监理人申明的保密事项和期限：</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w:t>
      </w:r>
    </w:p>
    <w:p w14:paraId="53818BEA">
      <w:pPr>
        <w:adjustRightInd w:val="0"/>
        <w:spacing w:line="440" w:lineRule="exact"/>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第三方申明的保密事项和期限：</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w:t>
      </w:r>
    </w:p>
    <w:p w14:paraId="23F05F10">
      <w:pPr>
        <w:spacing w:line="440" w:lineRule="exact"/>
        <w:ind w:firstLine="215" w:firstLineChars="98"/>
        <w:rPr>
          <w:rFonts w:ascii="宋体" w:hAnsi="宋体" w:cs="宋体"/>
          <w:bCs/>
          <w:color w:val="auto"/>
          <w:sz w:val="22"/>
          <w:szCs w:val="22"/>
          <w:highlight w:val="none"/>
        </w:rPr>
      </w:pPr>
      <w:r>
        <w:rPr>
          <w:rFonts w:hint="eastAsia" w:ascii="宋体" w:hAnsi="宋体" w:cs="宋体"/>
          <w:color w:val="auto"/>
          <w:sz w:val="22"/>
          <w:szCs w:val="22"/>
          <w:highlight w:val="none"/>
        </w:rPr>
        <w:t>8.4</w:t>
      </w:r>
      <w:r>
        <w:rPr>
          <w:rFonts w:hint="eastAsia" w:ascii="宋体" w:hAnsi="宋体" w:cs="宋体"/>
          <w:bCs/>
          <w:color w:val="auto"/>
          <w:sz w:val="22"/>
          <w:szCs w:val="22"/>
          <w:highlight w:val="none"/>
        </w:rPr>
        <w:t>著作权</w:t>
      </w:r>
    </w:p>
    <w:p w14:paraId="4494D823">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监理人在本合同履行期间及本合同终止后两年内出版涉及本工程的有关监理与相关服务的资料的限制条件：</w:t>
      </w:r>
      <w:r>
        <w:rPr>
          <w:rFonts w:hint="eastAsia" w:ascii="宋体" w:hAnsi="宋体" w:cs="宋体"/>
          <w:color w:val="auto"/>
          <w:sz w:val="22"/>
          <w:szCs w:val="22"/>
          <w:highlight w:val="none"/>
          <w:u w:val="single"/>
        </w:rPr>
        <w:t>/</w:t>
      </w:r>
      <w:r>
        <w:rPr>
          <w:rFonts w:hint="eastAsia" w:ascii="宋体" w:hAnsi="宋体" w:cs="宋体"/>
          <w:color w:val="auto"/>
          <w:sz w:val="22"/>
          <w:szCs w:val="22"/>
          <w:highlight w:val="none"/>
        </w:rPr>
        <w:t>。</w:t>
      </w:r>
    </w:p>
    <w:p w14:paraId="618E631A">
      <w:pPr>
        <w:adjustRightInd w:val="0"/>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9. 补充条款：</w:t>
      </w:r>
    </w:p>
    <w:p w14:paraId="143DDFDA">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9.1监理人应根据工程监理需要，按委托人的要求适时调派相应专业监理人员。若监理人在工程监理过程中，不按委托人的要求及时调派专业监理人员的，委托人将对监理人按每人每天扣500元进行处罚，直至监理人调派专业监理人员到场监理为止。</w:t>
      </w:r>
    </w:p>
    <w:p w14:paraId="12CEC674">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9.2若监理人员在工作中不严格把关、弄虚作假，未能按照《建设工程监理规范》（GB/T50319-2013）的要求履行监理职责的，则发包人将视其情况的严重程度，按监理合同价的1%至5%作为违约金处罚，情节严重者，委托人有权立即终止合同。</w:t>
      </w:r>
    </w:p>
    <w:p w14:paraId="535490DE">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9.3监理人应对投入本工程的监理人员切实做好安全教育工作，若在施工期间发生监理人员意外伤害，则所引起的一切责任与费用均由监理人自行承担。对施工单位必须按有关安全技术操作规程要求进行严格监理，确保工程达到安全文明施工要求。</w:t>
      </w:r>
    </w:p>
    <w:p w14:paraId="591B0CBB">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9.4当出现下列任何一种情况时，委托人有权向监理人提出调换监理人员直至终止本合同：</w:t>
      </w:r>
    </w:p>
    <w:p w14:paraId="68063D67">
      <w:pPr>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（1）监理人员的资历和能力不足以胜任所担负的岗位职责时；</w:t>
      </w:r>
    </w:p>
    <w:p w14:paraId="0E58D470">
      <w:pPr>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（2）驻现场监理人员不履行职责或履行职责不力时；</w:t>
      </w:r>
    </w:p>
    <w:p w14:paraId="3A380298">
      <w:pPr>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（3）监理人员的行为违反职业道德时；</w:t>
      </w:r>
    </w:p>
    <w:p w14:paraId="67AA2413">
      <w:pPr>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（4）监理人或监理人员向承包人介绍施工单位或推销工程材料与设备时。</w:t>
      </w:r>
    </w:p>
    <w:p w14:paraId="4BD65B1B">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9.5当委托人认为监理人无正当理由而又未履行监理义务时，有权向监理人发出指明其未履行义务的通知，监理人应在收到通知后3日内予以答复。否则，委托人自发出通知后7日内发出终止委托监理合同的通知，合同即行终止，由此造成的所有后果及损失均由监理人承担。</w:t>
      </w:r>
    </w:p>
    <w:p w14:paraId="24CB00E8">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9.6若监理人在市建设主管部门组织的检查、评比中，被通报批评的，则按监理合同价的1%进行处罚；累计被通报批评三次的，委托人有权立即终止合同，由此造成的所有后果及损失均由监理人承担。</w:t>
      </w:r>
    </w:p>
    <w:p w14:paraId="47904121">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9.7根据施工实际需要适时配合施工单位加班施工，尤其是隐蔽工程和砼浇筑时必须有专业监理人员值班驻守，如发现监理人员不到岗每次罚款500元以上。</w:t>
      </w:r>
    </w:p>
    <w:p w14:paraId="02BC7D72">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9.8监理人在本工程实施过程中必须守法经营，若监理人及其监理人员被纪检部门查实在本工程监理过程中存在经济违纪行为的，委托人将按监理合同价的1%作为违约金处罚；若监理人及其监理人员被司法机关查实认定在本工程监理过程中有经济犯罪行为的，委托人将按监理合同价的2%作为违约金处罚。</w:t>
      </w:r>
    </w:p>
    <w:p w14:paraId="429F94B3">
      <w:pPr>
        <w:pStyle w:val="13"/>
        <w:rPr>
          <w:rFonts w:ascii="宋体" w:hAnsi="宋体" w:cs="宋体"/>
          <w:color w:val="auto"/>
          <w:sz w:val="22"/>
          <w:szCs w:val="22"/>
          <w:highlight w:val="none"/>
        </w:rPr>
      </w:pPr>
      <w:r>
        <w:rPr>
          <w:rFonts w:hint="eastAsia" w:ascii="宋体" w:hAnsi="宋体" w:cs="宋体"/>
          <w:color w:val="auto"/>
          <w:sz w:val="22"/>
          <w:szCs w:val="22"/>
          <w:highlight w:val="none"/>
        </w:rPr>
        <w:t>9.9上述对监理人的罚款或违约金</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委托人</w:t>
      </w:r>
      <w:r>
        <w:rPr>
          <w:rFonts w:hint="eastAsia" w:ascii="宋体" w:hAnsi="宋体" w:cs="宋体"/>
          <w:color w:val="auto"/>
          <w:sz w:val="22"/>
          <w:szCs w:val="22"/>
          <w:highlight w:val="none"/>
        </w:rPr>
        <w:t>均</w:t>
      </w:r>
      <w:r>
        <w:rPr>
          <w:rFonts w:hint="eastAsia" w:ascii="宋体" w:hAnsi="宋体" w:cs="宋体"/>
          <w:color w:val="auto"/>
          <w:sz w:val="22"/>
          <w:szCs w:val="22"/>
          <w:highlight w:val="none"/>
          <w:lang w:val="en-US" w:eastAsia="zh-CN"/>
        </w:rPr>
        <w:t>可</w:t>
      </w:r>
      <w:r>
        <w:rPr>
          <w:rFonts w:hint="eastAsia"/>
          <w:color w:val="auto"/>
          <w:highlight w:val="none"/>
          <w:lang w:val="en-US" w:eastAsia="zh-CN"/>
        </w:rPr>
        <w:t>在监理费中直接扣除。</w:t>
      </w:r>
    </w:p>
    <w:p w14:paraId="71DE4362">
      <w:pPr>
        <w:adjustRightInd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9.10本工程监理合同履约保证金在本工程竣工验收合格后七日内一次性退还（不计利息）。</w:t>
      </w:r>
    </w:p>
    <w:p w14:paraId="15A01CD2">
      <w:pPr>
        <w:spacing w:line="440" w:lineRule="exact"/>
        <w:ind w:firstLine="440" w:firstLineChars="200"/>
        <w:rPr>
          <w:rFonts w:ascii="宋体" w:hAnsi="宋体"/>
          <w:color w:val="auto"/>
          <w:sz w:val="24"/>
          <w:highlight w:val="none"/>
        </w:rPr>
      </w:pPr>
      <w:r>
        <w:rPr>
          <w:rFonts w:hint="eastAsia" w:ascii="宋体" w:hAnsi="宋体" w:cs="宋体"/>
          <w:color w:val="auto"/>
          <w:sz w:val="22"/>
          <w:szCs w:val="22"/>
          <w:highlight w:val="none"/>
        </w:rPr>
        <w:t>9.11监理检测设备最低要求</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3912"/>
        <w:gridCol w:w="2374"/>
      </w:tblGrid>
      <w:tr w14:paraId="37FB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trPr>
        <w:tc>
          <w:tcPr>
            <w:tcW w:w="1312" w:type="pct"/>
            <w:vAlign w:val="center"/>
          </w:tcPr>
          <w:p w14:paraId="3A6F47E6">
            <w:pPr>
              <w:jc w:val="center"/>
              <w:rPr>
                <w:rFonts w:ascii="宋体" w:hAnsi="宋体"/>
                <w:color w:val="auto"/>
                <w:sz w:val="22"/>
                <w:szCs w:val="22"/>
                <w:highlight w:val="none"/>
              </w:rPr>
            </w:pPr>
            <w:r>
              <w:rPr>
                <w:rFonts w:hint="eastAsia" w:ascii="宋体" w:hAnsi="宋体"/>
                <w:color w:val="auto"/>
                <w:sz w:val="22"/>
                <w:szCs w:val="22"/>
                <w:highlight w:val="none"/>
              </w:rPr>
              <w:t>序号</w:t>
            </w:r>
          </w:p>
        </w:tc>
        <w:tc>
          <w:tcPr>
            <w:tcW w:w="2295" w:type="pct"/>
            <w:vAlign w:val="center"/>
          </w:tcPr>
          <w:p w14:paraId="0116946E">
            <w:pPr>
              <w:jc w:val="center"/>
              <w:rPr>
                <w:rFonts w:ascii="宋体" w:hAnsi="宋体"/>
                <w:color w:val="auto"/>
                <w:sz w:val="22"/>
                <w:szCs w:val="22"/>
                <w:highlight w:val="none"/>
              </w:rPr>
            </w:pPr>
            <w:r>
              <w:rPr>
                <w:rFonts w:hint="eastAsia" w:ascii="宋体" w:hAnsi="宋体"/>
                <w:color w:val="auto"/>
                <w:sz w:val="22"/>
                <w:szCs w:val="22"/>
                <w:highlight w:val="none"/>
              </w:rPr>
              <w:t>设备或仪器名称</w:t>
            </w:r>
          </w:p>
        </w:tc>
        <w:tc>
          <w:tcPr>
            <w:tcW w:w="1393" w:type="pct"/>
            <w:vAlign w:val="center"/>
          </w:tcPr>
          <w:p w14:paraId="592D9EB9">
            <w:pPr>
              <w:jc w:val="center"/>
              <w:rPr>
                <w:rFonts w:ascii="宋体" w:hAnsi="宋体"/>
                <w:color w:val="auto"/>
                <w:sz w:val="22"/>
                <w:szCs w:val="22"/>
                <w:highlight w:val="none"/>
              </w:rPr>
            </w:pPr>
            <w:r>
              <w:rPr>
                <w:rFonts w:hint="eastAsia" w:ascii="宋体" w:hAnsi="宋体"/>
                <w:color w:val="auto"/>
                <w:sz w:val="22"/>
                <w:szCs w:val="22"/>
                <w:highlight w:val="none"/>
              </w:rPr>
              <w:t>数量</w:t>
            </w:r>
          </w:p>
        </w:tc>
      </w:tr>
      <w:tr w14:paraId="6874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7E545A67">
            <w:pPr>
              <w:jc w:val="center"/>
              <w:rPr>
                <w:rFonts w:ascii="宋体" w:hAnsi="宋体"/>
                <w:color w:val="auto"/>
                <w:sz w:val="22"/>
                <w:szCs w:val="22"/>
                <w:highlight w:val="none"/>
              </w:rPr>
            </w:pPr>
            <w:r>
              <w:rPr>
                <w:rFonts w:hint="eastAsia" w:ascii="宋体" w:hAnsi="宋体"/>
                <w:color w:val="auto"/>
                <w:sz w:val="22"/>
                <w:szCs w:val="22"/>
                <w:highlight w:val="none"/>
              </w:rPr>
              <w:t>1</w:t>
            </w:r>
          </w:p>
        </w:tc>
        <w:tc>
          <w:tcPr>
            <w:tcW w:w="2295" w:type="pct"/>
            <w:vAlign w:val="center"/>
          </w:tcPr>
          <w:p w14:paraId="02C8322E">
            <w:pPr>
              <w:jc w:val="center"/>
              <w:rPr>
                <w:rFonts w:ascii="宋体" w:hAnsi="宋体"/>
                <w:color w:val="auto"/>
                <w:sz w:val="22"/>
                <w:szCs w:val="22"/>
                <w:highlight w:val="none"/>
              </w:rPr>
            </w:pPr>
            <w:r>
              <w:rPr>
                <w:rFonts w:hint="eastAsia" w:ascii="宋体" w:hAnsi="宋体"/>
                <w:color w:val="auto"/>
                <w:sz w:val="22"/>
                <w:szCs w:val="22"/>
                <w:highlight w:val="none"/>
              </w:rPr>
              <w:t>全站仪</w:t>
            </w:r>
          </w:p>
        </w:tc>
        <w:tc>
          <w:tcPr>
            <w:tcW w:w="1393" w:type="pct"/>
            <w:vAlign w:val="center"/>
          </w:tcPr>
          <w:p w14:paraId="45BBBD7C">
            <w:pPr>
              <w:jc w:val="center"/>
              <w:rPr>
                <w:rFonts w:ascii="宋体" w:hAnsi="宋体"/>
                <w:color w:val="auto"/>
                <w:sz w:val="22"/>
                <w:szCs w:val="22"/>
                <w:highlight w:val="none"/>
              </w:rPr>
            </w:pPr>
            <w:r>
              <w:rPr>
                <w:rFonts w:hint="eastAsia" w:ascii="宋体" w:hAnsi="宋体"/>
                <w:color w:val="auto"/>
                <w:sz w:val="22"/>
                <w:szCs w:val="22"/>
                <w:highlight w:val="none"/>
              </w:rPr>
              <w:t>1台</w:t>
            </w:r>
          </w:p>
        </w:tc>
      </w:tr>
      <w:tr w14:paraId="6336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1FBFB695">
            <w:pPr>
              <w:jc w:val="center"/>
              <w:rPr>
                <w:rFonts w:ascii="宋体" w:hAnsi="宋体"/>
                <w:color w:val="auto"/>
                <w:sz w:val="22"/>
                <w:szCs w:val="22"/>
                <w:highlight w:val="none"/>
              </w:rPr>
            </w:pPr>
            <w:r>
              <w:rPr>
                <w:rFonts w:hint="eastAsia" w:ascii="宋体" w:hAnsi="宋体"/>
                <w:color w:val="auto"/>
                <w:sz w:val="22"/>
                <w:szCs w:val="22"/>
                <w:highlight w:val="none"/>
              </w:rPr>
              <w:t>2</w:t>
            </w:r>
          </w:p>
        </w:tc>
        <w:tc>
          <w:tcPr>
            <w:tcW w:w="2295" w:type="pct"/>
            <w:vAlign w:val="center"/>
          </w:tcPr>
          <w:p w14:paraId="69798583">
            <w:pPr>
              <w:jc w:val="center"/>
              <w:rPr>
                <w:rFonts w:ascii="宋体" w:hAnsi="宋体"/>
                <w:color w:val="auto"/>
                <w:sz w:val="22"/>
                <w:szCs w:val="22"/>
                <w:highlight w:val="none"/>
              </w:rPr>
            </w:pPr>
            <w:r>
              <w:rPr>
                <w:rFonts w:hint="eastAsia" w:ascii="宋体" w:hAnsi="宋体"/>
                <w:color w:val="auto"/>
                <w:sz w:val="22"/>
                <w:szCs w:val="22"/>
                <w:highlight w:val="none"/>
              </w:rPr>
              <w:t>激光铅垂仪</w:t>
            </w:r>
          </w:p>
        </w:tc>
        <w:tc>
          <w:tcPr>
            <w:tcW w:w="1393" w:type="pct"/>
            <w:vAlign w:val="center"/>
          </w:tcPr>
          <w:p w14:paraId="17C1EB76">
            <w:pPr>
              <w:jc w:val="center"/>
              <w:rPr>
                <w:rFonts w:ascii="宋体" w:hAnsi="宋体"/>
                <w:color w:val="auto"/>
                <w:sz w:val="22"/>
                <w:szCs w:val="22"/>
                <w:highlight w:val="none"/>
              </w:rPr>
            </w:pPr>
            <w:r>
              <w:rPr>
                <w:rFonts w:hint="eastAsia" w:ascii="宋体" w:hAnsi="宋体"/>
                <w:color w:val="auto"/>
                <w:sz w:val="22"/>
                <w:szCs w:val="22"/>
                <w:highlight w:val="none"/>
              </w:rPr>
              <w:t>1台</w:t>
            </w:r>
          </w:p>
        </w:tc>
      </w:tr>
      <w:tr w14:paraId="125F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7DDC5AD6">
            <w:pPr>
              <w:jc w:val="center"/>
              <w:rPr>
                <w:rFonts w:ascii="宋体" w:hAnsi="宋体"/>
                <w:color w:val="auto"/>
                <w:sz w:val="22"/>
                <w:szCs w:val="22"/>
                <w:highlight w:val="none"/>
              </w:rPr>
            </w:pPr>
            <w:r>
              <w:rPr>
                <w:rFonts w:hint="eastAsia" w:ascii="宋体" w:hAnsi="宋体"/>
                <w:color w:val="auto"/>
                <w:sz w:val="22"/>
                <w:szCs w:val="22"/>
                <w:highlight w:val="none"/>
              </w:rPr>
              <w:t>3</w:t>
            </w:r>
          </w:p>
        </w:tc>
        <w:tc>
          <w:tcPr>
            <w:tcW w:w="2295" w:type="pct"/>
            <w:vAlign w:val="center"/>
          </w:tcPr>
          <w:p w14:paraId="6A2F90B8">
            <w:pPr>
              <w:jc w:val="center"/>
              <w:rPr>
                <w:rFonts w:ascii="宋体" w:hAnsi="宋体"/>
                <w:color w:val="auto"/>
                <w:sz w:val="22"/>
                <w:szCs w:val="22"/>
                <w:highlight w:val="none"/>
              </w:rPr>
            </w:pPr>
            <w:r>
              <w:rPr>
                <w:rFonts w:hint="eastAsia" w:ascii="宋体" w:hAnsi="宋体"/>
                <w:color w:val="auto"/>
                <w:sz w:val="22"/>
                <w:szCs w:val="22"/>
                <w:highlight w:val="none"/>
              </w:rPr>
              <w:t>水准仪</w:t>
            </w:r>
          </w:p>
        </w:tc>
        <w:tc>
          <w:tcPr>
            <w:tcW w:w="1393" w:type="pct"/>
            <w:vAlign w:val="center"/>
          </w:tcPr>
          <w:p w14:paraId="0AEF3723">
            <w:pPr>
              <w:jc w:val="center"/>
              <w:rPr>
                <w:rFonts w:ascii="宋体" w:hAnsi="宋体"/>
                <w:color w:val="auto"/>
                <w:sz w:val="22"/>
                <w:szCs w:val="22"/>
                <w:highlight w:val="none"/>
              </w:rPr>
            </w:pPr>
            <w:r>
              <w:rPr>
                <w:rFonts w:hint="eastAsia" w:ascii="宋体" w:hAnsi="宋体"/>
                <w:color w:val="auto"/>
                <w:sz w:val="22"/>
                <w:szCs w:val="22"/>
                <w:highlight w:val="none"/>
              </w:rPr>
              <w:t>1台</w:t>
            </w:r>
          </w:p>
        </w:tc>
      </w:tr>
      <w:tr w14:paraId="10F5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62E7772C">
            <w:pPr>
              <w:jc w:val="center"/>
              <w:rPr>
                <w:rFonts w:ascii="宋体" w:hAnsi="宋体"/>
                <w:color w:val="auto"/>
                <w:sz w:val="22"/>
                <w:szCs w:val="22"/>
                <w:highlight w:val="none"/>
              </w:rPr>
            </w:pPr>
            <w:r>
              <w:rPr>
                <w:rFonts w:hint="eastAsia" w:ascii="宋体" w:hAnsi="宋体"/>
                <w:color w:val="auto"/>
                <w:sz w:val="22"/>
                <w:szCs w:val="22"/>
                <w:highlight w:val="none"/>
              </w:rPr>
              <w:t>4</w:t>
            </w:r>
          </w:p>
        </w:tc>
        <w:tc>
          <w:tcPr>
            <w:tcW w:w="2295" w:type="pct"/>
            <w:vAlign w:val="center"/>
          </w:tcPr>
          <w:p w14:paraId="2E6F608A">
            <w:pPr>
              <w:jc w:val="center"/>
              <w:rPr>
                <w:rFonts w:ascii="宋体" w:hAnsi="宋体"/>
                <w:color w:val="auto"/>
                <w:sz w:val="22"/>
                <w:szCs w:val="22"/>
                <w:highlight w:val="none"/>
              </w:rPr>
            </w:pPr>
            <w:r>
              <w:rPr>
                <w:rFonts w:hint="eastAsia" w:ascii="宋体" w:hAnsi="宋体"/>
                <w:color w:val="auto"/>
                <w:sz w:val="22"/>
                <w:szCs w:val="22"/>
                <w:highlight w:val="none"/>
              </w:rPr>
              <w:t>激光经纬仪</w:t>
            </w:r>
          </w:p>
        </w:tc>
        <w:tc>
          <w:tcPr>
            <w:tcW w:w="1393" w:type="pct"/>
            <w:vAlign w:val="center"/>
          </w:tcPr>
          <w:p w14:paraId="5C5DF420">
            <w:pPr>
              <w:jc w:val="center"/>
              <w:rPr>
                <w:rFonts w:ascii="宋体" w:hAnsi="宋体"/>
                <w:color w:val="auto"/>
                <w:sz w:val="22"/>
                <w:szCs w:val="22"/>
                <w:highlight w:val="none"/>
              </w:rPr>
            </w:pPr>
            <w:r>
              <w:rPr>
                <w:rFonts w:hint="eastAsia" w:ascii="宋体" w:hAnsi="宋体"/>
                <w:color w:val="auto"/>
                <w:sz w:val="22"/>
                <w:szCs w:val="22"/>
                <w:highlight w:val="none"/>
              </w:rPr>
              <w:t>1台</w:t>
            </w:r>
          </w:p>
        </w:tc>
      </w:tr>
      <w:tr w14:paraId="2064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46163163">
            <w:pPr>
              <w:jc w:val="center"/>
              <w:rPr>
                <w:rFonts w:ascii="宋体" w:hAnsi="宋体"/>
                <w:color w:val="auto"/>
                <w:sz w:val="22"/>
                <w:szCs w:val="22"/>
                <w:highlight w:val="none"/>
              </w:rPr>
            </w:pPr>
            <w:r>
              <w:rPr>
                <w:rFonts w:hint="eastAsia" w:ascii="宋体" w:hAnsi="宋体"/>
                <w:color w:val="auto"/>
                <w:sz w:val="22"/>
                <w:szCs w:val="22"/>
                <w:highlight w:val="none"/>
              </w:rPr>
              <w:t>5</w:t>
            </w:r>
          </w:p>
        </w:tc>
        <w:tc>
          <w:tcPr>
            <w:tcW w:w="2295" w:type="pct"/>
            <w:vAlign w:val="center"/>
          </w:tcPr>
          <w:p w14:paraId="4FB13794">
            <w:pPr>
              <w:jc w:val="center"/>
              <w:rPr>
                <w:rFonts w:ascii="宋体" w:hAnsi="宋体"/>
                <w:color w:val="auto"/>
                <w:sz w:val="22"/>
                <w:szCs w:val="22"/>
                <w:highlight w:val="none"/>
              </w:rPr>
            </w:pPr>
            <w:r>
              <w:rPr>
                <w:rFonts w:hint="eastAsia" w:ascii="宋体" w:hAnsi="宋体"/>
                <w:color w:val="auto"/>
                <w:sz w:val="22"/>
                <w:szCs w:val="22"/>
                <w:highlight w:val="none"/>
              </w:rPr>
              <w:t>砼回弹仪</w:t>
            </w:r>
          </w:p>
        </w:tc>
        <w:tc>
          <w:tcPr>
            <w:tcW w:w="1393" w:type="pct"/>
            <w:vAlign w:val="center"/>
          </w:tcPr>
          <w:p w14:paraId="584949C3">
            <w:pPr>
              <w:jc w:val="center"/>
              <w:rPr>
                <w:rFonts w:ascii="宋体" w:hAnsi="宋体"/>
                <w:color w:val="auto"/>
                <w:sz w:val="22"/>
                <w:szCs w:val="22"/>
                <w:highlight w:val="none"/>
              </w:rPr>
            </w:pPr>
            <w:r>
              <w:rPr>
                <w:rFonts w:hint="eastAsia" w:ascii="宋体" w:hAnsi="宋体"/>
                <w:color w:val="auto"/>
                <w:sz w:val="22"/>
                <w:szCs w:val="22"/>
                <w:highlight w:val="none"/>
              </w:rPr>
              <w:t>1台</w:t>
            </w:r>
          </w:p>
        </w:tc>
      </w:tr>
      <w:tr w14:paraId="60A8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1E7A4CEC">
            <w:pPr>
              <w:jc w:val="center"/>
              <w:rPr>
                <w:rFonts w:ascii="宋体" w:hAnsi="宋体"/>
                <w:color w:val="auto"/>
                <w:sz w:val="22"/>
                <w:szCs w:val="22"/>
                <w:highlight w:val="none"/>
              </w:rPr>
            </w:pPr>
            <w:r>
              <w:rPr>
                <w:rFonts w:hint="eastAsia" w:ascii="宋体" w:hAnsi="宋体"/>
                <w:color w:val="auto"/>
                <w:sz w:val="22"/>
                <w:szCs w:val="22"/>
                <w:highlight w:val="none"/>
              </w:rPr>
              <w:t>6</w:t>
            </w:r>
          </w:p>
        </w:tc>
        <w:tc>
          <w:tcPr>
            <w:tcW w:w="2295" w:type="pct"/>
            <w:vAlign w:val="center"/>
          </w:tcPr>
          <w:p w14:paraId="5BFD6F3F">
            <w:pPr>
              <w:jc w:val="center"/>
              <w:rPr>
                <w:rFonts w:ascii="宋体" w:hAnsi="宋体"/>
                <w:color w:val="auto"/>
                <w:sz w:val="22"/>
                <w:szCs w:val="22"/>
                <w:highlight w:val="none"/>
              </w:rPr>
            </w:pPr>
            <w:r>
              <w:rPr>
                <w:rFonts w:hint="eastAsia" w:ascii="宋体" w:hAnsi="宋体"/>
                <w:color w:val="auto"/>
                <w:sz w:val="22"/>
                <w:szCs w:val="22"/>
                <w:highlight w:val="none"/>
              </w:rPr>
              <w:t>2m靠尺</w:t>
            </w:r>
          </w:p>
        </w:tc>
        <w:tc>
          <w:tcPr>
            <w:tcW w:w="1393" w:type="pct"/>
            <w:vAlign w:val="center"/>
          </w:tcPr>
          <w:p w14:paraId="666BC27B">
            <w:pPr>
              <w:jc w:val="center"/>
              <w:rPr>
                <w:rFonts w:ascii="宋体" w:hAnsi="宋体"/>
                <w:color w:val="auto"/>
                <w:sz w:val="22"/>
                <w:szCs w:val="22"/>
                <w:highlight w:val="none"/>
              </w:rPr>
            </w:pPr>
            <w:r>
              <w:rPr>
                <w:rFonts w:hint="eastAsia" w:ascii="宋体" w:hAnsi="宋体"/>
                <w:color w:val="auto"/>
                <w:sz w:val="22"/>
                <w:szCs w:val="22"/>
                <w:highlight w:val="none"/>
              </w:rPr>
              <w:t>2支</w:t>
            </w:r>
          </w:p>
        </w:tc>
      </w:tr>
      <w:tr w14:paraId="67D7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7172935B">
            <w:pPr>
              <w:jc w:val="center"/>
              <w:rPr>
                <w:rFonts w:ascii="宋体" w:hAnsi="宋体"/>
                <w:color w:val="auto"/>
                <w:sz w:val="22"/>
                <w:szCs w:val="22"/>
                <w:highlight w:val="none"/>
              </w:rPr>
            </w:pPr>
            <w:r>
              <w:rPr>
                <w:rFonts w:hint="eastAsia" w:ascii="宋体" w:hAnsi="宋体"/>
                <w:color w:val="auto"/>
                <w:sz w:val="22"/>
                <w:szCs w:val="22"/>
                <w:highlight w:val="none"/>
              </w:rPr>
              <w:t>7</w:t>
            </w:r>
          </w:p>
        </w:tc>
        <w:tc>
          <w:tcPr>
            <w:tcW w:w="2295" w:type="pct"/>
            <w:vAlign w:val="center"/>
          </w:tcPr>
          <w:p w14:paraId="6D53C2C6">
            <w:pPr>
              <w:jc w:val="center"/>
              <w:rPr>
                <w:rFonts w:ascii="宋体" w:hAnsi="宋体"/>
                <w:color w:val="auto"/>
                <w:sz w:val="22"/>
                <w:szCs w:val="22"/>
                <w:highlight w:val="none"/>
              </w:rPr>
            </w:pPr>
            <w:r>
              <w:rPr>
                <w:rFonts w:hint="eastAsia" w:ascii="宋体" w:hAnsi="宋体"/>
                <w:color w:val="auto"/>
                <w:sz w:val="22"/>
                <w:szCs w:val="22"/>
                <w:highlight w:val="none"/>
              </w:rPr>
              <w:t>绝缘测试仪</w:t>
            </w:r>
          </w:p>
        </w:tc>
        <w:tc>
          <w:tcPr>
            <w:tcW w:w="1393" w:type="pct"/>
            <w:vAlign w:val="center"/>
          </w:tcPr>
          <w:p w14:paraId="2BF89754">
            <w:pPr>
              <w:jc w:val="center"/>
              <w:rPr>
                <w:rFonts w:ascii="宋体" w:hAnsi="宋体"/>
                <w:color w:val="auto"/>
                <w:sz w:val="22"/>
                <w:szCs w:val="22"/>
                <w:highlight w:val="none"/>
              </w:rPr>
            </w:pPr>
            <w:r>
              <w:rPr>
                <w:rFonts w:hint="eastAsia" w:ascii="宋体" w:hAnsi="宋体"/>
                <w:color w:val="auto"/>
                <w:sz w:val="22"/>
                <w:szCs w:val="22"/>
                <w:highlight w:val="none"/>
              </w:rPr>
              <w:t>1台</w:t>
            </w:r>
          </w:p>
        </w:tc>
      </w:tr>
      <w:tr w14:paraId="63CB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13EDA395">
            <w:pPr>
              <w:jc w:val="center"/>
              <w:rPr>
                <w:rFonts w:ascii="宋体" w:hAnsi="宋体"/>
                <w:color w:val="auto"/>
                <w:sz w:val="22"/>
                <w:szCs w:val="22"/>
                <w:highlight w:val="none"/>
              </w:rPr>
            </w:pPr>
            <w:r>
              <w:rPr>
                <w:rFonts w:hint="eastAsia" w:ascii="宋体" w:hAnsi="宋体"/>
                <w:color w:val="auto"/>
                <w:sz w:val="22"/>
                <w:szCs w:val="22"/>
                <w:highlight w:val="none"/>
              </w:rPr>
              <w:t>8</w:t>
            </w:r>
          </w:p>
        </w:tc>
        <w:tc>
          <w:tcPr>
            <w:tcW w:w="2295" w:type="pct"/>
            <w:vAlign w:val="center"/>
          </w:tcPr>
          <w:p w14:paraId="3BEB6CED">
            <w:pPr>
              <w:jc w:val="center"/>
              <w:rPr>
                <w:rFonts w:ascii="宋体" w:hAnsi="宋体"/>
                <w:color w:val="auto"/>
                <w:sz w:val="22"/>
                <w:szCs w:val="22"/>
                <w:highlight w:val="none"/>
              </w:rPr>
            </w:pPr>
            <w:r>
              <w:rPr>
                <w:rFonts w:hint="eastAsia" w:ascii="宋体" w:hAnsi="宋体"/>
                <w:color w:val="auto"/>
                <w:sz w:val="22"/>
                <w:szCs w:val="22"/>
                <w:highlight w:val="none"/>
              </w:rPr>
              <w:t>接地摇表</w:t>
            </w:r>
          </w:p>
        </w:tc>
        <w:tc>
          <w:tcPr>
            <w:tcW w:w="1393" w:type="pct"/>
            <w:vAlign w:val="center"/>
          </w:tcPr>
          <w:p w14:paraId="3D7994E4">
            <w:pPr>
              <w:jc w:val="center"/>
              <w:rPr>
                <w:rFonts w:ascii="宋体" w:hAnsi="宋体"/>
                <w:color w:val="auto"/>
                <w:sz w:val="22"/>
                <w:szCs w:val="22"/>
                <w:highlight w:val="none"/>
              </w:rPr>
            </w:pPr>
            <w:r>
              <w:rPr>
                <w:rFonts w:hint="eastAsia" w:ascii="宋体" w:hAnsi="宋体"/>
                <w:color w:val="auto"/>
                <w:sz w:val="22"/>
                <w:szCs w:val="22"/>
                <w:highlight w:val="none"/>
              </w:rPr>
              <w:t>1只</w:t>
            </w:r>
          </w:p>
        </w:tc>
      </w:tr>
      <w:tr w14:paraId="26FA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4FB057C0">
            <w:pPr>
              <w:jc w:val="center"/>
              <w:rPr>
                <w:rFonts w:ascii="宋体" w:hAnsi="宋体"/>
                <w:color w:val="auto"/>
                <w:sz w:val="22"/>
                <w:szCs w:val="22"/>
                <w:highlight w:val="none"/>
              </w:rPr>
            </w:pPr>
            <w:r>
              <w:rPr>
                <w:rFonts w:hint="eastAsia" w:ascii="宋体" w:hAnsi="宋体"/>
                <w:color w:val="auto"/>
                <w:sz w:val="22"/>
                <w:szCs w:val="22"/>
                <w:highlight w:val="none"/>
              </w:rPr>
              <w:t>9</w:t>
            </w:r>
          </w:p>
        </w:tc>
        <w:tc>
          <w:tcPr>
            <w:tcW w:w="2295" w:type="pct"/>
            <w:vAlign w:val="center"/>
          </w:tcPr>
          <w:p w14:paraId="759F1B29">
            <w:pPr>
              <w:jc w:val="center"/>
              <w:rPr>
                <w:rFonts w:ascii="宋体" w:hAnsi="宋体"/>
                <w:color w:val="auto"/>
                <w:sz w:val="22"/>
                <w:szCs w:val="22"/>
                <w:highlight w:val="none"/>
              </w:rPr>
            </w:pPr>
            <w:r>
              <w:rPr>
                <w:rFonts w:hint="eastAsia" w:ascii="宋体" w:hAnsi="宋体"/>
                <w:color w:val="auto"/>
                <w:sz w:val="22"/>
                <w:szCs w:val="22"/>
                <w:highlight w:val="none"/>
              </w:rPr>
              <w:t>接地电阻测试仪</w:t>
            </w:r>
          </w:p>
        </w:tc>
        <w:tc>
          <w:tcPr>
            <w:tcW w:w="1393" w:type="pct"/>
            <w:vAlign w:val="center"/>
          </w:tcPr>
          <w:p w14:paraId="58FA54E9">
            <w:pPr>
              <w:jc w:val="center"/>
              <w:rPr>
                <w:rFonts w:ascii="宋体" w:hAnsi="宋体"/>
                <w:color w:val="auto"/>
                <w:sz w:val="22"/>
                <w:szCs w:val="22"/>
                <w:highlight w:val="none"/>
              </w:rPr>
            </w:pPr>
            <w:r>
              <w:rPr>
                <w:rFonts w:hint="eastAsia" w:ascii="宋体" w:hAnsi="宋体"/>
                <w:color w:val="auto"/>
                <w:sz w:val="22"/>
                <w:szCs w:val="22"/>
                <w:highlight w:val="none"/>
              </w:rPr>
              <w:t>1台</w:t>
            </w:r>
          </w:p>
        </w:tc>
      </w:tr>
      <w:tr w14:paraId="7CFB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1BCA2611">
            <w:pPr>
              <w:jc w:val="center"/>
              <w:rPr>
                <w:rFonts w:ascii="宋体" w:hAnsi="宋体"/>
                <w:color w:val="auto"/>
                <w:sz w:val="22"/>
                <w:szCs w:val="22"/>
                <w:highlight w:val="none"/>
              </w:rPr>
            </w:pPr>
            <w:r>
              <w:rPr>
                <w:rFonts w:hint="eastAsia" w:ascii="宋体" w:hAnsi="宋体"/>
                <w:color w:val="auto"/>
                <w:sz w:val="22"/>
                <w:szCs w:val="22"/>
                <w:highlight w:val="none"/>
              </w:rPr>
              <w:t>10</w:t>
            </w:r>
          </w:p>
        </w:tc>
        <w:tc>
          <w:tcPr>
            <w:tcW w:w="2295" w:type="pct"/>
            <w:vAlign w:val="center"/>
          </w:tcPr>
          <w:p w14:paraId="6327D8B3">
            <w:pPr>
              <w:jc w:val="center"/>
              <w:rPr>
                <w:rFonts w:ascii="宋体" w:hAnsi="宋体"/>
                <w:color w:val="auto"/>
                <w:sz w:val="22"/>
                <w:szCs w:val="22"/>
                <w:highlight w:val="none"/>
              </w:rPr>
            </w:pPr>
            <w:r>
              <w:rPr>
                <w:rFonts w:hint="eastAsia" w:ascii="宋体" w:hAnsi="宋体"/>
                <w:color w:val="auto"/>
                <w:sz w:val="22"/>
                <w:szCs w:val="22"/>
                <w:highlight w:val="none"/>
              </w:rPr>
              <w:t>激光测距仪</w:t>
            </w:r>
          </w:p>
        </w:tc>
        <w:tc>
          <w:tcPr>
            <w:tcW w:w="1393" w:type="pct"/>
            <w:vAlign w:val="center"/>
          </w:tcPr>
          <w:p w14:paraId="68DA001D">
            <w:pPr>
              <w:jc w:val="center"/>
              <w:rPr>
                <w:rFonts w:ascii="宋体" w:hAnsi="宋体"/>
                <w:color w:val="auto"/>
                <w:sz w:val="22"/>
                <w:szCs w:val="22"/>
                <w:highlight w:val="none"/>
              </w:rPr>
            </w:pPr>
            <w:r>
              <w:rPr>
                <w:rFonts w:hint="eastAsia" w:ascii="宋体" w:hAnsi="宋体"/>
                <w:color w:val="auto"/>
                <w:sz w:val="22"/>
                <w:szCs w:val="22"/>
                <w:highlight w:val="none"/>
              </w:rPr>
              <w:t>1台</w:t>
            </w:r>
          </w:p>
        </w:tc>
      </w:tr>
      <w:tr w14:paraId="13BB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7CA17C6F">
            <w:pPr>
              <w:jc w:val="center"/>
              <w:rPr>
                <w:rFonts w:ascii="宋体" w:hAnsi="宋体"/>
                <w:color w:val="auto"/>
                <w:sz w:val="22"/>
                <w:szCs w:val="22"/>
                <w:highlight w:val="none"/>
              </w:rPr>
            </w:pPr>
            <w:r>
              <w:rPr>
                <w:rFonts w:hint="eastAsia" w:ascii="宋体" w:hAnsi="宋体"/>
                <w:color w:val="auto"/>
                <w:sz w:val="22"/>
                <w:szCs w:val="22"/>
                <w:highlight w:val="none"/>
              </w:rPr>
              <w:t>11</w:t>
            </w:r>
          </w:p>
        </w:tc>
        <w:tc>
          <w:tcPr>
            <w:tcW w:w="2295" w:type="pct"/>
            <w:vAlign w:val="center"/>
          </w:tcPr>
          <w:p w14:paraId="4AC7D215">
            <w:pPr>
              <w:jc w:val="center"/>
              <w:rPr>
                <w:rFonts w:ascii="宋体" w:hAnsi="宋体"/>
                <w:color w:val="auto"/>
                <w:sz w:val="22"/>
                <w:szCs w:val="22"/>
                <w:highlight w:val="none"/>
              </w:rPr>
            </w:pPr>
            <w:r>
              <w:rPr>
                <w:rFonts w:hint="eastAsia" w:ascii="宋体" w:hAnsi="宋体"/>
                <w:color w:val="auto"/>
                <w:sz w:val="22"/>
                <w:szCs w:val="22"/>
                <w:highlight w:val="none"/>
              </w:rPr>
              <w:t>混凝土保护层测定仪</w:t>
            </w:r>
          </w:p>
        </w:tc>
        <w:tc>
          <w:tcPr>
            <w:tcW w:w="1393" w:type="pct"/>
            <w:vAlign w:val="center"/>
          </w:tcPr>
          <w:p w14:paraId="3E0BA0E7">
            <w:pPr>
              <w:jc w:val="center"/>
              <w:rPr>
                <w:rFonts w:ascii="宋体" w:hAnsi="宋体"/>
                <w:color w:val="auto"/>
                <w:sz w:val="22"/>
                <w:szCs w:val="22"/>
                <w:highlight w:val="none"/>
              </w:rPr>
            </w:pPr>
            <w:r>
              <w:rPr>
                <w:rFonts w:hint="eastAsia" w:ascii="宋体" w:hAnsi="宋体"/>
                <w:color w:val="auto"/>
                <w:sz w:val="22"/>
                <w:szCs w:val="22"/>
                <w:highlight w:val="none"/>
              </w:rPr>
              <w:t>1台</w:t>
            </w:r>
          </w:p>
        </w:tc>
      </w:tr>
      <w:tr w14:paraId="5591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17B3D0D8">
            <w:pPr>
              <w:jc w:val="center"/>
              <w:rPr>
                <w:rFonts w:ascii="宋体" w:hAnsi="宋体"/>
                <w:color w:val="auto"/>
                <w:sz w:val="22"/>
                <w:szCs w:val="22"/>
                <w:highlight w:val="none"/>
              </w:rPr>
            </w:pPr>
            <w:r>
              <w:rPr>
                <w:rFonts w:hint="eastAsia" w:ascii="宋体" w:hAnsi="宋体"/>
                <w:color w:val="auto"/>
                <w:sz w:val="22"/>
                <w:szCs w:val="22"/>
                <w:highlight w:val="none"/>
              </w:rPr>
              <w:t>12</w:t>
            </w:r>
          </w:p>
        </w:tc>
        <w:tc>
          <w:tcPr>
            <w:tcW w:w="2295" w:type="pct"/>
            <w:vAlign w:val="center"/>
          </w:tcPr>
          <w:p w14:paraId="04958A49">
            <w:pPr>
              <w:jc w:val="center"/>
              <w:rPr>
                <w:rFonts w:ascii="宋体" w:hAnsi="宋体"/>
                <w:color w:val="auto"/>
                <w:sz w:val="22"/>
                <w:szCs w:val="22"/>
                <w:highlight w:val="none"/>
              </w:rPr>
            </w:pPr>
            <w:r>
              <w:rPr>
                <w:rFonts w:hint="eastAsia" w:ascii="宋体" w:hAnsi="宋体"/>
                <w:color w:val="auto"/>
                <w:sz w:val="22"/>
                <w:szCs w:val="22"/>
                <w:highlight w:val="none"/>
              </w:rPr>
              <w:t>钢筋位置测定仪</w:t>
            </w:r>
          </w:p>
        </w:tc>
        <w:tc>
          <w:tcPr>
            <w:tcW w:w="1393" w:type="pct"/>
            <w:vAlign w:val="center"/>
          </w:tcPr>
          <w:p w14:paraId="3C2D9790">
            <w:pPr>
              <w:jc w:val="center"/>
              <w:rPr>
                <w:rFonts w:ascii="宋体" w:hAnsi="宋体"/>
                <w:color w:val="auto"/>
                <w:sz w:val="22"/>
                <w:szCs w:val="22"/>
                <w:highlight w:val="none"/>
              </w:rPr>
            </w:pPr>
            <w:r>
              <w:rPr>
                <w:rFonts w:hint="eastAsia" w:ascii="宋体" w:hAnsi="宋体"/>
                <w:color w:val="auto"/>
                <w:sz w:val="22"/>
                <w:szCs w:val="22"/>
                <w:highlight w:val="none"/>
              </w:rPr>
              <w:t>1台</w:t>
            </w:r>
          </w:p>
        </w:tc>
      </w:tr>
      <w:tr w14:paraId="1C9B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270AF6CB">
            <w:pPr>
              <w:jc w:val="center"/>
              <w:rPr>
                <w:rFonts w:ascii="宋体" w:hAnsi="宋体"/>
                <w:color w:val="auto"/>
                <w:sz w:val="22"/>
                <w:szCs w:val="22"/>
                <w:highlight w:val="none"/>
              </w:rPr>
            </w:pPr>
            <w:r>
              <w:rPr>
                <w:rFonts w:hint="eastAsia" w:ascii="宋体" w:hAnsi="宋体"/>
                <w:color w:val="auto"/>
                <w:sz w:val="22"/>
                <w:szCs w:val="22"/>
                <w:highlight w:val="none"/>
              </w:rPr>
              <w:t>13</w:t>
            </w:r>
          </w:p>
        </w:tc>
        <w:tc>
          <w:tcPr>
            <w:tcW w:w="2295" w:type="pct"/>
            <w:vAlign w:val="center"/>
          </w:tcPr>
          <w:p w14:paraId="15558676">
            <w:pPr>
              <w:jc w:val="center"/>
              <w:rPr>
                <w:rFonts w:ascii="宋体" w:hAnsi="宋体"/>
                <w:color w:val="auto"/>
                <w:sz w:val="22"/>
                <w:szCs w:val="22"/>
                <w:highlight w:val="none"/>
              </w:rPr>
            </w:pPr>
            <w:r>
              <w:rPr>
                <w:rFonts w:hint="eastAsia" w:ascii="宋体" w:hAnsi="宋体"/>
                <w:color w:val="auto"/>
                <w:sz w:val="22"/>
                <w:szCs w:val="22"/>
                <w:highlight w:val="none"/>
              </w:rPr>
              <w:t>测厚仪</w:t>
            </w:r>
          </w:p>
        </w:tc>
        <w:tc>
          <w:tcPr>
            <w:tcW w:w="1393" w:type="pct"/>
            <w:vAlign w:val="center"/>
          </w:tcPr>
          <w:p w14:paraId="6E203A43">
            <w:pPr>
              <w:jc w:val="center"/>
              <w:rPr>
                <w:rFonts w:ascii="宋体" w:hAnsi="宋体"/>
                <w:color w:val="auto"/>
                <w:sz w:val="22"/>
                <w:szCs w:val="22"/>
                <w:highlight w:val="none"/>
              </w:rPr>
            </w:pPr>
            <w:r>
              <w:rPr>
                <w:rFonts w:hint="eastAsia" w:ascii="宋体" w:hAnsi="宋体"/>
                <w:color w:val="auto"/>
                <w:sz w:val="22"/>
                <w:szCs w:val="22"/>
                <w:highlight w:val="none"/>
              </w:rPr>
              <w:t>1台</w:t>
            </w:r>
          </w:p>
        </w:tc>
      </w:tr>
      <w:tr w14:paraId="7927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347B378A">
            <w:pPr>
              <w:jc w:val="center"/>
              <w:rPr>
                <w:rFonts w:ascii="宋体" w:hAnsi="宋体"/>
                <w:color w:val="auto"/>
                <w:sz w:val="22"/>
                <w:szCs w:val="22"/>
                <w:highlight w:val="none"/>
              </w:rPr>
            </w:pPr>
            <w:r>
              <w:rPr>
                <w:rFonts w:hint="eastAsia" w:ascii="宋体" w:hAnsi="宋体"/>
                <w:color w:val="auto"/>
                <w:sz w:val="22"/>
                <w:szCs w:val="22"/>
                <w:highlight w:val="none"/>
              </w:rPr>
              <w:t>14</w:t>
            </w:r>
          </w:p>
        </w:tc>
        <w:tc>
          <w:tcPr>
            <w:tcW w:w="2295" w:type="pct"/>
            <w:vAlign w:val="center"/>
          </w:tcPr>
          <w:p w14:paraId="7D65E4B8">
            <w:pPr>
              <w:jc w:val="center"/>
              <w:rPr>
                <w:rFonts w:ascii="宋体" w:hAnsi="宋体"/>
                <w:color w:val="auto"/>
                <w:sz w:val="22"/>
                <w:szCs w:val="22"/>
                <w:highlight w:val="none"/>
              </w:rPr>
            </w:pPr>
            <w:r>
              <w:rPr>
                <w:rFonts w:hint="eastAsia" w:ascii="宋体" w:hAnsi="宋体"/>
                <w:color w:val="auto"/>
                <w:sz w:val="22"/>
                <w:szCs w:val="22"/>
                <w:highlight w:val="none"/>
              </w:rPr>
              <w:t>测漏电电阻仪</w:t>
            </w:r>
          </w:p>
        </w:tc>
        <w:tc>
          <w:tcPr>
            <w:tcW w:w="1393" w:type="pct"/>
            <w:vAlign w:val="center"/>
          </w:tcPr>
          <w:p w14:paraId="73584CEA">
            <w:pPr>
              <w:jc w:val="center"/>
              <w:rPr>
                <w:rFonts w:ascii="宋体" w:hAnsi="宋体"/>
                <w:color w:val="auto"/>
                <w:sz w:val="22"/>
                <w:szCs w:val="22"/>
                <w:highlight w:val="none"/>
              </w:rPr>
            </w:pPr>
            <w:r>
              <w:rPr>
                <w:rFonts w:hint="eastAsia" w:ascii="宋体" w:hAnsi="宋体"/>
                <w:color w:val="auto"/>
                <w:sz w:val="22"/>
                <w:szCs w:val="22"/>
                <w:highlight w:val="none"/>
              </w:rPr>
              <w:t>1台</w:t>
            </w:r>
          </w:p>
        </w:tc>
      </w:tr>
      <w:tr w14:paraId="6913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220FFC56">
            <w:pPr>
              <w:jc w:val="center"/>
              <w:rPr>
                <w:rFonts w:ascii="宋体" w:hAnsi="宋体"/>
                <w:color w:val="auto"/>
                <w:sz w:val="22"/>
                <w:szCs w:val="22"/>
                <w:highlight w:val="none"/>
              </w:rPr>
            </w:pPr>
            <w:r>
              <w:rPr>
                <w:rFonts w:hint="eastAsia" w:ascii="宋体" w:hAnsi="宋体"/>
                <w:color w:val="auto"/>
                <w:sz w:val="22"/>
                <w:szCs w:val="22"/>
                <w:highlight w:val="none"/>
              </w:rPr>
              <w:t>15</w:t>
            </w:r>
          </w:p>
        </w:tc>
        <w:tc>
          <w:tcPr>
            <w:tcW w:w="2295" w:type="pct"/>
            <w:vAlign w:val="center"/>
          </w:tcPr>
          <w:p w14:paraId="3AA3FA86">
            <w:pPr>
              <w:jc w:val="center"/>
              <w:rPr>
                <w:rFonts w:ascii="宋体" w:hAnsi="宋体"/>
                <w:color w:val="auto"/>
                <w:sz w:val="22"/>
                <w:szCs w:val="22"/>
                <w:highlight w:val="none"/>
              </w:rPr>
            </w:pPr>
            <w:r>
              <w:rPr>
                <w:rFonts w:hint="eastAsia" w:ascii="宋体" w:hAnsi="宋体"/>
                <w:color w:val="auto"/>
                <w:sz w:val="22"/>
                <w:szCs w:val="22"/>
                <w:highlight w:val="none"/>
              </w:rPr>
              <w:t>电秒表</w:t>
            </w:r>
          </w:p>
        </w:tc>
        <w:tc>
          <w:tcPr>
            <w:tcW w:w="1393" w:type="pct"/>
            <w:vAlign w:val="center"/>
          </w:tcPr>
          <w:p w14:paraId="395C9D4D">
            <w:pPr>
              <w:jc w:val="center"/>
              <w:rPr>
                <w:rFonts w:ascii="宋体" w:hAnsi="宋体"/>
                <w:color w:val="auto"/>
                <w:sz w:val="22"/>
                <w:szCs w:val="22"/>
                <w:highlight w:val="none"/>
              </w:rPr>
            </w:pPr>
            <w:r>
              <w:rPr>
                <w:rFonts w:hint="eastAsia" w:ascii="宋体" w:hAnsi="宋体"/>
                <w:color w:val="auto"/>
                <w:sz w:val="22"/>
                <w:szCs w:val="22"/>
                <w:highlight w:val="none"/>
              </w:rPr>
              <w:t>1只</w:t>
            </w:r>
          </w:p>
        </w:tc>
      </w:tr>
      <w:tr w14:paraId="4133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0EB0E353">
            <w:pPr>
              <w:jc w:val="center"/>
              <w:rPr>
                <w:rFonts w:ascii="宋体" w:hAnsi="宋体"/>
                <w:color w:val="auto"/>
                <w:sz w:val="22"/>
                <w:szCs w:val="22"/>
                <w:highlight w:val="none"/>
              </w:rPr>
            </w:pPr>
            <w:r>
              <w:rPr>
                <w:rFonts w:hint="eastAsia" w:ascii="宋体" w:hAnsi="宋体"/>
                <w:color w:val="auto"/>
                <w:sz w:val="22"/>
                <w:szCs w:val="22"/>
                <w:highlight w:val="none"/>
              </w:rPr>
              <w:t>16</w:t>
            </w:r>
          </w:p>
        </w:tc>
        <w:tc>
          <w:tcPr>
            <w:tcW w:w="2295" w:type="pct"/>
            <w:vAlign w:val="center"/>
          </w:tcPr>
          <w:p w14:paraId="6F92FE0A">
            <w:pPr>
              <w:jc w:val="center"/>
              <w:rPr>
                <w:rFonts w:ascii="宋体" w:hAnsi="宋体"/>
                <w:color w:val="auto"/>
                <w:sz w:val="22"/>
                <w:szCs w:val="22"/>
                <w:highlight w:val="none"/>
              </w:rPr>
            </w:pPr>
            <w:r>
              <w:rPr>
                <w:rFonts w:hint="eastAsia" w:ascii="宋体" w:hAnsi="宋体"/>
                <w:color w:val="auto"/>
                <w:sz w:val="22"/>
                <w:szCs w:val="22"/>
                <w:highlight w:val="none"/>
              </w:rPr>
              <w:t>三相电源检测器</w:t>
            </w:r>
          </w:p>
        </w:tc>
        <w:tc>
          <w:tcPr>
            <w:tcW w:w="1393" w:type="pct"/>
            <w:vAlign w:val="center"/>
          </w:tcPr>
          <w:p w14:paraId="71B98824">
            <w:pPr>
              <w:jc w:val="center"/>
              <w:rPr>
                <w:rFonts w:ascii="宋体" w:hAnsi="宋体"/>
                <w:color w:val="auto"/>
                <w:sz w:val="22"/>
                <w:szCs w:val="22"/>
                <w:highlight w:val="none"/>
              </w:rPr>
            </w:pPr>
            <w:r>
              <w:rPr>
                <w:rFonts w:hint="eastAsia" w:ascii="宋体" w:hAnsi="宋体"/>
                <w:color w:val="auto"/>
                <w:sz w:val="22"/>
                <w:szCs w:val="22"/>
                <w:highlight w:val="none"/>
              </w:rPr>
              <w:t>1只</w:t>
            </w:r>
          </w:p>
        </w:tc>
      </w:tr>
      <w:tr w14:paraId="14A2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578C3843">
            <w:pPr>
              <w:jc w:val="center"/>
              <w:rPr>
                <w:rFonts w:ascii="宋体" w:hAnsi="宋体"/>
                <w:color w:val="auto"/>
                <w:sz w:val="22"/>
                <w:szCs w:val="22"/>
                <w:highlight w:val="none"/>
              </w:rPr>
            </w:pPr>
            <w:r>
              <w:rPr>
                <w:rFonts w:hint="eastAsia" w:ascii="宋体" w:hAnsi="宋体"/>
                <w:color w:val="auto"/>
                <w:sz w:val="22"/>
                <w:szCs w:val="22"/>
                <w:highlight w:val="none"/>
              </w:rPr>
              <w:t>17</w:t>
            </w:r>
          </w:p>
        </w:tc>
        <w:tc>
          <w:tcPr>
            <w:tcW w:w="2295" w:type="pct"/>
            <w:vAlign w:val="center"/>
          </w:tcPr>
          <w:p w14:paraId="5D3BEBCD">
            <w:pPr>
              <w:jc w:val="center"/>
              <w:rPr>
                <w:rFonts w:ascii="宋体" w:hAnsi="宋体"/>
                <w:color w:val="auto"/>
                <w:sz w:val="22"/>
                <w:szCs w:val="22"/>
                <w:highlight w:val="none"/>
              </w:rPr>
            </w:pPr>
            <w:r>
              <w:rPr>
                <w:rFonts w:hint="eastAsia" w:ascii="宋体" w:hAnsi="宋体"/>
                <w:color w:val="auto"/>
                <w:sz w:val="22"/>
                <w:szCs w:val="22"/>
                <w:highlight w:val="none"/>
              </w:rPr>
              <w:t>兆欧表</w:t>
            </w:r>
          </w:p>
        </w:tc>
        <w:tc>
          <w:tcPr>
            <w:tcW w:w="1393" w:type="pct"/>
            <w:vAlign w:val="center"/>
          </w:tcPr>
          <w:p w14:paraId="3715A873">
            <w:pPr>
              <w:jc w:val="center"/>
              <w:rPr>
                <w:rFonts w:ascii="宋体" w:hAnsi="宋体"/>
                <w:color w:val="auto"/>
                <w:sz w:val="22"/>
                <w:szCs w:val="22"/>
                <w:highlight w:val="none"/>
              </w:rPr>
            </w:pPr>
            <w:r>
              <w:rPr>
                <w:rFonts w:hint="eastAsia" w:ascii="宋体" w:hAnsi="宋体"/>
                <w:color w:val="auto"/>
                <w:sz w:val="22"/>
                <w:szCs w:val="22"/>
                <w:highlight w:val="none"/>
              </w:rPr>
              <w:t>1只</w:t>
            </w:r>
          </w:p>
        </w:tc>
      </w:tr>
      <w:tr w14:paraId="0A27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2B95F901">
            <w:pPr>
              <w:jc w:val="center"/>
              <w:rPr>
                <w:rFonts w:ascii="宋体" w:hAnsi="宋体"/>
                <w:color w:val="auto"/>
                <w:sz w:val="22"/>
                <w:szCs w:val="22"/>
                <w:highlight w:val="none"/>
              </w:rPr>
            </w:pPr>
            <w:r>
              <w:rPr>
                <w:rFonts w:hint="eastAsia" w:ascii="宋体" w:hAnsi="宋体"/>
                <w:color w:val="auto"/>
                <w:sz w:val="22"/>
                <w:szCs w:val="22"/>
                <w:highlight w:val="none"/>
              </w:rPr>
              <w:t>18</w:t>
            </w:r>
          </w:p>
        </w:tc>
        <w:tc>
          <w:tcPr>
            <w:tcW w:w="2295" w:type="pct"/>
            <w:vAlign w:val="center"/>
          </w:tcPr>
          <w:p w14:paraId="7AEC887B">
            <w:pPr>
              <w:jc w:val="center"/>
              <w:rPr>
                <w:rFonts w:ascii="宋体" w:hAnsi="宋体"/>
                <w:color w:val="auto"/>
                <w:sz w:val="22"/>
                <w:szCs w:val="22"/>
                <w:highlight w:val="none"/>
              </w:rPr>
            </w:pPr>
            <w:r>
              <w:rPr>
                <w:rFonts w:hint="eastAsia" w:ascii="宋体" w:hAnsi="宋体"/>
                <w:color w:val="auto"/>
                <w:sz w:val="22"/>
                <w:szCs w:val="22"/>
                <w:highlight w:val="none"/>
              </w:rPr>
              <w:t>管道压力表</w:t>
            </w:r>
          </w:p>
        </w:tc>
        <w:tc>
          <w:tcPr>
            <w:tcW w:w="1393" w:type="pct"/>
            <w:vAlign w:val="center"/>
          </w:tcPr>
          <w:p w14:paraId="490DD3C6">
            <w:pPr>
              <w:jc w:val="center"/>
              <w:rPr>
                <w:rFonts w:ascii="宋体" w:hAnsi="宋体"/>
                <w:color w:val="auto"/>
                <w:sz w:val="22"/>
                <w:szCs w:val="22"/>
                <w:highlight w:val="none"/>
              </w:rPr>
            </w:pPr>
            <w:r>
              <w:rPr>
                <w:rFonts w:hint="eastAsia" w:ascii="宋体" w:hAnsi="宋体"/>
                <w:color w:val="auto"/>
                <w:sz w:val="22"/>
                <w:szCs w:val="22"/>
                <w:highlight w:val="none"/>
              </w:rPr>
              <w:t>1只</w:t>
            </w:r>
          </w:p>
        </w:tc>
      </w:tr>
      <w:tr w14:paraId="0109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7DA93A36">
            <w:pPr>
              <w:jc w:val="center"/>
              <w:rPr>
                <w:rFonts w:ascii="宋体" w:hAnsi="宋体"/>
                <w:color w:val="auto"/>
                <w:sz w:val="22"/>
                <w:szCs w:val="22"/>
                <w:highlight w:val="none"/>
              </w:rPr>
            </w:pPr>
            <w:r>
              <w:rPr>
                <w:rFonts w:hint="eastAsia" w:ascii="宋体" w:hAnsi="宋体"/>
                <w:color w:val="auto"/>
                <w:sz w:val="22"/>
                <w:szCs w:val="22"/>
                <w:highlight w:val="none"/>
              </w:rPr>
              <w:t>19</w:t>
            </w:r>
          </w:p>
        </w:tc>
        <w:tc>
          <w:tcPr>
            <w:tcW w:w="2295" w:type="pct"/>
            <w:vAlign w:val="center"/>
          </w:tcPr>
          <w:p w14:paraId="7CB18374">
            <w:pPr>
              <w:jc w:val="center"/>
              <w:rPr>
                <w:rFonts w:ascii="宋体" w:hAnsi="宋体"/>
                <w:color w:val="auto"/>
                <w:sz w:val="22"/>
                <w:szCs w:val="22"/>
                <w:highlight w:val="none"/>
              </w:rPr>
            </w:pPr>
            <w:r>
              <w:rPr>
                <w:rFonts w:hint="eastAsia" w:ascii="宋体" w:hAnsi="宋体"/>
                <w:color w:val="auto"/>
                <w:sz w:val="22"/>
                <w:szCs w:val="22"/>
                <w:highlight w:val="none"/>
              </w:rPr>
              <w:t>万用表</w:t>
            </w:r>
          </w:p>
        </w:tc>
        <w:tc>
          <w:tcPr>
            <w:tcW w:w="1393" w:type="pct"/>
            <w:vAlign w:val="center"/>
          </w:tcPr>
          <w:p w14:paraId="67F8C026">
            <w:pPr>
              <w:jc w:val="center"/>
              <w:rPr>
                <w:rFonts w:ascii="宋体" w:hAnsi="宋体"/>
                <w:color w:val="auto"/>
                <w:sz w:val="22"/>
                <w:szCs w:val="22"/>
                <w:highlight w:val="none"/>
              </w:rPr>
            </w:pPr>
            <w:r>
              <w:rPr>
                <w:rFonts w:hint="eastAsia" w:ascii="宋体" w:hAnsi="宋体"/>
                <w:color w:val="auto"/>
                <w:sz w:val="22"/>
                <w:szCs w:val="22"/>
                <w:highlight w:val="none"/>
              </w:rPr>
              <w:t>1只</w:t>
            </w:r>
          </w:p>
        </w:tc>
      </w:tr>
      <w:tr w14:paraId="6BB9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29FEC77A">
            <w:pPr>
              <w:jc w:val="center"/>
              <w:rPr>
                <w:rFonts w:ascii="宋体" w:hAnsi="宋体"/>
                <w:color w:val="auto"/>
                <w:sz w:val="22"/>
                <w:szCs w:val="22"/>
                <w:highlight w:val="none"/>
              </w:rPr>
            </w:pPr>
            <w:r>
              <w:rPr>
                <w:rFonts w:hint="eastAsia" w:ascii="宋体" w:hAnsi="宋体"/>
                <w:color w:val="auto"/>
                <w:sz w:val="22"/>
                <w:szCs w:val="22"/>
                <w:highlight w:val="none"/>
              </w:rPr>
              <w:t>20</w:t>
            </w:r>
          </w:p>
        </w:tc>
        <w:tc>
          <w:tcPr>
            <w:tcW w:w="2295" w:type="pct"/>
            <w:vAlign w:val="center"/>
          </w:tcPr>
          <w:p w14:paraId="073684AA">
            <w:pPr>
              <w:jc w:val="center"/>
              <w:rPr>
                <w:rFonts w:ascii="宋体" w:hAnsi="宋体"/>
                <w:color w:val="auto"/>
                <w:sz w:val="22"/>
                <w:szCs w:val="22"/>
                <w:highlight w:val="none"/>
              </w:rPr>
            </w:pPr>
            <w:r>
              <w:rPr>
                <w:rFonts w:hint="eastAsia" w:ascii="宋体" w:hAnsi="宋体"/>
                <w:color w:val="auto"/>
                <w:sz w:val="22"/>
                <w:szCs w:val="22"/>
                <w:highlight w:val="none"/>
              </w:rPr>
              <w:t>50m钢卷尺</w:t>
            </w:r>
          </w:p>
        </w:tc>
        <w:tc>
          <w:tcPr>
            <w:tcW w:w="1393" w:type="pct"/>
            <w:vAlign w:val="center"/>
          </w:tcPr>
          <w:p w14:paraId="7AB4D01B">
            <w:pPr>
              <w:jc w:val="center"/>
              <w:rPr>
                <w:rFonts w:ascii="宋体" w:hAnsi="宋体"/>
                <w:color w:val="auto"/>
                <w:sz w:val="22"/>
                <w:szCs w:val="22"/>
                <w:highlight w:val="none"/>
              </w:rPr>
            </w:pPr>
            <w:r>
              <w:rPr>
                <w:rFonts w:hint="eastAsia" w:ascii="宋体" w:hAnsi="宋体"/>
                <w:color w:val="auto"/>
                <w:sz w:val="22"/>
                <w:szCs w:val="22"/>
                <w:highlight w:val="none"/>
              </w:rPr>
              <w:t>2支</w:t>
            </w:r>
          </w:p>
        </w:tc>
      </w:tr>
      <w:tr w14:paraId="3097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7AE396F3">
            <w:pPr>
              <w:jc w:val="center"/>
              <w:rPr>
                <w:rFonts w:ascii="宋体" w:hAnsi="宋体"/>
                <w:color w:val="auto"/>
                <w:sz w:val="22"/>
                <w:szCs w:val="22"/>
                <w:highlight w:val="none"/>
              </w:rPr>
            </w:pPr>
            <w:r>
              <w:rPr>
                <w:rFonts w:hint="eastAsia" w:ascii="宋体" w:hAnsi="宋体"/>
                <w:color w:val="auto"/>
                <w:sz w:val="22"/>
                <w:szCs w:val="22"/>
                <w:highlight w:val="none"/>
              </w:rPr>
              <w:t>21</w:t>
            </w:r>
          </w:p>
        </w:tc>
        <w:tc>
          <w:tcPr>
            <w:tcW w:w="2295" w:type="pct"/>
            <w:vAlign w:val="center"/>
          </w:tcPr>
          <w:p w14:paraId="2702640A">
            <w:pPr>
              <w:jc w:val="center"/>
              <w:rPr>
                <w:rFonts w:ascii="宋体" w:hAnsi="宋体"/>
                <w:color w:val="auto"/>
                <w:sz w:val="22"/>
                <w:szCs w:val="22"/>
                <w:highlight w:val="none"/>
              </w:rPr>
            </w:pPr>
            <w:r>
              <w:rPr>
                <w:rFonts w:hint="eastAsia" w:ascii="宋体" w:hAnsi="宋体"/>
                <w:color w:val="auto"/>
                <w:sz w:val="22"/>
                <w:szCs w:val="22"/>
                <w:highlight w:val="none"/>
              </w:rPr>
              <w:t>电子游标卡尺</w:t>
            </w:r>
          </w:p>
        </w:tc>
        <w:tc>
          <w:tcPr>
            <w:tcW w:w="1393" w:type="pct"/>
            <w:vAlign w:val="center"/>
          </w:tcPr>
          <w:p w14:paraId="500EA48B">
            <w:pPr>
              <w:jc w:val="center"/>
              <w:rPr>
                <w:rFonts w:ascii="宋体" w:hAnsi="宋体"/>
                <w:color w:val="auto"/>
                <w:sz w:val="22"/>
                <w:szCs w:val="22"/>
                <w:highlight w:val="none"/>
              </w:rPr>
            </w:pPr>
            <w:r>
              <w:rPr>
                <w:rFonts w:hint="eastAsia" w:ascii="宋体" w:hAnsi="宋体"/>
                <w:color w:val="auto"/>
                <w:sz w:val="22"/>
                <w:szCs w:val="22"/>
                <w:highlight w:val="none"/>
              </w:rPr>
              <w:t>1支</w:t>
            </w:r>
          </w:p>
        </w:tc>
      </w:tr>
      <w:tr w14:paraId="53BD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307ADED8">
            <w:pPr>
              <w:jc w:val="center"/>
              <w:rPr>
                <w:rFonts w:ascii="宋体" w:hAnsi="宋体"/>
                <w:color w:val="auto"/>
                <w:sz w:val="22"/>
                <w:szCs w:val="22"/>
                <w:highlight w:val="none"/>
              </w:rPr>
            </w:pPr>
            <w:r>
              <w:rPr>
                <w:rFonts w:hint="eastAsia" w:ascii="宋体" w:hAnsi="宋体"/>
                <w:color w:val="auto"/>
                <w:sz w:val="22"/>
                <w:szCs w:val="22"/>
                <w:highlight w:val="none"/>
              </w:rPr>
              <w:t>22</w:t>
            </w:r>
          </w:p>
        </w:tc>
        <w:tc>
          <w:tcPr>
            <w:tcW w:w="2295" w:type="pct"/>
            <w:vAlign w:val="center"/>
          </w:tcPr>
          <w:p w14:paraId="784253CF">
            <w:pPr>
              <w:jc w:val="center"/>
              <w:rPr>
                <w:rFonts w:ascii="宋体" w:hAnsi="宋体"/>
                <w:color w:val="auto"/>
                <w:sz w:val="22"/>
                <w:szCs w:val="22"/>
                <w:highlight w:val="none"/>
              </w:rPr>
            </w:pPr>
            <w:r>
              <w:rPr>
                <w:rFonts w:hint="eastAsia" w:ascii="宋体" w:hAnsi="宋体"/>
                <w:color w:val="auto"/>
                <w:sz w:val="22"/>
                <w:szCs w:val="22"/>
                <w:highlight w:val="none"/>
              </w:rPr>
              <w:t>千分卡尺</w:t>
            </w:r>
          </w:p>
        </w:tc>
        <w:tc>
          <w:tcPr>
            <w:tcW w:w="1393" w:type="pct"/>
            <w:vAlign w:val="center"/>
          </w:tcPr>
          <w:p w14:paraId="4F092E7C">
            <w:pPr>
              <w:jc w:val="center"/>
              <w:rPr>
                <w:rFonts w:ascii="宋体" w:hAnsi="宋体"/>
                <w:color w:val="auto"/>
                <w:sz w:val="22"/>
                <w:szCs w:val="22"/>
                <w:highlight w:val="none"/>
              </w:rPr>
            </w:pPr>
            <w:r>
              <w:rPr>
                <w:rFonts w:hint="eastAsia" w:ascii="宋体" w:hAnsi="宋体"/>
                <w:color w:val="auto"/>
                <w:sz w:val="22"/>
                <w:szCs w:val="22"/>
                <w:highlight w:val="none"/>
              </w:rPr>
              <w:t>1支</w:t>
            </w:r>
          </w:p>
        </w:tc>
      </w:tr>
      <w:tr w14:paraId="279B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6CBC383D">
            <w:pPr>
              <w:jc w:val="center"/>
              <w:rPr>
                <w:rFonts w:ascii="宋体" w:hAnsi="宋体"/>
                <w:color w:val="auto"/>
                <w:sz w:val="22"/>
                <w:szCs w:val="22"/>
                <w:highlight w:val="none"/>
              </w:rPr>
            </w:pPr>
            <w:r>
              <w:rPr>
                <w:rFonts w:hint="eastAsia" w:ascii="宋体" w:hAnsi="宋体"/>
                <w:color w:val="auto"/>
                <w:sz w:val="22"/>
                <w:szCs w:val="22"/>
                <w:highlight w:val="none"/>
              </w:rPr>
              <w:t>23</w:t>
            </w:r>
          </w:p>
        </w:tc>
        <w:tc>
          <w:tcPr>
            <w:tcW w:w="2295" w:type="pct"/>
            <w:vAlign w:val="center"/>
          </w:tcPr>
          <w:p w14:paraId="3C71E136">
            <w:pPr>
              <w:jc w:val="center"/>
              <w:rPr>
                <w:rFonts w:ascii="宋体" w:hAnsi="宋体"/>
                <w:color w:val="auto"/>
                <w:sz w:val="22"/>
                <w:szCs w:val="22"/>
                <w:highlight w:val="none"/>
              </w:rPr>
            </w:pPr>
            <w:r>
              <w:rPr>
                <w:rFonts w:hint="eastAsia" w:ascii="宋体" w:hAnsi="宋体"/>
                <w:color w:val="auto"/>
                <w:sz w:val="22"/>
                <w:szCs w:val="22"/>
                <w:highlight w:val="none"/>
              </w:rPr>
              <w:t>信息点检测仪</w:t>
            </w:r>
          </w:p>
        </w:tc>
        <w:tc>
          <w:tcPr>
            <w:tcW w:w="1393" w:type="pct"/>
            <w:vAlign w:val="center"/>
          </w:tcPr>
          <w:p w14:paraId="7BACB750">
            <w:pPr>
              <w:jc w:val="center"/>
              <w:rPr>
                <w:rFonts w:ascii="宋体" w:hAnsi="宋体"/>
                <w:color w:val="auto"/>
                <w:sz w:val="22"/>
                <w:szCs w:val="22"/>
                <w:highlight w:val="none"/>
              </w:rPr>
            </w:pPr>
            <w:r>
              <w:rPr>
                <w:rFonts w:hint="eastAsia" w:ascii="宋体" w:hAnsi="宋体"/>
                <w:color w:val="auto"/>
                <w:sz w:val="22"/>
                <w:szCs w:val="22"/>
                <w:highlight w:val="none"/>
              </w:rPr>
              <w:t>1台</w:t>
            </w:r>
          </w:p>
        </w:tc>
      </w:tr>
      <w:tr w14:paraId="339E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0481D1BD">
            <w:pPr>
              <w:jc w:val="center"/>
              <w:rPr>
                <w:rFonts w:ascii="宋体" w:hAnsi="宋体"/>
                <w:color w:val="auto"/>
                <w:sz w:val="22"/>
                <w:szCs w:val="22"/>
                <w:highlight w:val="none"/>
              </w:rPr>
            </w:pPr>
            <w:r>
              <w:rPr>
                <w:rFonts w:hint="eastAsia" w:ascii="宋体" w:hAnsi="宋体"/>
                <w:color w:val="auto"/>
                <w:sz w:val="22"/>
                <w:szCs w:val="22"/>
                <w:highlight w:val="none"/>
              </w:rPr>
              <w:t>24</w:t>
            </w:r>
          </w:p>
        </w:tc>
        <w:tc>
          <w:tcPr>
            <w:tcW w:w="2295" w:type="pct"/>
            <w:vAlign w:val="center"/>
          </w:tcPr>
          <w:p w14:paraId="647B5587">
            <w:pPr>
              <w:jc w:val="center"/>
              <w:rPr>
                <w:rFonts w:ascii="宋体" w:hAnsi="宋体"/>
                <w:color w:val="auto"/>
                <w:sz w:val="22"/>
                <w:szCs w:val="22"/>
                <w:highlight w:val="none"/>
              </w:rPr>
            </w:pPr>
            <w:r>
              <w:rPr>
                <w:rFonts w:hint="eastAsia" w:ascii="宋体" w:hAnsi="宋体"/>
                <w:color w:val="auto"/>
                <w:sz w:val="22"/>
                <w:szCs w:val="22"/>
                <w:highlight w:val="none"/>
              </w:rPr>
              <w:t>笔记本电脑</w:t>
            </w:r>
          </w:p>
        </w:tc>
        <w:tc>
          <w:tcPr>
            <w:tcW w:w="1393" w:type="pct"/>
            <w:vAlign w:val="center"/>
          </w:tcPr>
          <w:p w14:paraId="05064F8B">
            <w:pPr>
              <w:jc w:val="center"/>
              <w:rPr>
                <w:rFonts w:ascii="宋体" w:hAnsi="宋体"/>
                <w:color w:val="auto"/>
                <w:sz w:val="22"/>
                <w:szCs w:val="22"/>
                <w:highlight w:val="none"/>
              </w:rPr>
            </w:pPr>
            <w:r>
              <w:rPr>
                <w:rFonts w:hint="eastAsia" w:ascii="宋体" w:hAnsi="宋体"/>
                <w:color w:val="auto"/>
                <w:sz w:val="22"/>
                <w:szCs w:val="22"/>
                <w:highlight w:val="none"/>
              </w:rPr>
              <w:t>1台</w:t>
            </w:r>
          </w:p>
        </w:tc>
      </w:tr>
      <w:tr w14:paraId="2F88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01124AE7">
            <w:pPr>
              <w:jc w:val="center"/>
              <w:rPr>
                <w:rFonts w:ascii="宋体" w:hAnsi="宋体"/>
                <w:color w:val="auto"/>
                <w:sz w:val="22"/>
                <w:szCs w:val="22"/>
                <w:highlight w:val="none"/>
              </w:rPr>
            </w:pPr>
            <w:r>
              <w:rPr>
                <w:rFonts w:hint="eastAsia" w:ascii="宋体" w:hAnsi="宋体"/>
                <w:color w:val="auto"/>
                <w:sz w:val="22"/>
                <w:szCs w:val="22"/>
                <w:highlight w:val="none"/>
              </w:rPr>
              <w:t>25</w:t>
            </w:r>
          </w:p>
        </w:tc>
        <w:tc>
          <w:tcPr>
            <w:tcW w:w="2295" w:type="pct"/>
            <w:vAlign w:val="center"/>
          </w:tcPr>
          <w:p w14:paraId="7D8ED34F">
            <w:pPr>
              <w:jc w:val="center"/>
              <w:rPr>
                <w:rFonts w:ascii="宋体" w:hAnsi="宋体"/>
                <w:color w:val="auto"/>
                <w:sz w:val="22"/>
                <w:szCs w:val="22"/>
                <w:highlight w:val="none"/>
              </w:rPr>
            </w:pPr>
            <w:r>
              <w:rPr>
                <w:rFonts w:hint="eastAsia" w:ascii="宋体" w:hAnsi="宋体"/>
                <w:color w:val="auto"/>
                <w:sz w:val="22"/>
                <w:szCs w:val="22"/>
                <w:highlight w:val="none"/>
              </w:rPr>
              <w:t>打印机</w:t>
            </w:r>
          </w:p>
        </w:tc>
        <w:tc>
          <w:tcPr>
            <w:tcW w:w="1393" w:type="pct"/>
            <w:vAlign w:val="center"/>
          </w:tcPr>
          <w:p w14:paraId="4DAEBB2A">
            <w:pPr>
              <w:jc w:val="center"/>
              <w:rPr>
                <w:rFonts w:ascii="宋体" w:hAnsi="宋体"/>
                <w:color w:val="auto"/>
                <w:sz w:val="22"/>
                <w:szCs w:val="22"/>
                <w:highlight w:val="none"/>
              </w:rPr>
            </w:pPr>
            <w:r>
              <w:rPr>
                <w:rFonts w:hint="eastAsia" w:ascii="宋体" w:hAnsi="宋体"/>
                <w:color w:val="auto"/>
                <w:sz w:val="22"/>
                <w:szCs w:val="22"/>
                <w:highlight w:val="none"/>
              </w:rPr>
              <w:t>1台</w:t>
            </w:r>
          </w:p>
        </w:tc>
      </w:tr>
      <w:tr w14:paraId="2B6D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2" w:type="pct"/>
            <w:vAlign w:val="center"/>
          </w:tcPr>
          <w:p w14:paraId="6A8A5EF4">
            <w:pPr>
              <w:jc w:val="center"/>
              <w:rPr>
                <w:rFonts w:ascii="宋体" w:hAnsi="宋体"/>
                <w:color w:val="auto"/>
                <w:sz w:val="22"/>
                <w:szCs w:val="22"/>
                <w:highlight w:val="none"/>
              </w:rPr>
            </w:pPr>
            <w:r>
              <w:rPr>
                <w:rFonts w:hint="eastAsia" w:ascii="宋体" w:hAnsi="宋体"/>
                <w:color w:val="auto"/>
                <w:sz w:val="22"/>
                <w:szCs w:val="22"/>
                <w:highlight w:val="none"/>
              </w:rPr>
              <w:t>26</w:t>
            </w:r>
          </w:p>
        </w:tc>
        <w:tc>
          <w:tcPr>
            <w:tcW w:w="2295" w:type="pct"/>
            <w:vAlign w:val="center"/>
          </w:tcPr>
          <w:p w14:paraId="73C194B7">
            <w:pPr>
              <w:jc w:val="center"/>
              <w:rPr>
                <w:rFonts w:ascii="宋体" w:hAnsi="宋体"/>
                <w:color w:val="auto"/>
                <w:sz w:val="22"/>
                <w:szCs w:val="22"/>
                <w:highlight w:val="none"/>
              </w:rPr>
            </w:pPr>
            <w:r>
              <w:rPr>
                <w:rFonts w:hint="eastAsia" w:ascii="宋体" w:hAnsi="宋体"/>
                <w:color w:val="auto"/>
                <w:sz w:val="22"/>
                <w:szCs w:val="22"/>
                <w:highlight w:val="none"/>
              </w:rPr>
              <w:t>数码照相机</w:t>
            </w:r>
          </w:p>
        </w:tc>
        <w:tc>
          <w:tcPr>
            <w:tcW w:w="1393" w:type="pct"/>
            <w:vAlign w:val="center"/>
          </w:tcPr>
          <w:p w14:paraId="7B2ED872">
            <w:pPr>
              <w:jc w:val="center"/>
              <w:rPr>
                <w:rFonts w:ascii="宋体" w:hAnsi="宋体"/>
                <w:color w:val="auto"/>
                <w:sz w:val="22"/>
                <w:szCs w:val="22"/>
                <w:highlight w:val="none"/>
              </w:rPr>
            </w:pPr>
            <w:r>
              <w:rPr>
                <w:rFonts w:hint="eastAsia" w:ascii="宋体" w:hAnsi="宋体"/>
                <w:color w:val="auto"/>
                <w:sz w:val="22"/>
                <w:szCs w:val="22"/>
                <w:highlight w:val="none"/>
              </w:rPr>
              <w:t>1台</w:t>
            </w:r>
          </w:p>
        </w:tc>
      </w:tr>
    </w:tbl>
    <w:p w14:paraId="17036C2E">
      <w:pPr>
        <w:adjustRightInd w:val="0"/>
        <w:spacing w:line="440" w:lineRule="exact"/>
        <w:ind w:firstLine="440" w:firstLineChars="200"/>
        <w:rPr>
          <w:rFonts w:ascii="宋体" w:hAnsi="宋体" w:cs="宋体"/>
          <w:color w:val="auto"/>
          <w:kern w:val="0"/>
          <w:sz w:val="22"/>
          <w:szCs w:val="22"/>
          <w:highlight w:val="none"/>
        </w:rPr>
      </w:pPr>
      <w:r>
        <w:rPr>
          <w:rFonts w:hint="eastAsia" w:ascii="宋体" w:hAnsi="宋体"/>
          <w:color w:val="auto"/>
          <w:sz w:val="22"/>
          <w:szCs w:val="22"/>
          <w:highlight w:val="none"/>
        </w:rPr>
        <w:t>9.13</w:t>
      </w:r>
      <w:r>
        <w:rPr>
          <w:rFonts w:hint="eastAsia" w:ascii="宋体" w:hAnsi="宋体" w:cs="宋体"/>
          <w:color w:val="auto"/>
          <w:kern w:val="0"/>
          <w:sz w:val="22"/>
          <w:szCs w:val="22"/>
          <w:highlight w:val="none"/>
        </w:rPr>
        <w:t>履约保证金</w:t>
      </w:r>
    </w:p>
    <w:p w14:paraId="489DE4F2">
      <w:pPr>
        <w:widowControl/>
        <w:spacing w:line="440" w:lineRule="exact"/>
        <w:ind w:firstLine="440" w:firstLineChars="200"/>
        <w:jc w:val="left"/>
        <w:rPr>
          <w:rFonts w:ascii="宋体" w:hAnsi="宋体" w:cs="宋体"/>
          <w:bCs/>
          <w:color w:val="auto"/>
          <w:kern w:val="0"/>
          <w:sz w:val="22"/>
          <w:szCs w:val="22"/>
          <w:highlight w:val="none"/>
          <w:u w:val="single"/>
        </w:rPr>
      </w:pPr>
      <w:r>
        <w:rPr>
          <w:rFonts w:hint="eastAsia" w:ascii="宋体" w:hAnsi="宋体" w:cs="宋体"/>
          <w:bCs/>
          <w:color w:val="auto"/>
          <w:kern w:val="0"/>
          <w:sz w:val="22"/>
          <w:szCs w:val="22"/>
          <w:highlight w:val="none"/>
          <w:u w:val="single"/>
        </w:rPr>
        <w:t>履约保证金数额：</w:t>
      </w:r>
      <w:r>
        <w:rPr>
          <w:rFonts w:hint="eastAsia" w:ascii="宋体" w:hAnsi="宋体" w:cs="宋体"/>
          <w:bCs/>
          <w:color w:val="auto"/>
          <w:kern w:val="0"/>
          <w:sz w:val="22"/>
          <w:szCs w:val="22"/>
          <w:highlight w:val="none"/>
          <w:u w:val="single"/>
          <w:lang w:val="en-US" w:eastAsia="zh-CN"/>
        </w:rPr>
        <w:t xml:space="preserve">        </w:t>
      </w:r>
      <w:r>
        <w:rPr>
          <w:rFonts w:hint="eastAsia" w:ascii="宋体" w:hAnsi="宋体" w:cs="宋体"/>
          <w:bCs/>
          <w:color w:val="auto"/>
          <w:kern w:val="0"/>
          <w:sz w:val="22"/>
          <w:szCs w:val="22"/>
          <w:highlight w:val="none"/>
          <w:u w:val="single"/>
        </w:rPr>
        <w:t>。履约保证金缴纳形式</w:t>
      </w:r>
      <w:r>
        <w:rPr>
          <w:rFonts w:hint="eastAsia" w:ascii="宋体" w:hAnsi="宋体" w:cs="宋体"/>
          <w:bCs/>
          <w:color w:val="auto"/>
          <w:kern w:val="0"/>
          <w:sz w:val="22"/>
          <w:szCs w:val="22"/>
          <w:highlight w:val="none"/>
          <w:u w:val="single"/>
          <w:lang w:eastAsia="zh-CN"/>
        </w:rPr>
        <w:t>：</w:t>
      </w:r>
      <w:r>
        <w:rPr>
          <w:rFonts w:hint="eastAsia" w:ascii="宋体" w:hAnsi="宋体" w:cs="宋体"/>
          <w:bCs/>
          <w:color w:val="auto"/>
          <w:kern w:val="0"/>
          <w:sz w:val="22"/>
          <w:szCs w:val="22"/>
          <w:highlight w:val="none"/>
          <w:u w:val="single"/>
          <w:lang w:val="en-US" w:eastAsia="zh-CN"/>
        </w:rPr>
        <w:t xml:space="preserve">          </w:t>
      </w:r>
      <w:r>
        <w:rPr>
          <w:rFonts w:hint="eastAsia" w:ascii="宋体" w:hAnsi="宋体" w:cs="宋体"/>
          <w:bCs/>
          <w:color w:val="auto"/>
          <w:kern w:val="0"/>
          <w:sz w:val="22"/>
          <w:szCs w:val="22"/>
          <w:highlight w:val="none"/>
          <w:u w:val="single"/>
        </w:rPr>
        <w:t>。</w:t>
      </w:r>
    </w:p>
    <w:p w14:paraId="61D57EAE">
      <w:pPr>
        <w:widowControl/>
        <w:spacing w:line="440" w:lineRule="exact"/>
        <w:ind w:firstLine="442" w:firstLineChars="200"/>
        <w:jc w:val="lef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A、监理人违约时，对履约保证金的处理：</w:t>
      </w:r>
    </w:p>
    <w:p w14:paraId="423E98B4">
      <w:pPr>
        <w:widowControl/>
        <w:spacing w:line="44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(1)未能按时完成工程，交付工程验收，除履约保证金的40%不予退还外，还需承担由此带来的一切损失和费用；</w:t>
      </w:r>
    </w:p>
    <w:p w14:paraId="61BFD236">
      <w:pPr>
        <w:widowControl/>
        <w:spacing w:line="44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(2)未能完成招标文件质量标准要求的，除履约保证金的30%不予退还外，还需承担由此带来的一切损失和费用；</w:t>
      </w:r>
    </w:p>
    <w:p w14:paraId="5D041707">
      <w:pPr>
        <w:widowControl/>
        <w:spacing w:line="44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(3)发生人员伤亡事故的，除履约保证金的15%不予退还，还需承担由此带来的一切损失和费用；</w:t>
      </w:r>
    </w:p>
    <w:p w14:paraId="5D5D7554">
      <w:pPr>
        <w:widowControl/>
        <w:spacing w:line="440" w:lineRule="exact"/>
        <w:ind w:firstLine="48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(4) 未能完成监理资料存档、备案要求的，除履约保证金的15%不予退还外，还需承担由此带来的一切损失和费用；</w:t>
      </w:r>
    </w:p>
    <w:p w14:paraId="63503314">
      <w:pPr>
        <w:widowControl/>
        <w:spacing w:line="440" w:lineRule="exact"/>
        <w:ind w:firstLine="331" w:firstLineChars="150"/>
        <w:jc w:val="lef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B、履约保证金退还时间：</w:t>
      </w:r>
    </w:p>
    <w:p w14:paraId="42A69537">
      <w:pPr>
        <w:spacing w:line="440" w:lineRule="exact"/>
        <w:ind w:firstLine="433" w:firstLineChars="197"/>
        <w:rPr>
          <w:rFonts w:ascii="宋体" w:hAnsi="宋体"/>
          <w:color w:val="auto"/>
          <w:sz w:val="22"/>
          <w:szCs w:val="22"/>
          <w:highlight w:val="none"/>
        </w:rPr>
      </w:pPr>
      <w:r>
        <w:rPr>
          <w:rFonts w:hint="eastAsia" w:ascii="宋体" w:hAnsi="宋体"/>
          <w:color w:val="auto"/>
          <w:sz w:val="22"/>
          <w:szCs w:val="22"/>
          <w:highlight w:val="none"/>
        </w:rPr>
        <w:t>本工程监理合同履约保证金在本工程竣工验收合格后七日内一次性退还（不计利息）</w:t>
      </w:r>
    </w:p>
    <w:p w14:paraId="5236430F">
      <w:pPr>
        <w:spacing w:line="440" w:lineRule="exact"/>
        <w:ind w:firstLine="433" w:firstLineChars="197"/>
        <w:rPr>
          <w:rFonts w:ascii="宋体" w:hAnsi="宋体"/>
          <w:color w:val="auto"/>
          <w:sz w:val="22"/>
          <w:szCs w:val="22"/>
          <w:highlight w:val="none"/>
        </w:rPr>
      </w:pPr>
      <w:r>
        <w:rPr>
          <w:rFonts w:hint="eastAsia" w:ascii="宋体" w:hAnsi="宋体"/>
          <w:color w:val="auto"/>
          <w:sz w:val="22"/>
          <w:szCs w:val="22"/>
          <w:highlight w:val="none"/>
        </w:rPr>
        <w:t>9.1</w:t>
      </w:r>
      <w:r>
        <w:rPr>
          <w:rFonts w:ascii="宋体" w:hAnsi="宋体"/>
          <w:color w:val="auto"/>
          <w:sz w:val="22"/>
          <w:szCs w:val="22"/>
          <w:highlight w:val="none"/>
        </w:rPr>
        <w:t>4</w:t>
      </w:r>
      <w:r>
        <w:rPr>
          <w:rFonts w:hint="eastAsia" w:ascii="宋体" w:hAnsi="宋体"/>
          <w:color w:val="auto"/>
          <w:sz w:val="22"/>
          <w:szCs w:val="22"/>
          <w:highlight w:val="none"/>
        </w:rPr>
        <w:t>监理人应采取切实措施，确保完成投标时承诺的考核目标。监理人不能实现监理大纲目标时，同意自动放弃全部履约保证金。</w:t>
      </w:r>
    </w:p>
    <w:p w14:paraId="10D57A18">
      <w:pPr>
        <w:widowControl/>
        <w:spacing w:line="440" w:lineRule="exact"/>
        <w:jc w:val="left"/>
        <w:rPr>
          <w:rFonts w:ascii="宋体" w:hAnsi="宋体"/>
          <w:color w:val="auto"/>
          <w:sz w:val="22"/>
          <w:szCs w:val="22"/>
          <w:highlight w:val="none"/>
        </w:rPr>
      </w:pPr>
      <w:bookmarkStart w:id="188" w:name="_Toc398111710"/>
      <w:bookmarkStart w:id="189" w:name="_Toc25037"/>
      <w:r>
        <w:rPr>
          <w:rFonts w:ascii="宋体" w:hAnsi="宋体"/>
          <w:color w:val="auto"/>
          <w:sz w:val="22"/>
          <w:szCs w:val="22"/>
          <w:highlight w:val="none"/>
        </w:rPr>
        <w:br w:type="page"/>
      </w:r>
    </w:p>
    <w:p w14:paraId="63F92796">
      <w:pPr>
        <w:adjustRightInd w:val="0"/>
        <w:spacing w:line="440" w:lineRule="exact"/>
        <w:rPr>
          <w:rFonts w:ascii="宋体" w:hAnsi="宋体"/>
          <w:b/>
          <w:bCs/>
          <w:color w:val="auto"/>
          <w:sz w:val="22"/>
          <w:szCs w:val="22"/>
          <w:highlight w:val="none"/>
        </w:rPr>
      </w:pPr>
      <w:r>
        <w:rPr>
          <w:rFonts w:hint="eastAsia" w:ascii="宋体" w:hAnsi="宋体"/>
          <w:b/>
          <w:bCs/>
          <w:color w:val="auto"/>
          <w:sz w:val="22"/>
          <w:szCs w:val="22"/>
          <w:highlight w:val="none"/>
        </w:rPr>
        <w:t>附录A  相关服务的范围和内容</w:t>
      </w:r>
      <w:bookmarkEnd w:id="188"/>
      <w:bookmarkEnd w:id="189"/>
    </w:p>
    <w:p w14:paraId="4250C4EC">
      <w:pPr>
        <w:spacing w:line="440" w:lineRule="exact"/>
        <w:ind w:firstLine="440" w:firstLineChars="200"/>
        <w:rPr>
          <w:rFonts w:ascii="宋体" w:hAnsi="宋体"/>
          <w:color w:val="auto"/>
          <w:kern w:val="0"/>
          <w:sz w:val="22"/>
          <w:szCs w:val="22"/>
          <w:highlight w:val="none"/>
        </w:rPr>
      </w:pPr>
      <w:r>
        <w:rPr>
          <w:rFonts w:hint="eastAsia" w:ascii="宋体" w:hAnsi="宋体"/>
          <w:color w:val="auto"/>
          <w:kern w:val="0"/>
          <w:sz w:val="22"/>
          <w:szCs w:val="22"/>
          <w:highlight w:val="none"/>
        </w:rPr>
        <w:t>A-1 勘察阶段：</w:t>
      </w:r>
      <w:r>
        <w:rPr>
          <w:rFonts w:hint="eastAsia" w:ascii="宋体" w:hAnsi="宋体"/>
          <w:color w:val="auto"/>
          <w:sz w:val="22"/>
          <w:szCs w:val="22"/>
          <w:highlight w:val="none"/>
          <w:u w:val="single"/>
        </w:rPr>
        <w:t xml:space="preserve">       /         </w:t>
      </w:r>
      <w:r>
        <w:rPr>
          <w:rFonts w:hint="eastAsia" w:ascii="宋体" w:hAnsi="宋体"/>
          <w:color w:val="auto"/>
          <w:kern w:val="0"/>
          <w:sz w:val="22"/>
          <w:szCs w:val="22"/>
          <w:highlight w:val="none"/>
        </w:rPr>
        <w:t>。</w:t>
      </w:r>
    </w:p>
    <w:p w14:paraId="41C9A365">
      <w:pPr>
        <w:spacing w:line="440" w:lineRule="exact"/>
        <w:ind w:firstLine="440" w:firstLineChars="200"/>
        <w:rPr>
          <w:rFonts w:ascii="宋体" w:hAnsi="宋体"/>
          <w:color w:val="auto"/>
          <w:sz w:val="22"/>
          <w:szCs w:val="22"/>
          <w:highlight w:val="none"/>
        </w:rPr>
      </w:pPr>
      <w:r>
        <w:rPr>
          <w:rFonts w:hint="eastAsia" w:ascii="宋体" w:hAnsi="宋体"/>
          <w:color w:val="auto"/>
          <w:kern w:val="0"/>
          <w:sz w:val="22"/>
          <w:szCs w:val="22"/>
          <w:highlight w:val="none"/>
        </w:rPr>
        <w:t>A-2 设计阶段：</w:t>
      </w:r>
      <w:r>
        <w:rPr>
          <w:rFonts w:hint="eastAsia" w:ascii="宋体" w:hAnsi="宋体"/>
          <w:bCs/>
          <w:color w:val="auto"/>
          <w:sz w:val="22"/>
          <w:szCs w:val="22"/>
          <w:highlight w:val="none"/>
          <w:u w:val="single"/>
        </w:rPr>
        <w:t>协助业主进行设计图纸审查工作，凭借自身的技能和经验，根据本地的实际情况，为设计院提供建设性改进意见，并协调市有关部门完成各项报批工作</w:t>
      </w:r>
      <w:r>
        <w:rPr>
          <w:rFonts w:hint="eastAsia" w:ascii="宋体" w:hAnsi="宋体"/>
          <w:color w:val="auto"/>
          <w:sz w:val="22"/>
          <w:szCs w:val="22"/>
          <w:highlight w:val="none"/>
        </w:rPr>
        <w:t>。</w:t>
      </w:r>
    </w:p>
    <w:p w14:paraId="3B4AAA5E">
      <w:pPr>
        <w:spacing w:line="440" w:lineRule="exact"/>
        <w:ind w:firstLine="440" w:firstLineChars="200"/>
        <w:rPr>
          <w:rFonts w:ascii="宋体" w:hAnsi="宋体"/>
          <w:color w:val="auto"/>
          <w:sz w:val="22"/>
          <w:szCs w:val="22"/>
          <w:highlight w:val="none"/>
        </w:rPr>
      </w:pPr>
      <w:r>
        <w:rPr>
          <w:rFonts w:hint="eastAsia" w:ascii="宋体" w:hAnsi="宋体"/>
          <w:color w:val="auto"/>
          <w:kern w:val="0"/>
          <w:sz w:val="22"/>
          <w:szCs w:val="22"/>
          <w:highlight w:val="none"/>
        </w:rPr>
        <w:t>A-3 保修阶段：</w:t>
      </w:r>
      <w:r>
        <w:rPr>
          <w:rFonts w:hint="eastAsia" w:ascii="宋体" w:hAnsi="宋体"/>
          <w:color w:val="auto"/>
          <w:sz w:val="22"/>
          <w:szCs w:val="22"/>
          <w:highlight w:val="none"/>
          <w:u w:val="single"/>
        </w:rPr>
        <w:t>工程质量保修期内，监理人应对所监理的工程质量实行回访制度，并对发现的问题书面告知发包人，若系承包人的原因引起的工程质量问题，则发书面指令要求承包人处理至符合要求为止</w:t>
      </w:r>
      <w:r>
        <w:rPr>
          <w:rFonts w:hint="eastAsia" w:ascii="宋体" w:hAnsi="宋体"/>
          <w:color w:val="auto"/>
          <w:sz w:val="22"/>
          <w:szCs w:val="22"/>
          <w:highlight w:val="none"/>
        </w:rPr>
        <w:t>。</w:t>
      </w:r>
    </w:p>
    <w:p w14:paraId="0074F77F">
      <w:pPr>
        <w:spacing w:line="440" w:lineRule="exact"/>
        <w:ind w:firstLine="440" w:firstLineChars="200"/>
        <w:rPr>
          <w:rFonts w:ascii="宋体" w:hAnsi="宋体"/>
          <w:color w:val="auto"/>
          <w:sz w:val="24"/>
          <w:highlight w:val="none"/>
        </w:rPr>
      </w:pPr>
      <w:r>
        <w:rPr>
          <w:rFonts w:hint="eastAsia" w:ascii="宋体" w:hAnsi="宋体"/>
          <w:color w:val="auto"/>
          <w:kern w:val="0"/>
          <w:sz w:val="22"/>
          <w:szCs w:val="22"/>
          <w:highlight w:val="none"/>
        </w:rPr>
        <w:t xml:space="preserve">A-4 </w:t>
      </w:r>
      <w:r>
        <w:rPr>
          <w:rFonts w:hint="eastAsia" w:ascii="宋体" w:hAnsi="宋体"/>
          <w:color w:val="auto"/>
          <w:sz w:val="22"/>
          <w:szCs w:val="22"/>
          <w:highlight w:val="none"/>
        </w:rPr>
        <w:t>其他（专业技术咨询、外部协调工作等）：</w:t>
      </w:r>
      <w:r>
        <w:rPr>
          <w:rFonts w:hint="eastAsia" w:ascii="宋体" w:hAnsi="宋体"/>
          <w:color w:val="auto"/>
          <w:sz w:val="22"/>
          <w:szCs w:val="22"/>
          <w:highlight w:val="none"/>
          <w:u w:val="single"/>
        </w:rPr>
        <w:t>有关需要监理协调的工作</w:t>
      </w:r>
      <w:r>
        <w:rPr>
          <w:rFonts w:hint="eastAsia" w:ascii="宋体" w:hAnsi="宋体"/>
          <w:color w:val="auto"/>
          <w:sz w:val="22"/>
          <w:szCs w:val="22"/>
          <w:highlight w:val="none"/>
        </w:rPr>
        <w:t>。</w:t>
      </w:r>
    </w:p>
    <w:p w14:paraId="329C0434">
      <w:pPr>
        <w:snapToGrid w:val="0"/>
        <w:spacing w:beforeLines="50" w:afterLines="50" w:line="360" w:lineRule="auto"/>
        <w:ind w:firstLine="480" w:firstLineChars="200"/>
        <w:rPr>
          <w:rFonts w:ascii="宋体" w:hAnsi="宋体"/>
          <w:color w:val="auto"/>
          <w:sz w:val="24"/>
          <w:highlight w:val="none"/>
        </w:rPr>
      </w:pPr>
    </w:p>
    <w:p w14:paraId="77A7DEEA">
      <w:pPr>
        <w:widowControl/>
        <w:jc w:val="left"/>
        <w:rPr>
          <w:rFonts w:ascii="宋体" w:hAnsi="宋体"/>
          <w:bCs/>
          <w:color w:val="auto"/>
          <w:sz w:val="24"/>
          <w:highlight w:val="none"/>
        </w:rPr>
      </w:pPr>
      <w:bookmarkStart w:id="190" w:name="_Toc9194614"/>
      <w:bookmarkStart w:id="191" w:name="_Toc398111711"/>
      <w:bookmarkStart w:id="192" w:name="_Toc18691"/>
      <w:r>
        <w:rPr>
          <w:rFonts w:ascii="宋体" w:hAnsi="宋体"/>
          <w:color w:val="auto"/>
          <w:sz w:val="24"/>
          <w:highlight w:val="none"/>
        </w:rPr>
        <w:br w:type="page"/>
      </w:r>
    </w:p>
    <w:p w14:paraId="4F43F23B">
      <w:pPr>
        <w:pStyle w:val="3"/>
        <w:spacing w:line="360" w:lineRule="auto"/>
        <w:jc w:val="left"/>
        <w:rPr>
          <w:rFonts w:ascii="宋体" w:hAnsi="宋体" w:eastAsia="宋体"/>
          <w:b/>
          <w:bCs w:val="0"/>
          <w:color w:val="auto"/>
          <w:sz w:val="24"/>
          <w:szCs w:val="24"/>
          <w:highlight w:val="none"/>
        </w:rPr>
      </w:pPr>
      <w:r>
        <w:rPr>
          <w:rFonts w:hint="eastAsia" w:ascii="宋体" w:hAnsi="宋体" w:eastAsia="宋体"/>
          <w:b/>
          <w:bCs w:val="0"/>
          <w:color w:val="auto"/>
          <w:sz w:val="22"/>
          <w:szCs w:val="22"/>
          <w:highlight w:val="none"/>
        </w:rPr>
        <w:t>附录B  委托人派遣的人员和提供的房屋、资料、设备</w:t>
      </w:r>
      <w:bookmarkEnd w:id="190"/>
      <w:bookmarkEnd w:id="191"/>
      <w:bookmarkEnd w:id="192"/>
    </w:p>
    <w:p w14:paraId="492AE536">
      <w:pPr>
        <w:pStyle w:val="4"/>
        <w:spacing w:line="360" w:lineRule="auto"/>
        <w:rPr>
          <w:rFonts w:ascii="宋体" w:hAnsi="宋体" w:eastAsia="宋体" w:cs="宋体"/>
          <w:color w:val="auto"/>
          <w:sz w:val="22"/>
          <w:szCs w:val="22"/>
          <w:highlight w:val="none"/>
        </w:rPr>
      </w:pPr>
      <w:bookmarkStart w:id="193" w:name="_Toc9194615"/>
      <w:bookmarkStart w:id="194" w:name="_Toc245"/>
      <w:bookmarkStart w:id="195" w:name="_Toc398111712"/>
      <w:r>
        <w:rPr>
          <w:rFonts w:hint="eastAsia" w:ascii="宋体" w:hAnsi="宋体" w:eastAsia="宋体" w:cs="宋体"/>
          <w:color w:val="auto"/>
          <w:sz w:val="22"/>
          <w:szCs w:val="22"/>
          <w:highlight w:val="none"/>
        </w:rPr>
        <w:t>B-1  委托人派遣的人员</w:t>
      </w:r>
      <w:bookmarkEnd w:id="193"/>
      <w:bookmarkEnd w:id="194"/>
      <w:bookmarkEnd w:id="195"/>
    </w:p>
    <w:tbl>
      <w:tblPr>
        <w:tblStyle w:val="3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44EC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631A79DA">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名称</w:t>
            </w:r>
          </w:p>
        </w:tc>
        <w:tc>
          <w:tcPr>
            <w:tcW w:w="1770" w:type="dxa"/>
          </w:tcPr>
          <w:p w14:paraId="560E7003">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数量</w:t>
            </w:r>
          </w:p>
        </w:tc>
        <w:tc>
          <w:tcPr>
            <w:tcW w:w="2130" w:type="dxa"/>
          </w:tcPr>
          <w:p w14:paraId="2D9F573A">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工作要求</w:t>
            </w:r>
          </w:p>
        </w:tc>
        <w:tc>
          <w:tcPr>
            <w:tcW w:w="1860" w:type="dxa"/>
          </w:tcPr>
          <w:p w14:paraId="23340E65">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提供时间</w:t>
            </w:r>
          </w:p>
        </w:tc>
      </w:tr>
      <w:tr w14:paraId="7570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295B1556">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1. 工程技术人员 </w:t>
            </w:r>
          </w:p>
        </w:tc>
        <w:tc>
          <w:tcPr>
            <w:tcW w:w="1770" w:type="dxa"/>
          </w:tcPr>
          <w:p w14:paraId="7B6039DA">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2130" w:type="dxa"/>
          </w:tcPr>
          <w:p w14:paraId="5836D57B">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860" w:type="dxa"/>
          </w:tcPr>
          <w:p w14:paraId="621EAF85">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r>
      <w:tr w14:paraId="49A8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32701373">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2. 辅助工作人员</w:t>
            </w:r>
          </w:p>
        </w:tc>
        <w:tc>
          <w:tcPr>
            <w:tcW w:w="1770" w:type="dxa"/>
          </w:tcPr>
          <w:p w14:paraId="654D239B">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2130" w:type="dxa"/>
          </w:tcPr>
          <w:p w14:paraId="2E9C54C6">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860" w:type="dxa"/>
          </w:tcPr>
          <w:p w14:paraId="1DD45378">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r>
      <w:tr w14:paraId="08D8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4571B97F">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3. 其他人员</w:t>
            </w:r>
          </w:p>
        </w:tc>
        <w:tc>
          <w:tcPr>
            <w:tcW w:w="1770" w:type="dxa"/>
          </w:tcPr>
          <w:p w14:paraId="7E5EBA4D">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2130" w:type="dxa"/>
          </w:tcPr>
          <w:p w14:paraId="42E6D903">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860" w:type="dxa"/>
          </w:tcPr>
          <w:p w14:paraId="063751E5">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r>
    </w:tbl>
    <w:p w14:paraId="6F31F20E">
      <w:pPr>
        <w:pStyle w:val="4"/>
        <w:spacing w:line="360" w:lineRule="auto"/>
        <w:rPr>
          <w:rFonts w:ascii="宋体" w:hAnsi="宋体" w:eastAsia="宋体" w:cs="宋体"/>
          <w:color w:val="auto"/>
          <w:sz w:val="22"/>
          <w:szCs w:val="22"/>
          <w:highlight w:val="none"/>
        </w:rPr>
      </w:pPr>
      <w:bookmarkStart w:id="196" w:name="_Toc9194616"/>
      <w:bookmarkStart w:id="197" w:name="_Toc6611"/>
      <w:bookmarkStart w:id="198" w:name="_Toc398111713"/>
      <w:r>
        <w:rPr>
          <w:rFonts w:hint="eastAsia" w:ascii="宋体" w:hAnsi="宋体" w:eastAsia="宋体" w:cs="宋体"/>
          <w:color w:val="auto"/>
          <w:sz w:val="22"/>
          <w:szCs w:val="22"/>
          <w:highlight w:val="none"/>
        </w:rPr>
        <w:t>B-2  委托人提供的房屋</w:t>
      </w:r>
      <w:bookmarkEnd w:id="196"/>
      <w:bookmarkEnd w:id="197"/>
      <w:bookmarkEnd w:id="198"/>
    </w:p>
    <w:tbl>
      <w:tblPr>
        <w:tblStyle w:val="3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27FF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76468A24">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名称</w:t>
            </w:r>
          </w:p>
        </w:tc>
        <w:tc>
          <w:tcPr>
            <w:tcW w:w="2130" w:type="dxa"/>
          </w:tcPr>
          <w:p w14:paraId="2985EB34">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数量</w:t>
            </w:r>
          </w:p>
        </w:tc>
        <w:tc>
          <w:tcPr>
            <w:tcW w:w="2130" w:type="dxa"/>
          </w:tcPr>
          <w:p w14:paraId="1EBDAECD">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面积</w:t>
            </w:r>
          </w:p>
        </w:tc>
        <w:tc>
          <w:tcPr>
            <w:tcW w:w="1860" w:type="dxa"/>
          </w:tcPr>
          <w:p w14:paraId="25C14570">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提供时间</w:t>
            </w:r>
          </w:p>
        </w:tc>
      </w:tr>
      <w:tr w14:paraId="2903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696CCA3E">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1. 办公用房</w:t>
            </w:r>
          </w:p>
        </w:tc>
        <w:tc>
          <w:tcPr>
            <w:tcW w:w="2130" w:type="dxa"/>
          </w:tcPr>
          <w:p w14:paraId="5473852F">
            <w:pPr>
              <w:spacing w:line="360" w:lineRule="auto"/>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2130" w:type="dxa"/>
          </w:tcPr>
          <w:p w14:paraId="53E49561">
            <w:pPr>
              <w:spacing w:line="360" w:lineRule="auto"/>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860" w:type="dxa"/>
          </w:tcPr>
          <w:p w14:paraId="6955AB55">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r>
      <w:tr w14:paraId="2481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53E801CF">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2. 生活用房</w:t>
            </w:r>
          </w:p>
        </w:tc>
        <w:tc>
          <w:tcPr>
            <w:tcW w:w="2130" w:type="dxa"/>
          </w:tcPr>
          <w:p w14:paraId="6A2BD577">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2130" w:type="dxa"/>
          </w:tcPr>
          <w:p w14:paraId="1BA6011A">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860" w:type="dxa"/>
          </w:tcPr>
          <w:p w14:paraId="589340A7">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r>
      <w:tr w14:paraId="3E05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3CBB696D">
            <w:pPr>
              <w:spacing w:line="360" w:lineRule="auto"/>
              <w:rPr>
                <w:rFonts w:ascii="宋体" w:hAnsi="宋体" w:cs="宋体"/>
                <w:dstrike/>
                <w:color w:val="auto"/>
                <w:sz w:val="22"/>
                <w:szCs w:val="22"/>
                <w:highlight w:val="none"/>
              </w:rPr>
            </w:pPr>
            <w:r>
              <w:rPr>
                <w:rFonts w:hint="eastAsia" w:ascii="宋体" w:hAnsi="宋体" w:cs="宋体"/>
                <w:color w:val="auto"/>
                <w:sz w:val="22"/>
                <w:szCs w:val="22"/>
                <w:highlight w:val="none"/>
              </w:rPr>
              <w:t>3. 试验用房</w:t>
            </w:r>
          </w:p>
        </w:tc>
        <w:tc>
          <w:tcPr>
            <w:tcW w:w="2130" w:type="dxa"/>
          </w:tcPr>
          <w:p w14:paraId="58DAC644">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2130" w:type="dxa"/>
          </w:tcPr>
          <w:p w14:paraId="1EAD9231">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860" w:type="dxa"/>
          </w:tcPr>
          <w:p w14:paraId="1E12EA8B">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r>
      <w:tr w14:paraId="7859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17642FB5">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4. 样品用房</w:t>
            </w:r>
          </w:p>
        </w:tc>
        <w:tc>
          <w:tcPr>
            <w:tcW w:w="2130" w:type="dxa"/>
          </w:tcPr>
          <w:p w14:paraId="1022DDE1">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2130" w:type="dxa"/>
          </w:tcPr>
          <w:p w14:paraId="255F31D7">
            <w:pPr>
              <w:spacing w:line="360" w:lineRule="auto"/>
              <w:jc w:val="center"/>
              <w:rPr>
                <w:rFonts w:ascii="宋体" w:hAnsi="宋体" w:cs="宋体"/>
                <w:color w:val="auto"/>
                <w:sz w:val="22"/>
                <w:szCs w:val="22"/>
                <w:highlight w:val="none"/>
              </w:rPr>
            </w:pPr>
          </w:p>
        </w:tc>
        <w:tc>
          <w:tcPr>
            <w:tcW w:w="1860" w:type="dxa"/>
          </w:tcPr>
          <w:p w14:paraId="38C313BA">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r>
      <w:tr w14:paraId="4EB3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66E2BCBC">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用餐及其他生活条件</w:t>
            </w:r>
          </w:p>
        </w:tc>
        <w:tc>
          <w:tcPr>
            <w:tcW w:w="6120" w:type="dxa"/>
            <w:gridSpan w:val="3"/>
          </w:tcPr>
          <w:p w14:paraId="28861865">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r>
    </w:tbl>
    <w:p w14:paraId="28DA5335">
      <w:pPr>
        <w:pStyle w:val="4"/>
        <w:spacing w:line="360" w:lineRule="auto"/>
        <w:rPr>
          <w:rFonts w:ascii="宋体" w:hAnsi="宋体" w:eastAsia="宋体" w:cs="宋体"/>
          <w:color w:val="auto"/>
          <w:sz w:val="22"/>
          <w:szCs w:val="22"/>
          <w:highlight w:val="none"/>
        </w:rPr>
      </w:pPr>
      <w:bookmarkStart w:id="199" w:name="_Toc9194617"/>
      <w:bookmarkStart w:id="200" w:name="_Toc398111714"/>
      <w:bookmarkStart w:id="201" w:name="_Toc12490"/>
      <w:r>
        <w:rPr>
          <w:rFonts w:hint="eastAsia" w:ascii="宋体" w:hAnsi="宋体" w:eastAsia="宋体" w:cs="宋体"/>
          <w:color w:val="auto"/>
          <w:sz w:val="22"/>
          <w:szCs w:val="22"/>
          <w:highlight w:val="none"/>
        </w:rPr>
        <w:t>B-3  委托人提供的资料</w:t>
      </w:r>
      <w:bookmarkEnd w:id="199"/>
      <w:bookmarkEnd w:id="200"/>
      <w:bookmarkEnd w:id="201"/>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614F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26049E9E">
            <w:pPr>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名称</w:t>
            </w:r>
          </w:p>
        </w:tc>
        <w:tc>
          <w:tcPr>
            <w:tcW w:w="1491" w:type="dxa"/>
          </w:tcPr>
          <w:p w14:paraId="72B511A0">
            <w:pPr>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份数</w:t>
            </w:r>
          </w:p>
        </w:tc>
        <w:tc>
          <w:tcPr>
            <w:tcW w:w="2147" w:type="dxa"/>
          </w:tcPr>
          <w:p w14:paraId="1A55C34B">
            <w:pPr>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提供时间</w:t>
            </w:r>
          </w:p>
        </w:tc>
        <w:tc>
          <w:tcPr>
            <w:tcW w:w="2082" w:type="dxa"/>
          </w:tcPr>
          <w:p w14:paraId="58FD7C4A">
            <w:pPr>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备注</w:t>
            </w:r>
          </w:p>
        </w:tc>
      </w:tr>
      <w:tr w14:paraId="7270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8034D4F">
            <w:pPr>
              <w:spacing w:line="360" w:lineRule="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1. 工程立项文件</w:t>
            </w:r>
          </w:p>
        </w:tc>
        <w:tc>
          <w:tcPr>
            <w:tcW w:w="1491" w:type="dxa"/>
          </w:tcPr>
          <w:p w14:paraId="7BDE78DF">
            <w:pPr>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147" w:type="dxa"/>
          </w:tcPr>
          <w:p w14:paraId="136FFAA8">
            <w:pPr>
              <w:spacing w:line="360" w:lineRule="auto"/>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开工前</w:t>
            </w:r>
          </w:p>
        </w:tc>
        <w:tc>
          <w:tcPr>
            <w:tcW w:w="2082" w:type="dxa"/>
          </w:tcPr>
          <w:p w14:paraId="50342721">
            <w:pPr>
              <w:spacing w:line="360" w:lineRule="auto"/>
              <w:jc w:val="center"/>
              <w:rPr>
                <w:rFonts w:ascii="宋体" w:hAnsi="宋体" w:cs="宋体"/>
                <w:color w:val="auto"/>
                <w:kern w:val="0"/>
                <w:sz w:val="22"/>
                <w:szCs w:val="22"/>
                <w:highlight w:val="none"/>
              </w:rPr>
            </w:pPr>
          </w:p>
        </w:tc>
      </w:tr>
      <w:tr w14:paraId="7C4D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B999584">
            <w:pPr>
              <w:spacing w:line="360" w:lineRule="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2. 工程勘察文件</w:t>
            </w:r>
          </w:p>
        </w:tc>
        <w:tc>
          <w:tcPr>
            <w:tcW w:w="1491" w:type="dxa"/>
          </w:tcPr>
          <w:p w14:paraId="475170ED">
            <w:pPr>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147" w:type="dxa"/>
          </w:tcPr>
          <w:p w14:paraId="644CF98D">
            <w:pPr>
              <w:spacing w:line="360" w:lineRule="auto"/>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开工前</w:t>
            </w:r>
          </w:p>
        </w:tc>
        <w:tc>
          <w:tcPr>
            <w:tcW w:w="2082" w:type="dxa"/>
          </w:tcPr>
          <w:p w14:paraId="36D3B18F">
            <w:pPr>
              <w:spacing w:line="360" w:lineRule="auto"/>
              <w:jc w:val="center"/>
              <w:rPr>
                <w:rFonts w:ascii="宋体" w:hAnsi="宋体" w:cs="宋体"/>
                <w:color w:val="auto"/>
                <w:kern w:val="0"/>
                <w:sz w:val="22"/>
                <w:szCs w:val="22"/>
                <w:highlight w:val="none"/>
              </w:rPr>
            </w:pPr>
          </w:p>
        </w:tc>
      </w:tr>
      <w:tr w14:paraId="503D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414D1707">
            <w:pPr>
              <w:spacing w:line="360" w:lineRule="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3. 工程设计及施工图纸</w:t>
            </w:r>
          </w:p>
        </w:tc>
        <w:tc>
          <w:tcPr>
            <w:tcW w:w="1491" w:type="dxa"/>
          </w:tcPr>
          <w:p w14:paraId="0ED18BDA">
            <w:pPr>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147" w:type="dxa"/>
          </w:tcPr>
          <w:p w14:paraId="6513507C">
            <w:pPr>
              <w:spacing w:line="360" w:lineRule="auto"/>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开工前</w:t>
            </w:r>
          </w:p>
        </w:tc>
        <w:tc>
          <w:tcPr>
            <w:tcW w:w="2082" w:type="dxa"/>
          </w:tcPr>
          <w:p w14:paraId="621BA111">
            <w:pPr>
              <w:spacing w:line="360" w:lineRule="auto"/>
              <w:jc w:val="center"/>
              <w:rPr>
                <w:rFonts w:ascii="宋体" w:hAnsi="宋体" w:cs="宋体"/>
                <w:color w:val="auto"/>
                <w:kern w:val="0"/>
                <w:sz w:val="22"/>
                <w:szCs w:val="22"/>
                <w:highlight w:val="none"/>
              </w:rPr>
            </w:pPr>
          </w:p>
        </w:tc>
      </w:tr>
      <w:tr w14:paraId="5DC5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4EF30AB1">
            <w:pPr>
              <w:spacing w:line="360" w:lineRule="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4. 工程承包合同及其他相关合同</w:t>
            </w:r>
          </w:p>
        </w:tc>
        <w:tc>
          <w:tcPr>
            <w:tcW w:w="1491" w:type="dxa"/>
          </w:tcPr>
          <w:p w14:paraId="3518D962">
            <w:pPr>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147" w:type="dxa"/>
          </w:tcPr>
          <w:p w14:paraId="0BB9F91E">
            <w:pPr>
              <w:spacing w:line="360" w:lineRule="auto"/>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开工前</w:t>
            </w:r>
          </w:p>
        </w:tc>
        <w:tc>
          <w:tcPr>
            <w:tcW w:w="2082" w:type="dxa"/>
          </w:tcPr>
          <w:p w14:paraId="29B567FD">
            <w:pPr>
              <w:spacing w:line="360" w:lineRule="auto"/>
              <w:jc w:val="center"/>
              <w:rPr>
                <w:rFonts w:ascii="宋体" w:hAnsi="宋体" w:cs="宋体"/>
                <w:color w:val="auto"/>
                <w:kern w:val="0"/>
                <w:sz w:val="22"/>
                <w:szCs w:val="22"/>
                <w:highlight w:val="none"/>
              </w:rPr>
            </w:pPr>
          </w:p>
        </w:tc>
      </w:tr>
      <w:tr w14:paraId="7D6C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573CD53A">
            <w:pPr>
              <w:spacing w:line="360" w:lineRule="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5. 施工许可文件</w:t>
            </w:r>
          </w:p>
        </w:tc>
        <w:tc>
          <w:tcPr>
            <w:tcW w:w="1491" w:type="dxa"/>
          </w:tcPr>
          <w:p w14:paraId="40352087">
            <w:pPr>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147" w:type="dxa"/>
          </w:tcPr>
          <w:p w14:paraId="584AF74E">
            <w:pPr>
              <w:spacing w:line="360" w:lineRule="auto"/>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开工前</w:t>
            </w:r>
          </w:p>
        </w:tc>
        <w:tc>
          <w:tcPr>
            <w:tcW w:w="2082" w:type="dxa"/>
          </w:tcPr>
          <w:p w14:paraId="5D105D22">
            <w:pPr>
              <w:spacing w:line="360" w:lineRule="auto"/>
              <w:jc w:val="center"/>
              <w:rPr>
                <w:rFonts w:ascii="宋体" w:hAnsi="宋体" w:cs="宋体"/>
                <w:color w:val="auto"/>
                <w:kern w:val="0"/>
                <w:sz w:val="22"/>
                <w:szCs w:val="22"/>
                <w:highlight w:val="none"/>
              </w:rPr>
            </w:pPr>
          </w:p>
        </w:tc>
      </w:tr>
      <w:tr w14:paraId="47F5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3941DEDE">
            <w:pPr>
              <w:spacing w:line="360" w:lineRule="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6. 其他文件</w:t>
            </w:r>
          </w:p>
        </w:tc>
        <w:tc>
          <w:tcPr>
            <w:tcW w:w="1491" w:type="dxa"/>
          </w:tcPr>
          <w:p w14:paraId="44DED053">
            <w:pPr>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147" w:type="dxa"/>
          </w:tcPr>
          <w:p w14:paraId="6D519227">
            <w:pPr>
              <w:spacing w:line="360" w:lineRule="auto"/>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开工前</w:t>
            </w:r>
          </w:p>
        </w:tc>
        <w:tc>
          <w:tcPr>
            <w:tcW w:w="2082" w:type="dxa"/>
          </w:tcPr>
          <w:p w14:paraId="70FC1BA6">
            <w:pPr>
              <w:spacing w:line="360" w:lineRule="auto"/>
              <w:jc w:val="center"/>
              <w:rPr>
                <w:rFonts w:ascii="宋体" w:hAnsi="宋体" w:cs="宋体"/>
                <w:color w:val="auto"/>
                <w:kern w:val="0"/>
                <w:sz w:val="22"/>
                <w:szCs w:val="22"/>
                <w:highlight w:val="none"/>
              </w:rPr>
            </w:pPr>
          </w:p>
        </w:tc>
      </w:tr>
    </w:tbl>
    <w:p w14:paraId="2DE7BD30">
      <w:pPr>
        <w:pStyle w:val="4"/>
        <w:spacing w:line="360" w:lineRule="auto"/>
        <w:rPr>
          <w:rFonts w:ascii="宋体" w:hAnsi="宋体" w:eastAsia="宋体" w:cs="宋体"/>
          <w:color w:val="auto"/>
          <w:sz w:val="22"/>
          <w:szCs w:val="22"/>
          <w:highlight w:val="none"/>
        </w:rPr>
      </w:pPr>
      <w:bookmarkStart w:id="202" w:name="_Toc398111715"/>
      <w:bookmarkStart w:id="203" w:name="_Toc7203"/>
      <w:bookmarkStart w:id="204" w:name="_Toc9194618"/>
      <w:r>
        <w:rPr>
          <w:rFonts w:hint="eastAsia" w:ascii="宋体" w:hAnsi="宋体" w:eastAsia="宋体" w:cs="宋体"/>
          <w:color w:val="auto"/>
          <w:sz w:val="22"/>
          <w:szCs w:val="22"/>
          <w:highlight w:val="none"/>
        </w:rPr>
        <w:t>B-4 委托人提供的设备</w:t>
      </w:r>
      <w:bookmarkEnd w:id="202"/>
      <w:bookmarkEnd w:id="203"/>
      <w:bookmarkEnd w:id="204"/>
    </w:p>
    <w:tbl>
      <w:tblPr>
        <w:tblStyle w:val="3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561F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50711FC2">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名称</w:t>
            </w:r>
          </w:p>
        </w:tc>
        <w:tc>
          <w:tcPr>
            <w:tcW w:w="1590" w:type="dxa"/>
          </w:tcPr>
          <w:p w14:paraId="7FB71483">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数量</w:t>
            </w:r>
          </w:p>
        </w:tc>
        <w:tc>
          <w:tcPr>
            <w:tcW w:w="2130" w:type="dxa"/>
          </w:tcPr>
          <w:p w14:paraId="29119B92">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型号与规格</w:t>
            </w:r>
          </w:p>
        </w:tc>
        <w:tc>
          <w:tcPr>
            <w:tcW w:w="1860" w:type="dxa"/>
          </w:tcPr>
          <w:p w14:paraId="790A367A">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提供时间</w:t>
            </w:r>
          </w:p>
        </w:tc>
      </w:tr>
      <w:tr w14:paraId="0B75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42A2EBBE">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1. 通讯设备</w:t>
            </w:r>
          </w:p>
        </w:tc>
        <w:tc>
          <w:tcPr>
            <w:tcW w:w="1590" w:type="dxa"/>
          </w:tcPr>
          <w:p w14:paraId="7290B4D8">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2130" w:type="dxa"/>
          </w:tcPr>
          <w:p w14:paraId="20BDA401">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860" w:type="dxa"/>
          </w:tcPr>
          <w:p w14:paraId="0D0F167C">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r>
      <w:tr w14:paraId="74B1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7C7291B7">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2. 办公设备</w:t>
            </w:r>
          </w:p>
        </w:tc>
        <w:tc>
          <w:tcPr>
            <w:tcW w:w="1590" w:type="dxa"/>
          </w:tcPr>
          <w:p w14:paraId="7CD44A68">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2130" w:type="dxa"/>
          </w:tcPr>
          <w:p w14:paraId="2DD81583">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860" w:type="dxa"/>
          </w:tcPr>
          <w:p w14:paraId="611697EE">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r>
      <w:tr w14:paraId="72A3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6BCC3D20">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3. 交通工具</w:t>
            </w:r>
          </w:p>
        </w:tc>
        <w:tc>
          <w:tcPr>
            <w:tcW w:w="1590" w:type="dxa"/>
          </w:tcPr>
          <w:p w14:paraId="17A41AA7">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2130" w:type="dxa"/>
          </w:tcPr>
          <w:p w14:paraId="1CB7AD7D">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860" w:type="dxa"/>
          </w:tcPr>
          <w:p w14:paraId="4795BFF3">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r>
      <w:tr w14:paraId="7224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41E52D1D">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4. 检测和试验设备</w:t>
            </w:r>
          </w:p>
        </w:tc>
        <w:tc>
          <w:tcPr>
            <w:tcW w:w="1590" w:type="dxa"/>
          </w:tcPr>
          <w:p w14:paraId="6605F9C2">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2130" w:type="dxa"/>
          </w:tcPr>
          <w:p w14:paraId="331841DE">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860" w:type="dxa"/>
          </w:tcPr>
          <w:p w14:paraId="4616B620">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r>
    </w:tbl>
    <w:p w14:paraId="44872E90">
      <w:pPr>
        <w:tabs>
          <w:tab w:val="left" w:pos="3120"/>
        </w:tabs>
        <w:spacing w:line="360" w:lineRule="auto"/>
        <w:rPr>
          <w:rFonts w:ascii="宋体" w:hAnsi="宋体" w:cs="宋体"/>
          <w:color w:val="auto"/>
          <w:sz w:val="24"/>
          <w:highlight w:val="none"/>
        </w:rPr>
      </w:pPr>
    </w:p>
    <w:p w14:paraId="77BBB93D">
      <w:pPr>
        <w:pStyle w:val="2"/>
        <w:pageBreakBefore/>
        <w:spacing w:line="579" w:lineRule="auto"/>
        <w:jc w:val="center"/>
        <w:rPr>
          <w:rFonts w:ascii="宋体" w:hAnsi="宋体" w:cs="宋体"/>
          <w:color w:val="auto"/>
          <w:highlight w:val="none"/>
        </w:rPr>
      </w:pPr>
      <w:bookmarkStart w:id="205" w:name="_Toc497464073"/>
      <w:bookmarkStart w:id="206" w:name="_Toc10684"/>
      <w:r>
        <w:rPr>
          <w:rFonts w:hint="eastAsia" w:ascii="宋体" w:hAnsi="宋体" w:cs="宋体"/>
          <w:color w:val="auto"/>
          <w:highlight w:val="none"/>
        </w:rPr>
        <w:t>第五章 技术资料和相关文件</w:t>
      </w:r>
      <w:bookmarkEnd w:id="205"/>
      <w:bookmarkEnd w:id="206"/>
    </w:p>
    <w:p w14:paraId="17CE0533">
      <w:pPr>
        <w:rPr>
          <w:rFonts w:ascii="宋体" w:hAnsi="宋体" w:cs="宋体"/>
          <w:color w:val="auto"/>
          <w:highlight w:val="none"/>
        </w:rPr>
      </w:pPr>
    </w:p>
    <w:p w14:paraId="469A1BF1">
      <w:pPr>
        <w:autoSpaceDE w:val="0"/>
        <w:autoSpaceDN w:val="0"/>
        <w:adjustRightInd w:val="0"/>
        <w:spacing w:line="360" w:lineRule="auto"/>
        <w:ind w:firstLine="482" w:firstLineChars="200"/>
        <w:jc w:val="left"/>
        <w:rPr>
          <w:rFonts w:ascii="宋体" w:hAnsi="宋体" w:cs="宋体"/>
          <w:b/>
          <w:bCs/>
          <w:color w:val="auto"/>
          <w:kern w:val="0"/>
          <w:sz w:val="24"/>
          <w:highlight w:val="none"/>
          <w:u w:val="single"/>
        </w:rPr>
      </w:pPr>
      <w:r>
        <w:rPr>
          <w:rFonts w:hint="eastAsia" w:ascii="宋体" w:hAnsi="宋体" w:cs="宋体"/>
          <w:b/>
          <w:bCs/>
          <w:color w:val="auto"/>
          <w:kern w:val="0"/>
          <w:sz w:val="24"/>
          <w:highlight w:val="none"/>
          <w:u w:val="single"/>
          <w:lang w:val="en-US" w:eastAsia="zh-CN"/>
        </w:rPr>
        <w:t>1</w:t>
      </w:r>
      <w:r>
        <w:rPr>
          <w:rFonts w:hint="eastAsia" w:ascii="宋体" w:hAnsi="宋体" w:cs="宋体"/>
          <w:b/>
          <w:bCs/>
          <w:color w:val="auto"/>
          <w:kern w:val="0"/>
          <w:sz w:val="24"/>
          <w:highlight w:val="none"/>
          <w:u w:val="single"/>
        </w:rPr>
        <w:t>、《建设工程监理规范》（GB/T50319-2013）</w:t>
      </w:r>
    </w:p>
    <w:p w14:paraId="2AF0F862">
      <w:pPr>
        <w:autoSpaceDE w:val="0"/>
        <w:autoSpaceDN w:val="0"/>
        <w:adjustRightInd w:val="0"/>
        <w:spacing w:line="360" w:lineRule="auto"/>
        <w:ind w:firstLine="482" w:firstLineChars="200"/>
        <w:jc w:val="left"/>
        <w:rPr>
          <w:rFonts w:ascii="宋体" w:hAnsi="宋体" w:cs="宋体"/>
          <w:b/>
          <w:bCs/>
          <w:color w:val="auto"/>
          <w:kern w:val="0"/>
          <w:sz w:val="24"/>
          <w:highlight w:val="none"/>
          <w:u w:val="single"/>
        </w:rPr>
      </w:pPr>
      <w:r>
        <w:rPr>
          <w:rFonts w:hint="eastAsia" w:ascii="宋体" w:hAnsi="宋体" w:cs="宋体"/>
          <w:b/>
          <w:bCs/>
          <w:color w:val="auto"/>
          <w:kern w:val="0"/>
          <w:sz w:val="24"/>
          <w:highlight w:val="none"/>
          <w:u w:val="single"/>
          <w:lang w:val="en-US" w:eastAsia="zh-CN"/>
        </w:rPr>
        <w:t>2</w:t>
      </w:r>
      <w:r>
        <w:rPr>
          <w:rFonts w:hint="eastAsia" w:ascii="宋体" w:hAnsi="宋体" w:cs="宋体"/>
          <w:b/>
          <w:bCs/>
          <w:color w:val="auto"/>
          <w:kern w:val="0"/>
          <w:sz w:val="24"/>
          <w:highlight w:val="none"/>
          <w:u w:val="single"/>
        </w:rPr>
        <w:t>、</w:t>
      </w:r>
      <w:r>
        <w:rPr>
          <w:rFonts w:hint="eastAsia" w:ascii="宋体" w:hAnsi="宋体" w:cs="宋体"/>
          <w:b/>
          <w:bCs/>
          <w:color w:val="auto"/>
          <w:kern w:val="0"/>
          <w:sz w:val="24"/>
          <w:highlight w:val="none"/>
          <w:u w:val="single"/>
          <w:lang w:eastAsia="zh-TW"/>
        </w:rPr>
        <w:t>《工程测量规范》</w:t>
      </w:r>
      <w:r>
        <w:rPr>
          <w:rFonts w:hint="eastAsia" w:ascii="宋体" w:hAnsi="宋体" w:cs="宋体"/>
          <w:b/>
          <w:bCs/>
          <w:color w:val="auto"/>
          <w:kern w:val="0"/>
          <w:sz w:val="24"/>
          <w:highlight w:val="none"/>
          <w:u w:val="single"/>
        </w:rPr>
        <w:t>GB50026-93</w:t>
      </w:r>
    </w:p>
    <w:p w14:paraId="71D53885">
      <w:pPr>
        <w:autoSpaceDE w:val="0"/>
        <w:autoSpaceDN w:val="0"/>
        <w:adjustRightInd w:val="0"/>
        <w:spacing w:line="360" w:lineRule="auto"/>
        <w:ind w:firstLine="482" w:firstLineChars="200"/>
        <w:jc w:val="left"/>
        <w:rPr>
          <w:rFonts w:ascii="宋体" w:hAnsi="宋体" w:cs="宋体"/>
          <w:b/>
          <w:bCs/>
          <w:color w:val="auto"/>
          <w:kern w:val="0"/>
          <w:sz w:val="24"/>
          <w:highlight w:val="none"/>
          <w:u w:val="single"/>
        </w:rPr>
      </w:pPr>
      <w:r>
        <w:rPr>
          <w:rFonts w:hint="eastAsia" w:ascii="宋体" w:hAnsi="宋体" w:cs="宋体"/>
          <w:b/>
          <w:bCs/>
          <w:color w:val="auto"/>
          <w:kern w:val="0"/>
          <w:sz w:val="24"/>
          <w:highlight w:val="none"/>
          <w:u w:val="single"/>
          <w:lang w:val="en-US" w:eastAsia="zh-CN"/>
        </w:rPr>
        <w:t>3</w:t>
      </w:r>
      <w:r>
        <w:rPr>
          <w:rFonts w:hint="eastAsia" w:ascii="宋体" w:hAnsi="宋体" w:cs="宋体"/>
          <w:b/>
          <w:bCs/>
          <w:color w:val="auto"/>
          <w:kern w:val="0"/>
          <w:sz w:val="24"/>
          <w:highlight w:val="none"/>
          <w:u w:val="single"/>
        </w:rPr>
        <w:t>、《钢筋焊接及验收规程》JGJ18-96</w:t>
      </w:r>
    </w:p>
    <w:p w14:paraId="25D2281B">
      <w:pPr>
        <w:autoSpaceDE w:val="0"/>
        <w:autoSpaceDN w:val="0"/>
        <w:adjustRightInd w:val="0"/>
        <w:spacing w:line="360" w:lineRule="auto"/>
        <w:ind w:firstLine="482" w:firstLineChars="200"/>
        <w:jc w:val="left"/>
        <w:rPr>
          <w:rFonts w:ascii="宋体" w:hAnsi="宋体" w:cs="宋体"/>
          <w:b/>
          <w:bCs/>
          <w:color w:val="auto"/>
          <w:kern w:val="0"/>
          <w:sz w:val="24"/>
          <w:highlight w:val="none"/>
          <w:u w:val="single"/>
        </w:rPr>
      </w:pPr>
      <w:r>
        <w:rPr>
          <w:rFonts w:hint="eastAsia" w:ascii="宋体" w:hAnsi="宋体" w:cs="宋体"/>
          <w:b/>
          <w:bCs/>
          <w:color w:val="auto"/>
          <w:kern w:val="0"/>
          <w:sz w:val="24"/>
          <w:highlight w:val="none"/>
          <w:u w:val="single"/>
          <w:lang w:val="en-US" w:eastAsia="zh-CN"/>
        </w:rPr>
        <w:t>4</w:t>
      </w:r>
      <w:r>
        <w:rPr>
          <w:rFonts w:hint="eastAsia" w:ascii="宋体" w:hAnsi="宋体" w:cs="宋体"/>
          <w:b/>
          <w:bCs/>
          <w:color w:val="auto"/>
          <w:kern w:val="0"/>
          <w:sz w:val="24"/>
          <w:highlight w:val="none"/>
          <w:u w:val="single"/>
        </w:rPr>
        <w:t>、《混凝土结构工程施工质量验收规范》GB50204-2002</w:t>
      </w:r>
    </w:p>
    <w:p w14:paraId="2584E13B">
      <w:pPr>
        <w:autoSpaceDE w:val="0"/>
        <w:autoSpaceDN w:val="0"/>
        <w:adjustRightInd w:val="0"/>
        <w:spacing w:line="360" w:lineRule="auto"/>
        <w:ind w:firstLine="482" w:firstLineChars="200"/>
        <w:jc w:val="left"/>
        <w:rPr>
          <w:rFonts w:ascii="宋体" w:hAnsi="宋体" w:cs="宋体"/>
          <w:b/>
          <w:bCs/>
          <w:color w:val="auto"/>
          <w:kern w:val="0"/>
          <w:sz w:val="24"/>
          <w:highlight w:val="none"/>
          <w:u w:val="single"/>
        </w:rPr>
      </w:pPr>
      <w:r>
        <w:rPr>
          <w:rFonts w:hint="eastAsia" w:ascii="宋体" w:hAnsi="宋体" w:cs="宋体"/>
          <w:b/>
          <w:bCs/>
          <w:color w:val="auto"/>
          <w:kern w:val="0"/>
          <w:sz w:val="24"/>
          <w:highlight w:val="none"/>
          <w:u w:val="single"/>
          <w:lang w:val="en-US" w:eastAsia="zh-CN"/>
        </w:rPr>
        <w:t>5</w:t>
      </w:r>
      <w:r>
        <w:rPr>
          <w:rFonts w:hint="eastAsia" w:ascii="宋体" w:hAnsi="宋体" w:cs="宋体"/>
          <w:b/>
          <w:bCs/>
          <w:color w:val="auto"/>
          <w:kern w:val="0"/>
          <w:sz w:val="24"/>
          <w:highlight w:val="none"/>
          <w:u w:val="single"/>
        </w:rPr>
        <w:t>、《施工现场临时用电安全技术规范》JGJ146-88</w:t>
      </w:r>
    </w:p>
    <w:p w14:paraId="3D2B777B">
      <w:pPr>
        <w:autoSpaceDE w:val="0"/>
        <w:autoSpaceDN w:val="0"/>
        <w:adjustRightInd w:val="0"/>
        <w:spacing w:line="360" w:lineRule="auto"/>
        <w:ind w:firstLine="482" w:firstLineChars="200"/>
        <w:jc w:val="left"/>
        <w:rPr>
          <w:rFonts w:ascii="宋体" w:hAnsi="宋体" w:cs="宋体"/>
          <w:b/>
          <w:bCs/>
          <w:color w:val="auto"/>
          <w:kern w:val="0"/>
          <w:sz w:val="24"/>
          <w:highlight w:val="none"/>
          <w:u w:val="single"/>
        </w:rPr>
      </w:pPr>
      <w:r>
        <w:rPr>
          <w:rFonts w:hint="eastAsia" w:ascii="宋体" w:hAnsi="宋体" w:cs="宋体"/>
          <w:b/>
          <w:bCs/>
          <w:color w:val="auto"/>
          <w:kern w:val="0"/>
          <w:sz w:val="24"/>
          <w:highlight w:val="none"/>
          <w:u w:val="single"/>
          <w:lang w:val="en-US" w:eastAsia="zh-CN"/>
        </w:rPr>
        <w:t>6</w:t>
      </w:r>
      <w:r>
        <w:rPr>
          <w:rFonts w:hint="eastAsia" w:ascii="宋体" w:hAnsi="宋体" w:cs="宋体"/>
          <w:b/>
          <w:bCs/>
          <w:color w:val="auto"/>
          <w:kern w:val="0"/>
          <w:sz w:val="24"/>
          <w:highlight w:val="none"/>
          <w:u w:val="single"/>
        </w:rPr>
        <w:t>、《建筑机械使用安全技术规程》JGJ33-2001</w:t>
      </w:r>
    </w:p>
    <w:p w14:paraId="18D118CA">
      <w:pPr>
        <w:autoSpaceDE w:val="0"/>
        <w:autoSpaceDN w:val="0"/>
        <w:adjustRightInd w:val="0"/>
        <w:spacing w:line="360" w:lineRule="auto"/>
        <w:ind w:firstLine="482" w:firstLineChars="200"/>
        <w:jc w:val="left"/>
        <w:rPr>
          <w:rFonts w:ascii="宋体" w:hAnsi="宋体" w:cs="宋体"/>
          <w:b/>
          <w:bCs/>
          <w:color w:val="auto"/>
          <w:kern w:val="0"/>
          <w:sz w:val="24"/>
          <w:highlight w:val="none"/>
          <w:u w:val="single"/>
        </w:rPr>
      </w:pPr>
      <w:r>
        <w:rPr>
          <w:rFonts w:hint="eastAsia" w:ascii="宋体" w:hAnsi="宋体" w:cs="宋体"/>
          <w:b/>
          <w:bCs/>
          <w:color w:val="auto"/>
          <w:kern w:val="0"/>
          <w:sz w:val="24"/>
          <w:highlight w:val="none"/>
          <w:u w:val="single"/>
          <w:lang w:val="en-US" w:eastAsia="zh-CN"/>
        </w:rPr>
        <w:t>7</w:t>
      </w:r>
      <w:r>
        <w:rPr>
          <w:rFonts w:hint="eastAsia" w:ascii="宋体" w:hAnsi="宋体" w:cs="宋体"/>
          <w:b/>
          <w:bCs/>
          <w:color w:val="auto"/>
          <w:kern w:val="0"/>
          <w:sz w:val="24"/>
          <w:highlight w:val="none"/>
          <w:u w:val="single"/>
        </w:rPr>
        <w:t>、《建筑施工高处作业安全技术规范》JGJ80-91</w:t>
      </w:r>
    </w:p>
    <w:p w14:paraId="16608B81">
      <w:pPr>
        <w:autoSpaceDE w:val="0"/>
        <w:autoSpaceDN w:val="0"/>
        <w:adjustRightInd w:val="0"/>
        <w:spacing w:line="360" w:lineRule="auto"/>
        <w:ind w:firstLine="482" w:firstLineChars="200"/>
        <w:jc w:val="left"/>
        <w:rPr>
          <w:rFonts w:ascii="宋体" w:hAnsi="宋体" w:cs="宋体"/>
          <w:b/>
          <w:bCs/>
          <w:color w:val="auto"/>
          <w:kern w:val="0"/>
          <w:sz w:val="24"/>
          <w:highlight w:val="none"/>
          <w:u w:val="single"/>
        </w:rPr>
      </w:pPr>
      <w:r>
        <w:rPr>
          <w:rFonts w:hint="eastAsia" w:ascii="宋体" w:hAnsi="宋体" w:cs="宋体"/>
          <w:b/>
          <w:bCs/>
          <w:color w:val="auto"/>
          <w:kern w:val="0"/>
          <w:sz w:val="24"/>
          <w:highlight w:val="none"/>
          <w:u w:val="single"/>
          <w:lang w:val="en-US" w:eastAsia="zh-CN"/>
        </w:rPr>
        <w:t>8</w:t>
      </w:r>
      <w:r>
        <w:rPr>
          <w:rFonts w:hint="eastAsia" w:ascii="宋体" w:hAnsi="宋体" w:cs="宋体"/>
          <w:b/>
          <w:bCs/>
          <w:color w:val="auto"/>
          <w:kern w:val="0"/>
          <w:sz w:val="24"/>
          <w:highlight w:val="none"/>
          <w:u w:val="single"/>
        </w:rPr>
        <w:t>、《建设工程文件归档整理规范》GB/50328-2001</w:t>
      </w:r>
    </w:p>
    <w:p w14:paraId="26C081C9">
      <w:pPr>
        <w:autoSpaceDE w:val="0"/>
        <w:autoSpaceDN w:val="0"/>
        <w:adjustRightInd w:val="0"/>
        <w:spacing w:line="360" w:lineRule="auto"/>
        <w:ind w:firstLine="482" w:firstLineChars="200"/>
        <w:jc w:val="left"/>
        <w:rPr>
          <w:rFonts w:ascii="宋体" w:hAnsi="宋体" w:cs="宋体"/>
          <w:b/>
          <w:bCs/>
          <w:color w:val="auto"/>
          <w:kern w:val="0"/>
          <w:sz w:val="24"/>
          <w:highlight w:val="none"/>
          <w:u w:val="single"/>
        </w:rPr>
      </w:pPr>
      <w:r>
        <w:rPr>
          <w:rFonts w:hint="eastAsia" w:ascii="宋体" w:hAnsi="宋体" w:cs="宋体"/>
          <w:b/>
          <w:bCs/>
          <w:color w:val="auto"/>
          <w:kern w:val="0"/>
          <w:sz w:val="24"/>
          <w:highlight w:val="none"/>
          <w:u w:val="single"/>
          <w:lang w:val="en-US" w:eastAsia="zh-CN"/>
        </w:rPr>
        <w:t>9</w:t>
      </w:r>
      <w:r>
        <w:rPr>
          <w:rFonts w:hint="eastAsia" w:ascii="宋体" w:hAnsi="宋体" w:cs="宋体"/>
          <w:b/>
          <w:bCs/>
          <w:color w:val="auto"/>
          <w:kern w:val="0"/>
          <w:sz w:val="24"/>
          <w:highlight w:val="none"/>
          <w:u w:val="single"/>
        </w:rPr>
        <w:t>、国家、地方、行业现行的建设工程强制性条文、其他规范和标准</w:t>
      </w:r>
    </w:p>
    <w:p w14:paraId="55C72DB2">
      <w:pPr>
        <w:autoSpaceDE w:val="0"/>
        <w:autoSpaceDN w:val="0"/>
        <w:adjustRightInd w:val="0"/>
        <w:spacing w:line="360" w:lineRule="auto"/>
        <w:ind w:firstLine="482" w:firstLineChars="200"/>
        <w:jc w:val="left"/>
        <w:rPr>
          <w:rFonts w:ascii="宋体" w:hAnsi="宋体" w:cs="宋体"/>
          <w:b/>
          <w:bCs/>
          <w:color w:val="auto"/>
          <w:kern w:val="0"/>
          <w:sz w:val="24"/>
          <w:highlight w:val="none"/>
          <w:u w:val="single"/>
        </w:rPr>
      </w:pPr>
      <w:r>
        <w:rPr>
          <w:rFonts w:hint="eastAsia" w:ascii="宋体" w:hAnsi="宋体" w:cs="宋体"/>
          <w:b/>
          <w:bCs/>
          <w:color w:val="auto"/>
          <w:kern w:val="0"/>
          <w:sz w:val="24"/>
          <w:highlight w:val="none"/>
          <w:u w:val="single"/>
        </w:rPr>
        <w:t>1</w:t>
      </w:r>
      <w:r>
        <w:rPr>
          <w:rFonts w:hint="eastAsia" w:ascii="宋体" w:hAnsi="宋体" w:cs="宋体"/>
          <w:b/>
          <w:bCs/>
          <w:color w:val="auto"/>
          <w:kern w:val="0"/>
          <w:sz w:val="24"/>
          <w:highlight w:val="none"/>
          <w:u w:val="single"/>
          <w:lang w:val="en-US" w:eastAsia="zh-CN"/>
        </w:rPr>
        <w:t>0</w:t>
      </w:r>
      <w:r>
        <w:rPr>
          <w:rFonts w:hint="eastAsia" w:ascii="宋体" w:hAnsi="宋体" w:cs="宋体"/>
          <w:b/>
          <w:bCs/>
          <w:color w:val="auto"/>
          <w:kern w:val="0"/>
          <w:sz w:val="24"/>
          <w:highlight w:val="none"/>
          <w:u w:val="single"/>
        </w:rPr>
        <w:t>、国家、地方、行业现行的有关材料、设备的规范和标准</w:t>
      </w:r>
    </w:p>
    <w:p w14:paraId="72A72BC1">
      <w:pPr>
        <w:autoSpaceDE w:val="0"/>
        <w:autoSpaceDN w:val="0"/>
        <w:adjustRightInd w:val="0"/>
        <w:spacing w:line="360" w:lineRule="auto"/>
        <w:ind w:firstLine="482" w:firstLineChars="200"/>
        <w:jc w:val="left"/>
        <w:rPr>
          <w:rFonts w:ascii="宋体" w:hAnsi="宋体" w:cs="宋体"/>
          <w:b/>
          <w:bCs/>
          <w:color w:val="auto"/>
          <w:kern w:val="0"/>
          <w:sz w:val="24"/>
          <w:highlight w:val="none"/>
          <w:u w:val="single"/>
        </w:rPr>
      </w:pPr>
      <w:r>
        <w:rPr>
          <w:rFonts w:hint="eastAsia" w:ascii="宋体" w:hAnsi="宋体" w:cs="宋体"/>
          <w:b/>
          <w:bCs/>
          <w:color w:val="auto"/>
          <w:kern w:val="0"/>
          <w:sz w:val="24"/>
          <w:highlight w:val="none"/>
          <w:u w:val="single"/>
        </w:rPr>
        <w:t>1</w:t>
      </w:r>
      <w:r>
        <w:rPr>
          <w:rFonts w:hint="eastAsia" w:ascii="宋体" w:hAnsi="宋体" w:cs="宋体"/>
          <w:b/>
          <w:bCs/>
          <w:color w:val="auto"/>
          <w:kern w:val="0"/>
          <w:sz w:val="24"/>
          <w:highlight w:val="none"/>
          <w:u w:val="single"/>
          <w:lang w:val="en-US" w:eastAsia="zh-CN"/>
        </w:rPr>
        <w:t>1</w:t>
      </w:r>
      <w:r>
        <w:rPr>
          <w:rFonts w:hint="eastAsia" w:ascii="宋体" w:hAnsi="宋体" w:cs="宋体"/>
          <w:b/>
          <w:bCs/>
          <w:color w:val="auto"/>
          <w:kern w:val="0"/>
          <w:sz w:val="24"/>
          <w:highlight w:val="none"/>
          <w:u w:val="single"/>
        </w:rPr>
        <w:t>、国家和地方现行的建设工程质量评定标准、设计及施工验收规范</w:t>
      </w:r>
    </w:p>
    <w:p w14:paraId="60B2789C">
      <w:pPr>
        <w:autoSpaceDE w:val="0"/>
        <w:autoSpaceDN w:val="0"/>
        <w:adjustRightInd w:val="0"/>
        <w:spacing w:line="360" w:lineRule="auto"/>
        <w:ind w:firstLine="482" w:firstLineChars="200"/>
        <w:jc w:val="left"/>
        <w:rPr>
          <w:rFonts w:ascii="宋体" w:hAnsi="宋体" w:cs="宋体"/>
          <w:b/>
          <w:bCs/>
          <w:color w:val="auto"/>
          <w:kern w:val="0"/>
          <w:sz w:val="24"/>
          <w:highlight w:val="none"/>
          <w:u w:val="single"/>
        </w:rPr>
      </w:pPr>
      <w:r>
        <w:rPr>
          <w:rFonts w:hint="eastAsia" w:ascii="宋体" w:hAnsi="宋体" w:cs="宋体"/>
          <w:b/>
          <w:bCs/>
          <w:color w:val="auto"/>
          <w:kern w:val="0"/>
          <w:sz w:val="24"/>
          <w:highlight w:val="none"/>
          <w:u w:val="single"/>
        </w:rPr>
        <w:t>1</w:t>
      </w:r>
      <w:r>
        <w:rPr>
          <w:rFonts w:hint="eastAsia" w:ascii="宋体" w:hAnsi="宋体" w:cs="宋体"/>
          <w:b/>
          <w:bCs/>
          <w:color w:val="auto"/>
          <w:kern w:val="0"/>
          <w:sz w:val="24"/>
          <w:highlight w:val="none"/>
          <w:u w:val="single"/>
          <w:lang w:val="en-US" w:eastAsia="zh-CN"/>
        </w:rPr>
        <w:t>2</w:t>
      </w:r>
      <w:r>
        <w:rPr>
          <w:rFonts w:hint="eastAsia" w:ascii="宋体" w:hAnsi="宋体" w:cs="宋体"/>
          <w:b/>
          <w:bCs/>
          <w:color w:val="auto"/>
          <w:kern w:val="0"/>
          <w:sz w:val="24"/>
          <w:highlight w:val="none"/>
          <w:u w:val="single"/>
        </w:rPr>
        <w:t>、经批准的施工图纸及说明，以及经图纸会审确定的修改设计通知书</w:t>
      </w:r>
    </w:p>
    <w:p w14:paraId="1ECBE446">
      <w:pPr>
        <w:autoSpaceDE w:val="0"/>
        <w:autoSpaceDN w:val="0"/>
        <w:adjustRightInd w:val="0"/>
        <w:spacing w:line="360" w:lineRule="auto"/>
        <w:ind w:firstLine="482" w:firstLineChars="200"/>
        <w:jc w:val="left"/>
        <w:rPr>
          <w:rFonts w:ascii="宋体" w:hAnsi="宋体" w:cs="宋体"/>
          <w:b/>
          <w:bCs/>
          <w:color w:val="auto"/>
          <w:kern w:val="0"/>
          <w:sz w:val="24"/>
          <w:highlight w:val="none"/>
          <w:u w:val="single"/>
        </w:rPr>
      </w:pPr>
      <w:r>
        <w:rPr>
          <w:rFonts w:hint="eastAsia" w:ascii="宋体" w:hAnsi="宋体" w:cs="宋体"/>
          <w:b/>
          <w:bCs/>
          <w:color w:val="auto"/>
          <w:kern w:val="0"/>
          <w:sz w:val="24"/>
          <w:highlight w:val="none"/>
          <w:u w:val="single"/>
        </w:rPr>
        <w:t>1</w:t>
      </w:r>
      <w:r>
        <w:rPr>
          <w:rFonts w:hint="eastAsia" w:ascii="宋体" w:hAnsi="宋体" w:cs="宋体"/>
          <w:b/>
          <w:bCs/>
          <w:color w:val="auto"/>
          <w:kern w:val="0"/>
          <w:sz w:val="24"/>
          <w:highlight w:val="none"/>
          <w:u w:val="single"/>
          <w:lang w:val="en-US" w:eastAsia="zh-CN"/>
        </w:rPr>
        <w:t>3</w:t>
      </w:r>
      <w:r>
        <w:rPr>
          <w:rFonts w:hint="eastAsia" w:ascii="宋体" w:hAnsi="宋体" w:cs="宋体"/>
          <w:b/>
          <w:bCs/>
          <w:color w:val="auto"/>
          <w:kern w:val="0"/>
          <w:sz w:val="24"/>
          <w:highlight w:val="none"/>
          <w:u w:val="single"/>
        </w:rPr>
        <w:t>、本工程的设计、施工、招投标文件及合同</w:t>
      </w:r>
    </w:p>
    <w:p w14:paraId="415DB83A">
      <w:pPr>
        <w:autoSpaceDE w:val="0"/>
        <w:autoSpaceDN w:val="0"/>
        <w:adjustRightInd w:val="0"/>
        <w:spacing w:line="360" w:lineRule="auto"/>
        <w:ind w:firstLine="482" w:firstLineChars="200"/>
        <w:jc w:val="left"/>
        <w:rPr>
          <w:rFonts w:ascii="宋体" w:hAnsi="宋体" w:cs="宋体"/>
          <w:b/>
          <w:bCs/>
          <w:color w:val="auto"/>
          <w:kern w:val="0"/>
          <w:sz w:val="24"/>
          <w:highlight w:val="none"/>
          <w:u w:val="single"/>
        </w:rPr>
      </w:pPr>
      <w:r>
        <w:rPr>
          <w:rFonts w:hint="eastAsia" w:ascii="宋体" w:hAnsi="宋体" w:cs="宋体"/>
          <w:b/>
          <w:bCs/>
          <w:color w:val="auto"/>
          <w:kern w:val="0"/>
          <w:sz w:val="24"/>
          <w:highlight w:val="none"/>
          <w:u w:val="single"/>
        </w:rPr>
        <w:t>1</w:t>
      </w:r>
      <w:r>
        <w:rPr>
          <w:rFonts w:hint="eastAsia" w:ascii="宋体" w:hAnsi="宋体" w:cs="宋体"/>
          <w:b/>
          <w:bCs/>
          <w:color w:val="auto"/>
          <w:kern w:val="0"/>
          <w:sz w:val="24"/>
          <w:highlight w:val="none"/>
          <w:u w:val="single"/>
          <w:lang w:val="en-US" w:eastAsia="zh-CN"/>
        </w:rPr>
        <w:t>4</w:t>
      </w:r>
      <w:r>
        <w:rPr>
          <w:rFonts w:hint="eastAsia" w:ascii="宋体" w:hAnsi="宋体" w:cs="宋体"/>
          <w:b/>
          <w:bCs/>
          <w:color w:val="auto"/>
          <w:kern w:val="0"/>
          <w:sz w:val="24"/>
          <w:highlight w:val="none"/>
          <w:u w:val="single"/>
        </w:rPr>
        <w:t>、委托人发出的有关本工程建设的指令</w:t>
      </w:r>
    </w:p>
    <w:p w14:paraId="7D9EA5D9">
      <w:pPr>
        <w:autoSpaceDE w:val="0"/>
        <w:autoSpaceDN w:val="0"/>
        <w:adjustRightInd w:val="0"/>
        <w:spacing w:line="360" w:lineRule="auto"/>
        <w:ind w:firstLine="482" w:firstLineChars="200"/>
        <w:jc w:val="left"/>
        <w:rPr>
          <w:rFonts w:ascii="宋体" w:hAnsi="宋体" w:cs="宋体"/>
          <w:b/>
          <w:bCs/>
          <w:color w:val="auto"/>
          <w:kern w:val="0"/>
          <w:sz w:val="24"/>
          <w:highlight w:val="none"/>
          <w:u w:val="single"/>
        </w:rPr>
      </w:pPr>
      <w:r>
        <w:rPr>
          <w:rFonts w:hint="eastAsia" w:ascii="宋体" w:hAnsi="宋体" w:cs="宋体"/>
          <w:b/>
          <w:bCs/>
          <w:color w:val="auto"/>
          <w:kern w:val="0"/>
          <w:sz w:val="24"/>
          <w:highlight w:val="none"/>
          <w:u w:val="single"/>
        </w:rPr>
        <w:t>1</w:t>
      </w:r>
      <w:r>
        <w:rPr>
          <w:rFonts w:hint="eastAsia" w:ascii="宋体" w:hAnsi="宋体" w:cs="宋体"/>
          <w:b/>
          <w:bCs/>
          <w:color w:val="auto"/>
          <w:kern w:val="0"/>
          <w:sz w:val="24"/>
          <w:highlight w:val="none"/>
          <w:u w:val="single"/>
          <w:lang w:val="en-US" w:eastAsia="zh-CN"/>
        </w:rPr>
        <w:t>5</w:t>
      </w:r>
      <w:r>
        <w:rPr>
          <w:rFonts w:hint="eastAsia" w:ascii="宋体" w:hAnsi="宋体" w:cs="宋体"/>
          <w:b/>
          <w:bCs/>
          <w:color w:val="auto"/>
          <w:kern w:val="0"/>
          <w:sz w:val="24"/>
          <w:highlight w:val="none"/>
          <w:u w:val="single"/>
        </w:rPr>
        <w:t>、委托人制定的有关本工程建设的规定</w:t>
      </w:r>
    </w:p>
    <w:p w14:paraId="50809949">
      <w:pPr>
        <w:jc w:val="left"/>
        <w:rPr>
          <w:rFonts w:ascii="宋体" w:hAnsi="宋体" w:cs="宋体"/>
          <w:color w:val="auto"/>
          <w:sz w:val="24"/>
          <w:highlight w:val="none"/>
        </w:rPr>
      </w:pPr>
    </w:p>
    <w:p w14:paraId="725C9398">
      <w:pPr>
        <w:spacing w:line="460" w:lineRule="exact"/>
        <w:rPr>
          <w:rFonts w:ascii="宋体" w:hAnsi="宋体" w:cs="宋体"/>
          <w:color w:val="auto"/>
          <w:szCs w:val="21"/>
          <w:highlight w:val="none"/>
        </w:rPr>
      </w:pPr>
    </w:p>
    <w:p w14:paraId="42B12A5F">
      <w:pPr>
        <w:spacing w:line="460" w:lineRule="exact"/>
        <w:jc w:val="center"/>
        <w:rPr>
          <w:rFonts w:ascii="宋体" w:hAnsi="宋体" w:cs="宋体"/>
          <w:color w:val="auto"/>
          <w:szCs w:val="21"/>
          <w:highlight w:val="none"/>
        </w:rPr>
      </w:pPr>
    </w:p>
    <w:p w14:paraId="3C850767">
      <w:pPr>
        <w:jc w:val="center"/>
        <w:rPr>
          <w:rFonts w:ascii="宋体" w:hAnsi="宋体" w:cs="宋体"/>
          <w:b/>
          <w:color w:val="auto"/>
          <w:szCs w:val="21"/>
          <w:highlight w:val="none"/>
        </w:rPr>
      </w:pPr>
    </w:p>
    <w:p w14:paraId="3988C770">
      <w:pPr>
        <w:jc w:val="center"/>
        <w:rPr>
          <w:rFonts w:ascii="宋体" w:hAnsi="宋体" w:cs="宋体"/>
          <w:b/>
          <w:color w:val="auto"/>
          <w:szCs w:val="21"/>
          <w:highlight w:val="none"/>
        </w:rPr>
      </w:pPr>
    </w:p>
    <w:p w14:paraId="19D90EB0">
      <w:pPr>
        <w:jc w:val="center"/>
        <w:rPr>
          <w:rFonts w:ascii="宋体" w:hAnsi="宋体" w:cs="宋体"/>
          <w:b/>
          <w:color w:val="auto"/>
          <w:szCs w:val="21"/>
          <w:highlight w:val="none"/>
        </w:rPr>
      </w:pPr>
    </w:p>
    <w:p w14:paraId="22915A5A">
      <w:pPr>
        <w:jc w:val="center"/>
        <w:rPr>
          <w:rFonts w:ascii="宋体" w:hAnsi="宋体" w:cs="宋体"/>
          <w:b/>
          <w:color w:val="auto"/>
          <w:szCs w:val="21"/>
          <w:highlight w:val="none"/>
        </w:rPr>
      </w:pPr>
    </w:p>
    <w:p w14:paraId="3C3A14E4">
      <w:pPr>
        <w:jc w:val="center"/>
        <w:rPr>
          <w:rFonts w:ascii="宋体" w:hAnsi="宋体" w:cs="宋体"/>
          <w:b/>
          <w:color w:val="auto"/>
          <w:szCs w:val="21"/>
          <w:highlight w:val="none"/>
        </w:rPr>
      </w:pPr>
    </w:p>
    <w:p w14:paraId="6E6389DF">
      <w:pPr>
        <w:jc w:val="center"/>
        <w:rPr>
          <w:rFonts w:ascii="宋体" w:hAnsi="宋体" w:cs="宋体"/>
          <w:b/>
          <w:color w:val="auto"/>
          <w:szCs w:val="21"/>
          <w:highlight w:val="none"/>
        </w:rPr>
      </w:pPr>
    </w:p>
    <w:p w14:paraId="7FA6D1B8">
      <w:pPr>
        <w:jc w:val="center"/>
        <w:rPr>
          <w:rFonts w:ascii="宋体" w:hAnsi="宋体" w:cs="宋体"/>
          <w:b/>
          <w:color w:val="auto"/>
          <w:szCs w:val="21"/>
          <w:highlight w:val="none"/>
        </w:rPr>
      </w:pPr>
    </w:p>
    <w:p w14:paraId="48A969C6">
      <w:pPr>
        <w:jc w:val="center"/>
        <w:rPr>
          <w:rFonts w:ascii="宋体" w:hAnsi="宋体" w:cs="宋体"/>
          <w:b/>
          <w:color w:val="auto"/>
          <w:szCs w:val="21"/>
          <w:highlight w:val="none"/>
        </w:rPr>
      </w:pPr>
    </w:p>
    <w:p w14:paraId="7F91FA8D">
      <w:pPr>
        <w:pStyle w:val="2"/>
        <w:pageBreakBefore/>
        <w:spacing w:line="579" w:lineRule="auto"/>
        <w:jc w:val="center"/>
        <w:rPr>
          <w:rFonts w:ascii="宋体" w:hAnsi="宋体" w:cs="宋体"/>
          <w:color w:val="auto"/>
          <w:highlight w:val="none"/>
        </w:rPr>
      </w:pPr>
      <w:bookmarkStart w:id="207" w:name="_Toc25068"/>
      <w:bookmarkStart w:id="208" w:name="_Toc497464074"/>
      <w:r>
        <w:rPr>
          <w:rFonts w:hint="eastAsia" w:ascii="宋体" w:hAnsi="宋体" w:cs="宋体"/>
          <w:color w:val="auto"/>
          <w:highlight w:val="none"/>
        </w:rPr>
        <w:t>第六章 投标文件格式</w:t>
      </w:r>
      <w:bookmarkEnd w:id="207"/>
      <w:bookmarkEnd w:id="208"/>
    </w:p>
    <w:p w14:paraId="5F8AA98E">
      <w:pPr>
        <w:pStyle w:val="3"/>
        <w:rPr>
          <w:rFonts w:ascii="宋体" w:hAnsi="宋体" w:eastAsia="宋体" w:cs="宋体"/>
          <w:color w:val="auto"/>
          <w:highlight w:val="none"/>
        </w:rPr>
      </w:pPr>
      <w:bookmarkStart w:id="209" w:name="_Toc497464075"/>
      <w:bookmarkStart w:id="210" w:name="_Toc29456"/>
      <w:r>
        <w:rPr>
          <w:rFonts w:hint="eastAsia" w:ascii="宋体" w:hAnsi="宋体" w:eastAsia="宋体" w:cs="宋体"/>
          <w:color w:val="auto"/>
          <w:highlight w:val="none"/>
        </w:rPr>
        <w:t>1. 投标文件封面</w:t>
      </w:r>
      <w:bookmarkEnd w:id="209"/>
      <w:bookmarkEnd w:id="210"/>
    </w:p>
    <w:p w14:paraId="7626EAB7">
      <w:pPr>
        <w:jc w:val="center"/>
        <w:rPr>
          <w:rFonts w:ascii="宋体" w:hAnsi="宋体" w:cs="宋体"/>
          <w:color w:val="auto"/>
          <w:szCs w:val="21"/>
          <w:highlight w:val="none"/>
          <w:u w:val="single"/>
        </w:rPr>
      </w:pPr>
    </w:p>
    <w:p w14:paraId="78252E71">
      <w:pPr>
        <w:jc w:val="center"/>
        <w:rPr>
          <w:rFonts w:ascii="宋体" w:hAnsi="宋体" w:cs="宋体"/>
          <w:color w:val="auto"/>
          <w:szCs w:val="21"/>
          <w:highlight w:val="none"/>
          <w:u w:val="single"/>
        </w:rPr>
      </w:pPr>
    </w:p>
    <w:p w14:paraId="60CE3B5C">
      <w:pPr>
        <w:jc w:val="center"/>
        <w:rPr>
          <w:rFonts w:ascii="宋体" w:hAnsi="宋体" w:cs="宋体"/>
          <w:color w:val="auto"/>
          <w:sz w:val="32"/>
          <w:szCs w:val="32"/>
          <w:highlight w:val="none"/>
        </w:rPr>
      </w:pPr>
      <w:r>
        <w:rPr>
          <w:rFonts w:hint="eastAsia" w:ascii="宋体" w:hAnsi="宋体" w:cs="宋体"/>
          <w:color w:val="auto"/>
          <w:sz w:val="32"/>
          <w:szCs w:val="32"/>
          <w:highlight w:val="none"/>
          <w:u w:val="single"/>
        </w:rPr>
        <w:t xml:space="preserve">     （项目名称）    </w:t>
      </w:r>
    </w:p>
    <w:p w14:paraId="53AF889A">
      <w:pPr>
        <w:rPr>
          <w:rFonts w:ascii="宋体" w:hAnsi="宋体" w:cs="宋体"/>
          <w:color w:val="auto"/>
          <w:sz w:val="32"/>
          <w:szCs w:val="32"/>
          <w:highlight w:val="none"/>
        </w:rPr>
      </w:pPr>
    </w:p>
    <w:p w14:paraId="19257D22">
      <w:pPr>
        <w:rPr>
          <w:rFonts w:ascii="宋体" w:hAnsi="宋体" w:cs="宋体"/>
          <w:color w:val="auto"/>
          <w:sz w:val="32"/>
          <w:szCs w:val="32"/>
          <w:highlight w:val="none"/>
        </w:rPr>
      </w:pPr>
    </w:p>
    <w:p w14:paraId="44621CB7">
      <w:pPr>
        <w:jc w:val="center"/>
        <w:rPr>
          <w:rFonts w:ascii="宋体" w:hAnsi="宋体" w:cs="宋体"/>
          <w:color w:val="auto"/>
          <w:sz w:val="48"/>
          <w:szCs w:val="48"/>
          <w:highlight w:val="none"/>
        </w:rPr>
      </w:pPr>
      <w:r>
        <w:rPr>
          <w:rFonts w:hint="eastAsia" w:ascii="宋体" w:hAnsi="宋体" w:cs="宋体"/>
          <w:color w:val="auto"/>
          <w:sz w:val="48"/>
          <w:szCs w:val="48"/>
          <w:highlight w:val="none"/>
        </w:rPr>
        <w:t>投标文件</w:t>
      </w:r>
    </w:p>
    <w:p w14:paraId="22852DE8">
      <w:pPr>
        <w:jc w:val="center"/>
        <w:rPr>
          <w:rFonts w:ascii="宋体" w:hAnsi="宋体" w:cs="宋体"/>
          <w:color w:val="auto"/>
          <w:sz w:val="48"/>
          <w:szCs w:val="48"/>
          <w:highlight w:val="none"/>
        </w:rPr>
      </w:pPr>
      <w:r>
        <w:rPr>
          <w:rFonts w:hint="eastAsia" w:ascii="宋体" w:hAnsi="宋体" w:cs="宋体"/>
          <w:color w:val="auto"/>
          <w:sz w:val="48"/>
          <w:szCs w:val="48"/>
          <w:highlight w:val="none"/>
        </w:rPr>
        <w:t>（资格审查文件或商务标文件</w:t>
      </w:r>
      <w:r>
        <w:rPr>
          <w:rFonts w:hint="eastAsia" w:ascii="宋体" w:hAnsi="宋体" w:cs="宋体"/>
          <w:color w:val="auto"/>
          <w:sz w:val="48"/>
          <w:szCs w:val="48"/>
          <w:highlight w:val="none"/>
          <w:lang w:val="en-US" w:eastAsia="zh-CN"/>
        </w:rPr>
        <w:t>或电子文件</w:t>
      </w:r>
      <w:r>
        <w:rPr>
          <w:rFonts w:hint="eastAsia" w:ascii="宋体" w:hAnsi="宋体" w:cs="宋体"/>
          <w:color w:val="auto"/>
          <w:sz w:val="48"/>
          <w:szCs w:val="48"/>
          <w:highlight w:val="none"/>
        </w:rPr>
        <w:t>）</w:t>
      </w:r>
    </w:p>
    <w:p w14:paraId="6DCAF6ED">
      <w:pPr>
        <w:rPr>
          <w:rFonts w:ascii="宋体" w:hAnsi="宋体" w:cs="宋体"/>
          <w:color w:val="auto"/>
          <w:sz w:val="32"/>
          <w:szCs w:val="32"/>
          <w:highlight w:val="none"/>
        </w:rPr>
      </w:pPr>
    </w:p>
    <w:p w14:paraId="2CB663A1">
      <w:pPr>
        <w:rPr>
          <w:rFonts w:ascii="宋体" w:hAnsi="宋体" w:cs="宋体"/>
          <w:color w:val="auto"/>
          <w:szCs w:val="21"/>
          <w:highlight w:val="none"/>
        </w:rPr>
      </w:pPr>
    </w:p>
    <w:p w14:paraId="0F6CF95C">
      <w:pPr>
        <w:rPr>
          <w:rFonts w:ascii="宋体" w:hAnsi="宋体" w:cs="宋体"/>
          <w:color w:val="auto"/>
          <w:szCs w:val="21"/>
          <w:highlight w:val="none"/>
        </w:rPr>
      </w:pPr>
    </w:p>
    <w:p w14:paraId="1176BA30">
      <w:pPr>
        <w:rPr>
          <w:rFonts w:ascii="宋体" w:hAnsi="宋体" w:cs="宋体"/>
          <w:color w:val="auto"/>
          <w:szCs w:val="21"/>
          <w:highlight w:val="none"/>
        </w:rPr>
      </w:pPr>
    </w:p>
    <w:p w14:paraId="56DEDDEB">
      <w:pPr>
        <w:rPr>
          <w:rFonts w:ascii="宋体" w:hAnsi="宋体" w:cs="宋体"/>
          <w:color w:val="auto"/>
          <w:szCs w:val="21"/>
          <w:highlight w:val="none"/>
        </w:rPr>
      </w:pPr>
    </w:p>
    <w:p w14:paraId="09EACF9A">
      <w:pPr>
        <w:rPr>
          <w:rFonts w:ascii="宋体" w:hAnsi="宋体" w:cs="宋体"/>
          <w:color w:val="auto"/>
          <w:szCs w:val="21"/>
          <w:highlight w:val="none"/>
        </w:rPr>
      </w:pPr>
    </w:p>
    <w:p w14:paraId="7FF4BF33">
      <w:pPr>
        <w:rPr>
          <w:rFonts w:ascii="宋体" w:hAnsi="宋体" w:cs="宋体"/>
          <w:color w:val="auto"/>
          <w:szCs w:val="21"/>
          <w:highlight w:val="none"/>
        </w:rPr>
      </w:pPr>
    </w:p>
    <w:p w14:paraId="3DCDC652">
      <w:pPr>
        <w:rPr>
          <w:rFonts w:ascii="宋体" w:hAnsi="宋体" w:cs="宋体"/>
          <w:color w:val="auto"/>
          <w:szCs w:val="21"/>
          <w:highlight w:val="none"/>
        </w:rPr>
      </w:pPr>
    </w:p>
    <w:p w14:paraId="36420576">
      <w:pPr>
        <w:rPr>
          <w:rFonts w:ascii="宋体" w:hAnsi="宋体" w:cs="宋体"/>
          <w:color w:val="auto"/>
          <w:szCs w:val="21"/>
          <w:highlight w:val="none"/>
        </w:rPr>
      </w:pPr>
    </w:p>
    <w:p w14:paraId="6E0072A0">
      <w:pPr>
        <w:rPr>
          <w:rFonts w:ascii="宋体" w:hAnsi="宋体" w:cs="宋体"/>
          <w:color w:val="auto"/>
          <w:szCs w:val="21"/>
          <w:highlight w:val="none"/>
        </w:rPr>
      </w:pPr>
    </w:p>
    <w:p w14:paraId="248CF9A0">
      <w:pPr>
        <w:rPr>
          <w:rFonts w:ascii="宋体" w:hAnsi="宋体" w:cs="宋体"/>
          <w:color w:val="auto"/>
          <w:szCs w:val="21"/>
          <w:highlight w:val="none"/>
        </w:rPr>
      </w:pPr>
    </w:p>
    <w:p w14:paraId="4B2DB2EA">
      <w:pPr>
        <w:rPr>
          <w:rFonts w:ascii="宋体" w:hAnsi="宋体" w:cs="宋体"/>
          <w:color w:val="auto"/>
          <w:szCs w:val="21"/>
          <w:highlight w:val="none"/>
        </w:rPr>
      </w:pPr>
    </w:p>
    <w:p w14:paraId="371954B5">
      <w:pPr>
        <w:rPr>
          <w:rFonts w:ascii="宋体" w:hAnsi="宋体" w:cs="宋体"/>
          <w:color w:val="auto"/>
          <w:szCs w:val="21"/>
          <w:highlight w:val="none"/>
        </w:rPr>
      </w:pPr>
    </w:p>
    <w:p w14:paraId="3DE9EEC2">
      <w:pPr>
        <w:rPr>
          <w:rFonts w:ascii="宋体" w:hAnsi="宋体" w:cs="宋体"/>
          <w:color w:val="auto"/>
          <w:szCs w:val="21"/>
          <w:highlight w:val="none"/>
        </w:rPr>
      </w:pPr>
    </w:p>
    <w:p w14:paraId="39B54815">
      <w:pPr>
        <w:ind w:firstLine="1500" w:firstLineChars="500"/>
        <w:rPr>
          <w:rFonts w:ascii="宋体" w:hAnsi="宋体" w:cs="宋体"/>
          <w:color w:val="auto"/>
          <w:sz w:val="30"/>
          <w:szCs w:val="30"/>
          <w:highlight w:val="none"/>
        </w:rPr>
      </w:pPr>
      <w:r>
        <w:rPr>
          <w:rFonts w:hint="eastAsia" w:ascii="宋体" w:hAnsi="宋体" w:cs="宋体"/>
          <w:color w:val="auto"/>
          <w:sz w:val="30"/>
          <w:szCs w:val="30"/>
          <w:highlight w:val="none"/>
        </w:rPr>
        <w:t>投标人：（盖单位章）</w:t>
      </w:r>
    </w:p>
    <w:p w14:paraId="3B221599">
      <w:pPr>
        <w:ind w:firstLine="1500" w:firstLineChars="500"/>
        <w:rPr>
          <w:rFonts w:ascii="宋体" w:hAnsi="宋体" w:cs="宋体"/>
          <w:color w:val="auto"/>
          <w:sz w:val="30"/>
          <w:szCs w:val="30"/>
          <w:highlight w:val="none"/>
        </w:rPr>
      </w:pPr>
      <w:r>
        <w:rPr>
          <w:rFonts w:hint="eastAsia" w:ascii="宋体" w:hAnsi="宋体" w:cs="宋体"/>
          <w:color w:val="auto"/>
          <w:sz w:val="30"/>
          <w:szCs w:val="30"/>
          <w:highlight w:val="none"/>
        </w:rPr>
        <w:t>法定代表人或其委托代理人：（签字或盖章）</w:t>
      </w:r>
    </w:p>
    <w:p w14:paraId="4A2BD527">
      <w:pPr>
        <w:ind w:firstLine="2250" w:firstLineChars="750"/>
        <w:rPr>
          <w:rFonts w:ascii="宋体" w:hAnsi="宋体" w:cs="宋体"/>
          <w:b/>
          <w:bCs/>
          <w:color w:val="auto"/>
          <w:sz w:val="30"/>
          <w:highlight w:val="none"/>
        </w:rPr>
      </w:pPr>
      <w:r>
        <w:rPr>
          <w:rFonts w:hint="eastAsia" w:ascii="宋体" w:hAnsi="宋体" w:cs="宋体"/>
          <w:color w:val="auto"/>
          <w:sz w:val="30"/>
          <w:szCs w:val="30"/>
          <w:highlight w:val="none"/>
        </w:rPr>
        <w:t>年月日</w:t>
      </w:r>
      <w:bookmarkStart w:id="211" w:name="_Toc441826396"/>
      <w:bookmarkStart w:id="212" w:name="_Toc462759180"/>
    </w:p>
    <w:p w14:paraId="5F27B5D3">
      <w:pPr>
        <w:keepNext w:val="0"/>
        <w:keepLines w:val="0"/>
        <w:pageBreakBefore/>
        <w:widowControl w:val="0"/>
        <w:kinsoku/>
        <w:wordWrap/>
        <w:overflowPunct/>
        <w:topLinePunct w:val="0"/>
        <w:autoSpaceDE/>
        <w:autoSpaceDN w:val="0"/>
        <w:bidi w:val="0"/>
        <w:adjustRightInd/>
        <w:snapToGrid/>
        <w:spacing w:before="260" w:after="260" w:line="540" w:lineRule="atLeast"/>
        <w:jc w:val="center"/>
        <w:textAlignment w:val="auto"/>
        <w:rPr>
          <w:rFonts w:ascii="宋体" w:hAnsi="宋体" w:cs="宋体"/>
          <w:b/>
          <w:color w:val="auto"/>
          <w:sz w:val="32"/>
          <w:highlight w:val="none"/>
        </w:rPr>
      </w:pPr>
      <w:r>
        <w:rPr>
          <w:rFonts w:hint="eastAsia" w:ascii="宋体" w:hAnsi="宋体" w:cs="宋体"/>
          <w:b/>
          <w:bCs/>
          <w:color w:val="auto"/>
          <w:sz w:val="30"/>
          <w:highlight w:val="none"/>
        </w:rPr>
        <w:t>（一）</w:t>
      </w:r>
      <w:r>
        <w:rPr>
          <w:rFonts w:hint="eastAsia" w:ascii="宋体" w:hAnsi="宋体" w:cs="宋体"/>
          <w:b/>
          <w:color w:val="auto"/>
          <w:sz w:val="32"/>
          <w:highlight w:val="none"/>
        </w:rPr>
        <w:t>法定代表人身份证明</w:t>
      </w:r>
    </w:p>
    <w:p w14:paraId="20F2753C">
      <w:pPr>
        <w:autoSpaceDE w:val="0"/>
        <w:autoSpaceDN w:val="0"/>
        <w:adjustRightInd w:val="0"/>
        <w:spacing w:line="360" w:lineRule="auto"/>
        <w:ind w:firstLine="420" w:firstLineChars="200"/>
        <w:jc w:val="left"/>
        <w:rPr>
          <w:rFonts w:ascii="宋体" w:hAnsi="宋体" w:cs="宋体"/>
          <w:color w:val="auto"/>
          <w:kern w:val="0"/>
          <w:szCs w:val="21"/>
          <w:highlight w:val="none"/>
        </w:rPr>
      </w:pPr>
    </w:p>
    <w:p w14:paraId="0F045CA7">
      <w:pPr>
        <w:tabs>
          <w:tab w:val="left" w:pos="2410"/>
        </w:tabs>
        <w:adjustRightIn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投标人单位名称：</w:t>
      </w:r>
    </w:p>
    <w:p w14:paraId="4DE33450">
      <w:pPr>
        <w:tabs>
          <w:tab w:val="left" w:pos="2410"/>
        </w:tabs>
        <w:adjustRightIn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投标人单位地址：</w:t>
      </w:r>
    </w:p>
    <w:p w14:paraId="39DF301C">
      <w:pPr>
        <w:tabs>
          <w:tab w:val="left" w:pos="2410"/>
        </w:tabs>
        <w:adjustRightInd w:val="0"/>
        <w:spacing w:line="360" w:lineRule="auto"/>
        <w:ind w:firstLine="480" w:firstLineChars="200"/>
        <w:textAlignment w:val="baseline"/>
        <w:rPr>
          <w:rFonts w:ascii="宋体" w:hAnsi="宋体" w:cs="宋体"/>
          <w:color w:val="auto"/>
          <w:sz w:val="24"/>
          <w:highlight w:val="none"/>
          <w:u w:val="single"/>
        </w:rPr>
      </w:pPr>
      <w:r>
        <w:rPr>
          <w:rFonts w:hint="eastAsia" w:ascii="宋体" w:hAnsi="宋体" w:cs="宋体"/>
          <w:color w:val="auto"/>
          <w:sz w:val="24"/>
          <w:highlight w:val="none"/>
        </w:rPr>
        <w:t>姓    名：性别：</w:t>
      </w:r>
    </w:p>
    <w:p w14:paraId="02249B11">
      <w:pPr>
        <w:tabs>
          <w:tab w:val="left" w:pos="2410"/>
        </w:tabs>
        <w:adjustRightIn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年龄：职务：</w:t>
      </w:r>
    </w:p>
    <w:p w14:paraId="54D0DC9B">
      <w:pPr>
        <w:tabs>
          <w:tab w:val="left" w:pos="2410"/>
        </w:tabs>
        <w:adjustRightInd w:val="0"/>
        <w:spacing w:line="360" w:lineRule="auto"/>
        <w:ind w:firstLine="480" w:firstLineChars="200"/>
        <w:textAlignment w:val="baseline"/>
        <w:rPr>
          <w:rFonts w:ascii="宋体" w:hAnsi="宋体" w:cs="宋体"/>
          <w:color w:val="auto"/>
          <w:sz w:val="24"/>
          <w:highlight w:val="none"/>
          <w:u w:val="single"/>
        </w:rPr>
      </w:pPr>
      <w:r>
        <w:rPr>
          <w:rFonts w:hint="eastAsia" w:ascii="宋体" w:hAnsi="宋体" w:cs="宋体"/>
          <w:color w:val="auto"/>
          <w:sz w:val="24"/>
          <w:highlight w:val="none"/>
        </w:rPr>
        <w:t>系：(投标人单位名称)的法定代表人。</w:t>
      </w:r>
    </w:p>
    <w:p w14:paraId="4E5896E7">
      <w:pPr>
        <w:tabs>
          <w:tab w:val="left" w:pos="2410"/>
        </w:tabs>
        <w:adjustRightInd w:val="0"/>
        <w:spacing w:line="360" w:lineRule="auto"/>
        <w:ind w:firstLine="480" w:firstLineChars="200"/>
        <w:textAlignment w:val="baseline"/>
        <w:rPr>
          <w:rFonts w:ascii="宋体" w:hAnsi="宋体" w:cs="宋体"/>
          <w:color w:val="auto"/>
          <w:sz w:val="24"/>
          <w:highlight w:val="none"/>
        </w:rPr>
      </w:pPr>
    </w:p>
    <w:p w14:paraId="4A7FCEA4">
      <w:pPr>
        <w:tabs>
          <w:tab w:val="left" w:pos="2410"/>
        </w:tabs>
        <w:adjustRightInd w:val="0"/>
        <w:spacing w:line="400" w:lineRule="exact"/>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特此证明</w:t>
      </w:r>
    </w:p>
    <w:p w14:paraId="79E3B1C1">
      <w:pPr>
        <w:tabs>
          <w:tab w:val="left" w:pos="2410"/>
        </w:tabs>
        <w:adjustRightInd w:val="0"/>
        <w:spacing w:line="400" w:lineRule="exact"/>
        <w:ind w:firstLine="480" w:firstLineChars="200"/>
        <w:textAlignment w:val="baseline"/>
        <w:rPr>
          <w:rFonts w:ascii="宋体" w:hAnsi="宋体" w:cs="宋体"/>
          <w:color w:val="auto"/>
          <w:sz w:val="24"/>
          <w:highlight w:val="none"/>
        </w:rPr>
      </w:pPr>
    </w:p>
    <w:p w14:paraId="483B1D74">
      <w:pPr>
        <w:tabs>
          <w:tab w:val="left" w:pos="2410"/>
        </w:tabs>
        <w:adjustRightInd w:val="0"/>
        <w:spacing w:line="400" w:lineRule="exact"/>
        <w:ind w:firstLine="3840" w:firstLineChars="1600"/>
        <w:textAlignment w:val="baseline"/>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6504B954">
      <w:pPr>
        <w:tabs>
          <w:tab w:val="left" w:pos="2410"/>
        </w:tabs>
        <w:adjustRightInd w:val="0"/>
        <w:spacing w:line="400" w:lineRule="exact"/>
        <w:ind w:firstLine="3840" w:firstLineChars="1600"/>
        <w:textAlignment w:val="baseline"/>
        <w:rPr>
          <w:rFonts w:ascii="宋体" w:hAnsi="宋体" w:cs="宋体"/>
          <w:color w:val="auto"/>
          <w:sz w:val="24"/>
          <w:highlight w:val="none"/>
        </w:rPr>
      </w:pPr>
    </w:p>
    <w:p w14:paraId="3B32FF00">
      <w:pPr>
        <w:tabs>
          <w:tab w:val="left" w:pos="2410"/>
        </w:tabs>
        <w:adjustRightInd w:val="0"/>
        <w:spacing w:line="400" w:lineRule="exact"/>
        <w:ind w:firstLine="3840" w:firstLineChars="1600"/>
        <w:textAlignment w:val="baseline"/>
        <w:rPr>
          <w:rFonts w:ascii="宋体" w:hAnsi="宋体" w:cs="宋体"/>
          <w:color w:val="auto"/>
          <w:sz w:val="24"/>
          <w:highlight w:val="none"/>
        </w:rPr>
      </w:pPr>
      <w:r>
        <w:rPr>
          <w:rFonts w:hint="eastAsia" w:ascii="宋体" w:hAnsi="宋体" w:cs="宋体"/>
          <w:color w:val="auto"/>
          <w:sz w:val="24"/>
          <w:highlight w:val="none"/>
        </w:rPr>
        <w:t>日   期：</w:t>
      </w:r>
    </w:p>
    <w:p w14:paraId="1F5DE08D">
      <w:pPr>
        <w:autoSpaceDE w:val="0"/>
        <w:autoSpaceDN w:val="0"/>
        <w:adjustRightInd w:val="0"/>
        <w:spacing w:line="360" w:lineRule="auto"/>
        <w:ind w:firstLine="420" w:firstLineChars="200"/>
        <w:jc w:val="left"/>
        <w:rPr>
          <w:rFonts w:ascii="宋体" w:hAnsi="宋体" w:cs="宋体"/>
          <w:color w:val="auto"/>
          <w:kern w:val="0"/>
          <w:szCs w:val="21"/>
          <w:highlight w:val="none"/>
        </w:rPr>
      </w:pPr>
    </w:p>
    <w:p w14:paraId="27080551">
      <w:pPr>
        <w:autoSpaceDE w:val="0"/>
        <w:autoSpaceDN w:val="0"/>
        <w:adjustRightInd w:val="0"/>
        <w:spacing w:line="360" w:lineRule="auto"/>
        <w:ind w:firstLine="420" w:firstLineChars="200"/>
        <w:jc w:val="left"/>
        <w:rPr>
          <w:rFonts w:ascii="宋体" w:hAnsi="宋体" w:cs="宋体"/>
          <w:color w:val="auto"/>
          <w:kern w:val="0"/>
          <w:szCs w:val="21"/>
          <w:highlight w:val="none"/>
        </w:rPr>
      </w:pPr>
    </w:p>
    <w:p w14:paraId="7FCE5E4C">
      <w:pPr>
        <w:autoSpaceDE w:val="0"/>
        <w:autoSpaceDN w:val="0"/>
        <w:adjustRightInd w:val="0"/>
        <w:spacing w:line="360" w:lineRule="auto"/>
        <w:ind w:firstLine="482" w:firstLineChars="20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附：法定代表人身份证正反面复印件</w:t>
      </w:r>
    </w:p>
    <w:p w14:paraId="617CA6D1">
      <w:pPr>
        <w:autoSpaceDE w:val="0"/>
        <w:autoSpaceDN w:val="0"/>
        <w:adjustRightInd w:val="0"/>
        <w:spacing w:line="360" w:lineRule="auto"/>
        <w:ind w:firstLine="420" w:firstLineChars="200"/>
        <w:jc w:val="left"/>
        <w:rPr>
          <w:rFonts w:ascii="宋体" w:hAnsi="宋体" w:cs="宋体"/>
          <w:color w:val="auto"/>
          <w:kern w:val="0"/>
          <w:szCs w:val="21"/>
          <w:highlight w:val="none"/>
        </w:rPr>
      </w:pPr>
    </w:p>
    <w:p w14:paraId="1E7446C2">
      <w:pPr>
        <w:autoSpaceDE w:val="0"/>
        <w:autoSpaceDN w:val="0"/>
        <w:adjustRightInd w:val="0"/>
        <w:spacing w:line="360" w:lineRule="auto"/>
        <w:ind w:firstLine="420" w:firstLineChars="200"/>
        <w:jc w:val="left"/>
        <w:rPr>
          <w:rFonts w:ascii="宋体" w:hAnsi="宋体" w:cs="宋体"/>
          <w:color w:val="auto"/>
          <w:kern w:val="0"/>
          <w:szCs w:val="21"/>
          <w:highlight w:val="none"/>
        </w:rPr>
      </w:pPr>
    </w:p>
    <w:p w14:paraId="65837532">
      <w:pPr>
        <w:autoSpaceDE w:val="0"/>
        <w:autoSpaceDN w:val="0"/>
        <w:adjustRightInd w:val="0"/>
        <w:spacing w:line="360" w:lineRule="auto"/>
        <w:ind w:firstLine="420" w:firstLineChars="200"/>
        <w:jc w:val="left"/>
        <w:rPr>
          <w:rFonts w:ascii="宋体" w:hAnsi="宋体" w:cs="宋体"/>
          <w:color w:val="auto"/>
          <w:kern w:val="0"/>
          <w:szCs w:val="21"/>
          <w:highlight w:val="none"/>
        </w:rPr>
      </w:pPr>
    </w:p>
    <w:p w14:paraId="2FA06400">
      <w:pPr>
        <w:autoSpaceDE w:val="0"/>
        <w:autoSpaceDN w:val="0"/>
        <w:adjustRightInd w:val="0"/>
        <w:spacing w:line="360" w:lineRule="auto"/>
        <w:ind w:firstLine="420" w:firstLineChars="200"/>
        <w:jc w:val="left"/>
        <w:rPr>
          <w:rFonts w:ascii="宋体" w:hAnsi="宋体" w:cs="宋体"/>
          <w:color w:val="auto"/>
          <w:kern w:val="0"/>
          <w:szCs w:val="21"/>
          <w:highlight w:val="none"/>
        </w:rPr>
      </w:pPr>
    </w:p>
    <w:p w14:paraId="6377707A">
      <w:pPr>
        <w:autoSpaceDE w:val="0"/>
        <w:autoSpaceDN w:val="0"/>
        <w:adjustRightInd w:val="0"/>
        <w:spacing w:line="360" w:lineRule="auto"/>
        <w:ind w:firstLine="420" w:firstLineChars="200"/>
        <w:jc w:val="left"/>
        <w:rPr>
          <w:rFonts w:ascii="宋体" w:hAnsi="宋体" w:cs="宋体"/>
          <w:color w:val="auto"/>
          <w:kern w:val="0"/>
          <w:szCs w:val="21"/>
          <w:highlight w:val="none"/>
        </w:rPr>
      </w:pPr>
    </w:p>
    <w:p w14:paraId="12F02BD4">
      <w:pPr>
        <w:keepNext/>
        <w:autoSpaceDN w:val="0"/>
        <w:spacing w:before="260" w:after="260" w:line="540" w:lineRule="atLeast"/>
        <w:jc w:val="center"/>
        <w:rPr>
          <w:rFonts w:ascii="宋体" w:hAnsi="宋体" w:cs="宋体"/>
          <w:b/>
          <w:color w:val="auto"/>
          <w:highlight w:val="none"/>
        </w:rPr>
      </w:pPr>
      <w:r>
        <w:rPr>
          <w:rFonts w:hint="eastAsia" w:ascii="宋体" w:hAnsi="宋体" w:cs="宋体"/>
          <w:color w:val="auto"/>
          <w:kern w:val="0"/>
          <w:szCs w:val="21"/>
          <w:highlight w:val="none"/>
        </w:rPr>
        <w:br w:type="page"/>
      </w:r>
      <w:bookmarkStart w:id="213" w:name="_Toc486432355"/>
      <w:bookmarkStart w:id="214" w:name="_Toc478562566"/>
      <w:bookmarkStart w:id="215" w:name="_Toc7540"/>
      <w:bookmarkStart w:id="216" w:name="_Toc497464079"/>
      <w:r>
        <w:rPr>
          <w:rFonts w:hint="eastAsia" w:ascii="宋体" w:hAnsi="宋体" w:cs="宋体"/>
          <w:b/>
          <w:color w:val="auto"/>
          <w:sz w:val="32"/>
          <w:highlight w:val="none"/>
        </w:rPr>
        <w:t>（二）授权委托书</w:t>
      </w:r>
      <w:bookmarkEnd w:id="213"/>
      <w:bookmarkEnd w:id="214"/>
      <w:bookmarkEnd w:id="215"/>
      <w:bookmarkEnd w:id="216"/>
    </w:p>
    <w:p w14:paraId="256EE693">
      <w:pPr>
        <w:autoSpaceDE w:val="0"/>
        <w:autoSpaceDN w:val="0"/>
        <w:adjustRightInd w:val="0"/>
        <w:spacing w:line="360" w:lineRule="auto"/>
        <w:jc w:val="center"/>
        <w:rPr>
          <w:rFonts w:ascii="宋体" w:hAnsi="宋体" w:cs="宋体"/>
          <w:color w:val="auto"/>
          <w:kern w:val="0"/>
          <w:szCs w:val="21"/>
          <w:highlight w:val="none"/>
        </w:rPr>
      </w:pPr>
    </w:p>
    <w:p w14:paraId="01D7D7F6">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本人</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（投标人名称）的法定代表人，现委托</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（姓名）（身份证号：</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）为我方代理人。代理人根据授权，以我方名义签署、澄清、说明、补正、递交、撤回、修改（项目名称）监理投标文件、签订合同和处理有关事宜，其法律后果由我方承担。</w:t>
      </w:r>
    </w:p>
    <w:p w14:paraId="44185376">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 。</w:t>
      </w:r>
    </w:p>
    <w:p w14:paraId="04787951">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48A69FC7">
      <w:pPr>
        <w:autoSpaceDE w:val="0"/>
        <w:autoSpaceDN w:val="0"/>
        <w:adjustRightInd w:val="0"/>
        <w:spacing w:line="360" w:lineRule="auto"/>
        <w:ind w:firstLine="480" w:firstLineChars="200"/>
        <w:jc w:val="left"/>
        <w:rPr>
          <w:rFonts w:ascii="宋体" w:hAnsi="宋体" w:cs="宋体"/>
          <w:color w:val="auto"/>
          <w:kern w:val="0"/>
          <w:sz w:val="24"/>
          <w:highlight w:val="none"/>
        </w:rPr>
      </w:pPr>
    </w:p>
    <w:p w14:paraId="1E603F24">
      <w:pPr>
        <w:autoSpaceDE w:val="0"/>
        <w:autoSpaceDN w:val="0"/>
        <w:adjustRightInd w:val="0"/>
        <w:spacing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代理人：        性别：    年龄：</w:t>
      </w:r>
    </w:p>
    <w:p w14:paraId="7A6160D6">
      <w:pPr>
        <w:autoSpaceDE w:val="0"/>
        <w:autoSpaceDN w:val="0"/>
        <w:adjustRightInd w:val="0"/>
        <w:spacing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代理人单位：    部门：    职务：</w:t>
      </w:r>
    </w:p>
    <w:p w14:paraId="2C8870A7">
      <w:pPr>
        <w:autoSpaceDE w:val="0"/>
        <w:autoSpaceDN w:val="0"/>
        <w:adjustRightInd w:val="0"/>
        <w:spacing w:line="500" w:lineRule="exact"/>
        <w:ind w:firstLine="480" w:firstLineChars="200"/>
        <w:jc w:val="left"/>
        <w:rPr>
          <w:rFonts w:ascii="宋体" w:hAnsi="宋体" w:cs="宋体"/>
          <w:color w:val="auto"/>
          <w:kern w:val="0"/>
          <w:sz w:val="24"/>
          <w:highlight w:val="none"/>
        </w:rPr>
      </w:pPr>
    </w:p>
    <w:p w14:paraId="6F99EE4C">
      <w:pPr>
        <w:autoSpaceDE w:val="0"/>
        <w:autoSpaceDN w:val="0"/>
        <w:adjustRightInd w:val="0"/>
        <w:spacing w:line="500" w:lineRule="exact"/>
        <w:ind w:firstLine="480" w:firstLineChars="200"/>
        <w:jc w:val="left"/>
        <w:rPr>
          <w:rFonts w:ascii="宋体" w:hAnsi="宋体" w:cs="宋体"/>
          <w:color w:val="auto"/>
          <w:kern w:val="0"/>
          <w:sz w:val="24"/>
          <w:highlight w:val="none"/>
        </w:rPr>
      </w:pPr>
    </w:p>
    <w:p w14:paraId="7E808422">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  标  人：（盖单位章）</w:t>
      </w:r>
    </w:p>
    <w:p w14:paraId="783113E2">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法定代表人：（签字或印章）</w:t>
      </w:r>
    </w:p>
    <w:p w14:paraId="7B11F957">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日期：</w:t>
      </w:r>
    </w:p>
    <w:p w14:paraId="336AEB68">
      <w:pPr>
        <w:autoSpaceDE w:val="0"/>
        <w:autoSpaceDN w:val="0"/>
        <w:adjustRightInd w:val="0"/>
        <w:spacing w:line="360" w:lineRule="auto"/>
        <w:ind w:firstLine="482" w:firstLineChars="20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附：委托代理人身份证正反面复印件</w:t>
      </w:r>
    </w:p>
    <w:p w14:paraId="3D9B8375">
      <w:pPr>
        <w:widowControl/>
        <w:numPr>
          <w:ilvl w:val="0"/>
          <w:numId w:val="4"/>
        </w:numPr>
        <w:jc w:val="center"/>
        <w:rPr>
          <w:rFonts w:ascii="宋体" w:hAnsi="宋体" w:cs="宋体"/>
          <w:b/>
          <w:color w:val="auto"/>
          <w:kern w:val="0"/>
          <w:sz w:val="31"/>
          <w:szCs w:val="31"/>
          <w:highlight w:val="none"/>
        </w:rPr>
      </w:pPr>
      <w:r>
        <w:rPr>
          <w:rFonts w:hint="eastAsia" w:ascii="宋体" w:hAnsi="宋体" w:cs="宋体"/>
          <w:color w:val="auto"/>
          <w:kern w:val="0"/>
          <w:szCs w:val="21"/>
          <w:highlight w:val="none"/>
        </w:rPr>
        <w:br w:type="page"/>
      </w:r>
      <w:r>
        <w:rPr>
          <w:rFonts w:hint="eastAsia" w:ascii="宋体" w:hAnsi="宋体" w:cs="宋体"/>
          <w:b/>
          <w:color w:val="auto"/>
          <w:kern w:val="0"/>
          <w:sz w:val="31"/>
          <w:szCs w:val="31"/>
          <w:highlight w:val="none"/>
        </w:rPr>
        <w:t>诚信承诺书</w:t>
      </w:r>
    </w:p>
    <w:p w14:paraId="6380DFDD">
      <w:pPr>
        <w:spacing w:line="360" w:lineRule="auto"/>
        <w:jc w:val="left"/>
        <w:rPr>
          <w:rFonts w:ascii="宋体" w:hAnsi="宋体" w:cs="宋体"/>
          <w:color w:val="auto"/>
          <w:sz w:val="22"/>
          <w:szCs w:val="22"/>
          <w:highlight w:val="none"/>
        </w:rPr>
      </w:pPr>
      <w:r>
        <w:rPr>
          <w:rFonts w:hint="eastAsia" w:ascii="宋体" w:hAnsi="宋体" w:cs="宋体"/>
          <w:b/>
          <w:bCs/>
          <w:color w:val="auto"/>
          <w:sz w:val="22"/>
          <w:szCs w:val="22"/>
          <w:highlight w:val="none"/>
          <w:u w:val="single"/>
        </w:rPr>
        <w:t>（招标人）</w:t>
      </w:r>
      <w:r>
        <w:rPr>
          <w:rFonts w:hint="eastAsia" w:ascii="宋体" w:hAnsi="宋体" w:cs="宋体"/>
          <w:color w:val="auto"/>
          <w:sz w:val="22"/>
          <w:szCs w:val="22"/>
          <w:highlight w:val="none"/>
        </w:rPr>
        <w:t>：</w:t>
      </w:r>
    </w:p>
    <w:p w14:paraId="60DB7697">
      <w:pPr>
        <w:widowControl/>
        <w:spacing w:line="400" w:lineRule="exact"/>
        <w:ind w:firstLine="429" w:firstLineChars="195"/>
        <w:jc w:val="left"/>
        <w:rPr>
          <w:rFonts w:ascii="宋体" w:hAnsi="宋体" w:cs="宋体"/>
          <w:color w:val="auto"/>
          <w:sz w:val="22"/>
          <w:szCs w:val="22"/>
          <w:highlight w:val="none"/>
        </w:rPr>
      </w:pPr>
      <w:r>
        <w:rPr>
          <w:rFonts w:hint="eastAsia" w:ascii="宋体" w:hAnsi="宋体" w:cs="宋体"/>
          <w:color w:val="auto"/>
          <w:sz w:val="22"/>
          <w:szCs w:val="22"/>
          <w:highlight w:val="none"/>
        </w:rPr>
        <w:t>我方参加你方的</w:t>
      </w:r>
      <w:r>
        <w:rPr>
          <w:rFonts w:hint="eastAsia" w:ascii="宋体" w:hAnsi="宋体" w:cs="宋体"/>
          <w:b/>
          <w:bCs/>
          <w:color w:val="auto"/>
          <w:sz w:val="22"/>
          <w:szCs w:val="22"/>
          <w:highlight w:val="none"/>
          <w:u w:val="single"/>
        </w:rPr>
        <w:t xml:space="preserve">   （项目名称 ） </w:t>
      </w:r>
      <w:r>
        <w:rPr>
          <w:rFonts w:hint="eastAsia" w:ascii="宋体" w:hAnsi="宋体" w:cs="宋体"/>
          <w:color w:val="auto"/>
          <w:sz w:val="22"/>
          <w:szCs w:val="22"/>
          <w:highlight w:val="none"/>
        </w:rPr>
        <w:t>（以下简称“本工程”）的投标，现我方法定代表人向你方慎重承诺：</w:t>
      </w:r>
    </w:p>
    <w:p w14:paraId="44859F31">
      <w:pPr>
        <w:widowControl/>
        <w:spacing w:line="40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1、企业财务和经营状况良好，具备履行合同能力，无不良经营行为；未处于被责令停业、投标资格被取消或者财产被接管、冻结和破产状态；无因投标申请人违约或不恰当履约引起的合同争议纠纷及仲裁和诉讼记录。如果我方经本工程评标委员会评定为第一中标候选人，在公示期间被他人举报并经招标投标监管机构核实，确认存在上述不良记录，你方即可取消我方第一中标候选人资格，并同意投标保证金不予退还。</w:t>
      </w:r>
    </w:p>
    <w:p w14:paraId="5ABB4B7E">
      <w:pPr>
        <w:spacing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如我方中标，本项目委派项目总监及专业监理人员数量及资格符合省住房城乡建设厅关于印发《江苏省建设工程项目监理机构主要管理人员配备标准》公告（（2017）第35号）及相关文件规定，所有监理人员均须在投标单位注册，身体健康。招标人可能根据工程具体特点，要求适时配备相应监理人员，当人员不能满足工程进展要求时，招标人有权要求增加相应专业监理员或更换有关监理人员。</w:t>
      </w:r>
    </w:p>
    <w:p w14:paraId="7028ED30">
      <w:pPr>
        <w:widowControl/>
        <w:spacing w:line="400" w:lineRule="exact"/>
        <w:ind w:firstLine="429" w:firstLineChars="195"/>
        <w:jc w:val="left"/>
        <w:rPr>
          <w:rFonts w:ascii="宋体" w:hAnsi="宋体" w:cs="宋体"/>
          <w:color w:val="auto"/>
          <w:sz w:val="22"/>
          <w:szCs w:val="22"/>
          <w:highlight w:val="none"/>
        </w:rPr>
      </w:pPr>
      <w:r>
        <w:rPr>
          <w:rFonts w:hint="eastAsia" w:ascii="宋体" w:hAnsi="宋体" w:cs="宋体"/>
          <w:color w:val="auto"/>
          <w:sz w:val="22"/>
          <w:szCs w:val="22"/>
          <w:highlight w:val="none"/>
        </w:rPr>
        <w:t>4、我单位参与本工程投标，提交的投标文件真实可信。证件及有关附件是真实的，复印件与原件是一致的。绝无借资质、挂靠、提供虚假材料等违规现象。</w:t>
      </w:r>
    </w:p>
    <w:p w14:paraId="6700897B">
      <w:pPr>
        <w:widowControl/>
        <w:spacing w:line="400" w:lineRule="exact"/>
        <w:ind w:firstLine="429" w:firstLineChars="195"/>
        <w:jc w:val="left"/>
        <w:rPr>
          <w:rFonts w:ascii="宋体" w:hAnsi="宋体" w:cs="宋体"/>
          <w:color w:val="auto"/>
          <w:sz w:val="22"/>
          <w:szCs w:val="22"/>
          <w:highlight w:val="none"/>
        </w:rPr>
      </w:pPr>
      <w:r>
        <w:rPr>
          <w:rFonts w:hint="eastAsia" w:ascii="宋体" w:hAnsi="宋体" w:cs="宋体"/>
          <w:color w:val="auto"/>
          <w:sz w:val="22"/>
          <w:szCs w:val="22"/>
          <w:highlight w:val="none"/>
        </w:rPr>
        <w:t>5、我单位不组织、不参与串标围标，没有出借资质等违法违规行为。</w:t>
      </w:r>
    </w:p>
    <w:p w14:paraId="5E26957F">
      <w:pPr>
        <w:spacing w:line="400" w:lineRule="exact"/>
        <w:ind w:firstLine="440" w:firstLineChars="200"/>
        <w:jc w:val="left"/>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6、我单位遵守国家廉政相关规定，无失信、行贿等不良行为。</w:t>
      </w:r>
    </w:p>
    <w:p w14:paraId="41A49128">
      <w:pPr>
        <w:spacing w:line="400" w:lineRule="exact"/>
        <w:ind w:firstLine="440" w:firstLineChars="200"/>
        <w:jc w:val="left"/>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7、如中标，我单位将委派本公司所属的正式队伍进场。</w:t>
      </w:r>
    </w:p>
    <w:p w14:paraId="750F0650">
      <w:pPr>
        <w:spacing w:line="400" w:lineRule="exact"/>
        <w:ind w:firstLine="440" w:firstLineChars="200"/>
        <w:jc w:val="left"/>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8、如中标，我单位将按照投标文件中委派的人员及时到位，且全面负责工作。</w:t>
      </w:r>
    </w:p>
    <w:p w14:paraId="62DF52E6">
      <w:pPr>
        <w:spacing w:line="400" w:lineRule="exact"/>
        <w:ind w:firstLine="440" w:firstLineChars="200"/>
        <w:jc w:val="left"/>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9、如中标，我单位将按照招标文件要求或投标文件中承诺配备的设备、检测仪器及时进场，且投入使用。</w:t>
      </w:r>
    </w:p>
    <w:p w14:paraId="0915B1E6">
      <w:pPr>
        <w:widowControl/>
        <w:spacing w:line="400" w:lineRule="exact"/>
        <w:ind w:firstLine="429" w:firstLineChars="195"/>
        <w:jc w:val="left"/>
        <w:rPr>
          <w:rFonts w:ascii="宋体" w:hAnsi="宋体" w:cs="宋体"/>
          <w:color w:val="auto"/>
          <w:sz w:val="22"/>
          <w:szCs w:val="22"/>
          <w:highlight w:val="none"/>
        </w:rPr>
      </w:pPr>
      <w:r>
        <w:rPr>
          <w:rFonts w:hint="eastAsia" w:ascii="宋体" w:hAnsi="宋体" w:cs="宋体"/>
          <w:color w:val="auto"/>
          <w:sz w:val="22"/>
          <w:szCs w:val="22"/>
          <w:highlight w:val="none"/>
        </w:rPr>
        <w:t>10、如果以后涉及招标投标方面的投诉举报，我方将严格按照《</w:t>
      </w:r>
      <w:bookmarkStart w:id="217" w:name="OLE_LINK1"/>
      <w:r>
        <w:rPr>
          <w:rFonts w:hint="eastAsia" w:ascii="宋体" w:hAnsi="宋体" w:cs="宋体"/>
          <w:color w:val="auto"/>
          <w:sz w:val="22"/>
          <w:szCs w:val="22"/>
          <w:highlight w:val="none"/>
        </w:rPr>
        <w:t>江苏省房屋建筑和市政基础设施工程招标投标活动异议与投诉处理实施办法</w:t>
      </w:r>
      <w:bookmarkEnd w:id="217"/>
      <w:r>
        <w:rPr>
          <w:rFonts w:hint="eastAsia" w:ascii="宋体" w:hAnsi="宋体" w:cs="宋体"/>
          <w:color w:val="auto"/>
          <w:sz w:val="22"/>
          <w:szCs w:val="22"/>
          <w:highlight w:val="none"/>
        </w:rPr>
        <w:t>》（苏建规字〔2016〕4号）的规定进行投诉，否则，招标人可以不予受理。</w:t>
      </w:r>
    </w:p>
    <w:p w14:paraId="75842E02">
      <w:pPr>
        <w:spacing w:line="400" w:lineRule="exact"/>
        <w:ind w:firstLine="442" w:firstLineChars="200"/>
        <w:jc w:val="left"/>
        <w:textAlignment w:val="baseline"/>
        <w:rPr>
          <w:rFonts w:ascii="宋体" w:hAnsi="宋体" w:cs="宋体"/>
          <w:b/>
          <w:color w:val="auto"/>
          <w:sz w:val="22"/>
          <w:szCs w:val="22"/>
          <w:highlight w:val="none"/>
        </w:rPr>
      </w:pPr>
      <w:r>
        <w:rPr>
          <w:rFonts w:hint="eastAsia" w:ascii="宋体" w:hAnsi="宋体" w:cs="宋体"/>
          <w:b/>
          <w:color w:val="auto"/>
          <w:sz w:val="22"/>
          <w:szCs w:val="22"/>
          <w:highlight w:val="none"/>
        </w:rPr>
        <w:t>我方承诺：违反上述任何一条承诺，愿意接受任何处罚，包括同意你方取消我方中标资格并不予退还投标保证金或履约保证金，并愿意接受业主和监管部门的处罚。将我方列入黑名单，并上报建设主管部门。</w:t>
      </w:r>
    </w:p>
    <w:p w14:paraId="32BEB81F">
      <w:pPr>
        <w:spacing w:line="480" w:lineRule="auto"/>
        <w:ind w:firstLine="440" w:firstLineChars="200"/>
        <w:jc w:val="left"/>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 xml:space="preserve">投 标 人 (盖单位公章)：                  </w:t>
      </w:r>
    </w:p>
    <w:p w14:paraId="4549C976">
      <w:pPr>
        <w:spacing w:line="480" w:lineRule="auto"/>
        <w:ind w:firstLine="440" w:firstLineChars="200"/>
        <w:jc w:val="left"/>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 xml:space="preserve">法定代表人（签字或盖章）：       </w:t>
      </w:r>
    </w:p>
    <w:p w14:paraId="39B67B94">
      <w:pPr>
        <w:spacing w:line="480" w:lineRule="auto"/>
        <w:ind w:firstLine="440" w:firstLineChars="200"/>
        <w:jc w:val="left"/>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7D9C67DF">
      <w:pPr>
        <w:rPr>
          <w:rFonts w:ascii="宋体" w:hAnsi="宋体" w:cs="宋体"/>
          <w:color w:val="auto"/>
          <w:highlight w:val="none"/>
        </w:rPr>
      </w:pPr>
      <w:r>
        <w:rPr>
          <w:rFonts w:hint="eastAsia" w:ascii="宋体" w:hAnsi="宋体" w:cs="宋体"/>
          <w:color w:val="auto"/>
          <w:highlight w:val="none"/>
        </w:rPr>
        <w:br w:type="page"/>
      </w:r>
    </w:p>
    <w:p w14:paraId="34DDD887">
      <w:pPr>
        <w:spacing w:line="400" w:lineRule="exact"/>
        <w:jc w:val="center"/>
        <w:rPr>
          <w:rFonts w:ascii="宋体" w:hAnsi="宋体" w:cs="宋体"/>
          <w:b/>
          <w:color w:val="auto"/>
          <w:kern w:val="0"/>
          <w:szCs w:val="21"/>
          <w:highlight w:val="none"/>
        </w:rPr>
      </w:pPr>
    </w:p>
    <w:p w14:paraId="305623D7">
      <w:pPr>
        <w:widowControl/>
        <w:numPr>
          <w:ilvl w:val="0"/>
          <w:numId w:val="4"/>
        </w:numPr>
        <w:jc w:val="center"/>
        <w:rPr>
          <w:rFonts w:ascii="宋体" w:hAnsi="宋体" w:cs="宋体"/>
          <w:b/>
          <w:color w:val="auto"/>
          <w:kern w:val="0"/>
          <w:sz w:val="31"/>
          <w:szCs w:val="31"/>
          <w:highlight w:val="none"/>
        </w:rPr>
      </w:pPr>
      <w:r>
        <w:rPr>
          <w:rFonts w:hint="eastAsia" w:ascii="宋体" w:hAnsi="宋体" w:cs="宋体"/>
          <w:b/>
          <w:color w:val="auto"/>
          <w:kern w:val="0"/>
          <w:sz w:val="31"/>
          <w:szCs w:val="31"/>
          <w:highlight w:val="none"/>
        </w:rPr>
        <w:t>超期费用承诺书</w:t>
      </w:r>
    </w:p>
    <w:p w14:paraId="57A0216B">
      <w:pPr>
        <w:pStyle w:val="30"/>
        <w:spacing w:before="0" w:beforeAutospacing="0" w:after="120" w:afterAutospacing="0"/>
        <w:ind w:left="420" w:leftChars="200" w:firstLine="480" w:firstLineChars="200"/>
        <w:jc w:val="both"/>
        <w:rPr>
          <w:color w:val="auto"/>
          <w:highlight w:val="none"/>
        </w:rPr>
      </w:pPr>
    </w:p>
    <w:p w14:paraId="0AA553D7">
      <w:pPr>
        <w:spacing w:line="480" w:lineRule="auto"/>
        <w:rPr>
          <w:rFonts w:ascii="宋体" w:hAnsi="宋体" w:cs="宋体"/>
          <w:color w:val="auto"/>
          <w:spacing w:val="8"/>
          <w:sz w:val="22"/>
          <w:szCs w:val="22"/>
          <w:highlight w:val="none"/>
        </w:rPr>
      </w:pPr>
      <w:r>
        <w:rPr>
          <w:rFonts w:hint="eastAsia" w:ascii="宋体" w:hAnsi="宋体" w:cs="Arial"/>
          <w:b/>
          <w:bCs/>
          <w:color w:val="auto"/>
          <w:spacing w:val="-4"/>
          <w:kern w:val="0"/>
          <w:sz w:val="22"/>
          <w:szCs w:val="22"/>
          <w:highlight w:val="none"/>
          <w:u w:val="single"/>
        </w:rPr>
        <w:t xml:space="preserve">                           （招标人）</w:t>
      </w:r>
      <w:r>
        <w:rPr>
          <w:rFonts w:hint="eastAsia" w:ascii="宋体" w:hAnsi="宋体" w:cs="宋体"/>
          <w:color w:val="auto"/>
          <w:spacing w:val="8"/>
          <w:sz w:val="22"/>
          <w:szCs w:val="22"/>
          <w:highlight w:val="none"/>
        </w:rPr>
        <w:t>：</w:t>
      </w:r>
    </w:p>
    <w:p w14:paraId="4A90C431">
      <w:pPr>
        <w:widowControl/>
        <w:spacing w:line="480" w:lineRule="auto"/>
        <w:ind w:firstLine="429" w:firstLineChars="195"/>
        <w:jc w:val="left"/>
        <w:rPr>
          <w:rFonts w:ascii="宋体" w:hAnsi="宋体" w:cs="宋体"/>
          <w:color w:val="auto"/>
          <w:sz w:val="22"/>
          <w:szCs w:val="22"/>
          <w:highlight w:val="none"/>
        </w:rPr>
      </w:pPr>
      <w:r>
        <w:rPr>
          <w:rFonts w:hint="eastAsia" w:ascii="宋体" w:hAnsi="宋体" w:cs="宋体"/>
          <w:color w:val="auto"/>
          <w:sz w:val="22"/>
          <w:szCs w:val="22"/>
          <w:highlight w:val="none"/>
        </w:rPr>
        <w:t>我方参加你方的（以下简称“本工程”）的投标，现我方法定代表人向你方郑重承诺：</w:t>
      </w:r>
    </w:p>
    <w:p w14:paraId="6C97AA14">
      <w:pPr>
        <w:spacing w:line="480" w:lineRule="auto"/>
        <w:ind w:firstLine="442" w:firstLineChars="200"/>
        <w:rPr>
          <w:rFonts w:ascii="宋体" w:hAnsi="宋体" w:cs="宋体"/>
          <w:color w:val="auto"/>
          <w:sz w:val="22"/>
          <w:szCs w:val="22"/>
          <w:highlight w:val="none"/>
        </w:rPr>
      </w:pPr>
      <w:r>
        <w:rPr>
          <w:rFonts w:hint="eastAsia" w:ascii="宋体" w:hAnsi="宋体" w:cs="宋体"/>
          <w:b/>
          <w:bCs/>
          <w:color w:val="auto"/>
          <w:sz w:val="22"/>
          <w:szCs w:val="22"/>
          <w:highlight w:val="none"/>
        </w:rPr>
        <w:t>无论因何种原因造成的工期延长，我方均不向招标人要求任何形式的附加工作报酬</w:t>
      </w:r>
      <w:r>
        <w:rPr>
          <w:rFonts w:hint="eastAsia" w:ascii="宋体" w:hAnsi="宋体" w:cs="宋体"/>
          <w:color w:val="auto"/>
          <w:sz w:val="22"/>
          <w:szCs w:val="22"/>
          <w:highlight w:val="none"/>
        </w:rPr>
        <w:t>。</w:t>
      </w:r>
    </w:p>
    <w:p w14:paraId="0A2D5834">
      <w:pPr>
        <w:pStyle w:val="30"/>
        <w:spacing w:before="0" w:beforeAutospacing="0" w:after="0" w:afterAutospacing="0" w:line="480" w:lineRule="auto"/>
        <w:ind w:firstLine="440" w:firstLineChars="200"/>
        <w:jc w:val="both"/>
        <w:rPr>
          <w:color w:val="auto"/>
          <w:sz w:val="22"/>
          <w:szCs w:val="22"/>
          <w:highlight w:val="none"/>
        </w:rPr>
      </w:pPr>
    </w:p>
    <w:p w14:paraId="7B99BCD0">
      <w:pPr>
        <w:spacing w:line="480" w:lineRule="auto"/>
        <w:rPr>
          <w:rFonts w:ascii="宋体" w:hAnsi="宋体" w:cs="宋体"/>
          <w:color w:val="auto"/>
          <w:sz w:val="22"/>
          <w:szCs w:val="22"/>
          <w:highlight w:val="none"/>
        </w:rPr>
      </w:pPr>
      <w:r>
        <w:rPr>
          <w:rFonts w:hint="eastAsia" w:ascii="宋体" w:hAnsi="宋体" w:cs="宋体"/>
          <w:color w:val="auto"/>
          <w:sz w:val="22"/>
          <w:szCs w:val="22"/>
          <w:highlight w:val="none"/>
        </w:rPr>
        <w:t>投标人（盖章）：</w:t>
      </w:r>
    </w:p>
    <w:p w14:paraId="7BD2A89C">
      <w:pPr>
        <w:tabs>
          <w:tab w:val="left" w:pos="4320"/>
        </w:tabs>
        <w:spacing w:line="480" w:lineRule="auto"/>
        <w:rPr>
          <w:rFonts w:ascii="宋体" w:hAnsi="宋体" w:cs="宋体"/>
          <w:color w:val="auto"/>
          <w:sz w:val="22"/>
          <w:szCs w:val="22"/>
          <w:highlight w:val="none"/>
        </w:rPr>
      </w:pPr>
      <w:r>
        <w:rPr>
          <w:rFonts w:hint="eastAsia" w:ascii="宋体" w:hAnsi="宋体" w:cs="宋体"/>
          <w:color w:val="auto"/>
          <w:sz w:val="22"/>
          <w:szCs w:val="22"/>
          <w:highlight w:val="none"/>
        </w:rPr>
        <w:t>法定代表人（签字或盖章）：</w:t>
      </w:r>
    </w:p>
    <w:p w14:paraId="0D72BDD7">
      <w:pPr>
        <w:spacing w:line="480" w:lineRule="auto"/>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057881CC">
      <w:pPr>
        <w:pStyle w:val="4"/>
        <w:spacing w:line="400" w:lineRule="exact"/>
        <w:jc w:val="center"/>
        <w:rPr>
          <w:rFonts w:ascii="宋体" w:hAnsi="宋体" w:eastAsia="宋体" w:cs="宋体"/>
          <w:color w:val="auto"/>
          <w:highlight w:val="none"/>
        </w:rPr>
      </w:pPr>
    </w:p>
    <w:p w14:paraId="61AA7331">
      <w:pPr>
        <w:pageBreakBefore/>
        <w:widowControl/>
        <w:numPr>
          <w:ilvl w:val="0"/>
          <w:numId w:val="4"/>
        </w:numPr>
        <w:jc w:val="center"/>
        <w:rPr>
          <w:rFonts w:ascii="宋体" w:hAnsi="宋体" w:cs="宋体"/>
          <w:b/>
          <w:color w:val="auto"/>
          <w:kern w:val="0"/>
          <w:sz w:val="31"/>
          <w:szCs w:val="31"/>
          <w:highlight w:val="none"/>
        </w:rPr>
      </w:pPr>
      <w:r>
        <w:rPr>
          <w:rFonts w:hint="eastAsia" w:ascii="宋体" w:hAnsi="宋体" w:cs="宋体"/>
          <w:b/>
          <w:color w:val="auto"/>
          <w:kern w:val="0"/>
          <w:sz w:val="31"/>
          <w:szCs w:val="31"/>
          <w:highlight w:val="none"/>
        </w:rPr>
        <w:t>投标函</w:t>
      </w:r>
    </w:p>
    <w:p w14:paraId="53D7C482">
      <w:pPr>
        <w:autoSpaceDE w:val="0"/>
        <w:autoSpaceDN w:val="0"/>
        <w:adjustRightInd w:val="0"/>
        <w:rPr>
          <w:rFonts w:ascii="宋体" w:hAnsi="宋体" w:cs="宋体"/>
          <w:color w:val="auto"/>
          <w:kern w:val="0"/>
          <w:sz w:val="24"/>
          <w:highlight w:val="none"/>
          <w:u w:val="single"/>
        </w:rPr>
      </w:pPr>
    </w:p>
    <w:p w14:paraId="0A16F2E3">
      <w:pPr>
        <w:autoSpaceDE w:val="0"/>
        <w:autoSpaceDN w:val="0"/>
        <w:adjustRightInd w:val="0"/>
        <w:rPr>
          <w:rFonts w:ascii="宋体" w:hAnsi="宋体" w:cs="宋体"/>
          <w:color w:val="auto"/>
          <w:kern w:val="0"/>
          <w:sz w:val="22"/>
          <w:szCs w:val="22"/>
          <w:highlight w:val="none"/>
        </w:rPr>
      </w:pPr>
      <w:r>
        <w:rPr>
          <w:rFonts w:hint="eastAsia" w:ascii="宋体" w:hAnsi="宋体" w:cs="宋体"/>
          <w:color w:val="auto"/>
          <w:kern w:val="0"/>
          <w:sz w:val="22"/>
          <w:szCs w:val="22"/>
          <w:highlight w:val="none"/>
          <w:u w:val="single"/>
        </w:rPr>
        <w:t xml:space="preserve">     （招标人名称）        </w:t>
      </w:r>
      <w:r>
        <w:rPr>
          <w:rFonts w:hint="eastAsia" w:ascii="宋体" w:hAnsi="宋体" w:cs="宋体"/>
          <w:color w:val="auto"/>
          <w:kern w:val="0"/>
          <w:sz w:val="22"/>
          <w:szCs w:val="22"/>
          <w:highlight w:val="none"/>
        </w:rPr>
        <w:t>：</w:t>
      </w:r>
    </w:p>
    <w:p w14:paraId="5ECAE4E1">
      <w:pPr>
        <w:autoSpaceDE w:val="0"/>
        <w:autoSpaceDN w:val="0"/>
        <w:adjustRightInd w:val="0"/>
        <w:rPr>
          <w:rFonts w:ascii="宋体" w:hAnsi="宋体" w:cs="宋体"/>
          <w:color w:val="auto"/>
          <w:kern w:val="0"/>
          <w:sz w:val="22"/>
          <w:szCs w:val="22"/>
          <w:highlight w:val="none"/>
        </w:rPr>
      </w:pPr>
    </w:p>
    <w:p w14:paraId="04E8C1B1">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（一）根据已收到的</w:t>
      </w:r>
      <w:r>
        <w:rPr>
          <w:rFonts w:hint="eastAsia" w:ascii="宋体" w:hAnsi="宋体" w:cs="宋体"/>
          <w:color w:val="auto"/>
          <w:kern w:val="0"/>
          <w:sz w:val="22"/>
          <w:szCs w:val="22"/>
          <w:highlight w:val="none"/>
        </w:rPr>
        <w:t>（工程名称）</w:t>
      </w:r>
      <w:r>
        <w:rPr>
          <w:rFonts w:hint="eastAsia" w:ascii="宋体" w:hAnsi="宋体" w:cs="宋体"/>
          <w:color w:val="auto"/>
          <w:sz w:val="22"/>
          <w:szCs w:val="22"/>
          <w:highlight w:val="none"/>
        </w:rPr>
        <w:t>的建设监理的招标文件，我单位经研究招标文件和有关资料后，愿意按招标文件规定的内容承担该工程的建设监理任务，严格执行投标人所承担的责任和义务。</w:t>
      </w:r>
    </w:p>
    <w:p w14:paraId="2324894D">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（二）我方决定</w:t>
      </w:r>
      <w:r>
        <w:rPr>
          <w:rFonts w:hint="eastAsia" w:ascii="宋体" w:hAnsi="宋体" w:cs="仿宋_GB2312"/>
          <w:color w:val="auto"/>
          <w:sz w:val="22"/>
          <w:szCs w:val="22"/>
          <w:highlight w:val="none"/>
        </w:rPr>
        <w:t>愿意以人民币（大写）</w:t>
      </w:r>
      <w:r>
        <w:rPr>
          <w:rFonts w:hint="eastAsia" w:ascii="宋体" w:hAnsi="宋体" w:cs="仿宋_GB2312"/>
          <w:color w:val="auto"/>
          <w:sz w:val="22"/>
          <w:szCs w:val="22"/>
          <w:highlight w:val="none"/>
          <w:u w:val="single"/>
        </w:rPr>
        <w:t xml:space="preserve">           元（小写）</w:t>
      </w:r>
      <w:r>
        <w:rPr>
          <w:rFonts w:hint="eastAsia" w:ascii="宋体" w:hAnsi="宋体" w:cs="仿宋_GB2312"/>
          <w:color w:val="auto"/>
          <w:sz w:val="22"/>
          <w:szCs w:val="22"/>
          <w:highlight w:val="none"/>
        </w:rPr>
        <w:t>的总报价，按招标文件的要求承担本次招标范围内的全部工作内容</w:t>
      </w:r>
      <w:r>
        <w:rPr>
          <w:rFonts w:hint="eastAsia" w:ascii="宋体" w:hAnsi="宋体" w:cs="宋体"/>
          <w:color w:val="auto"/>
          <w:sz w:val="22"/>
          <w:szCs w:val="22"/>
          <w:highlight w:val="none"/>
        </w:rPr>
        <w:t>。</w:t>
      </w:r>
    </w:p>
    <w:p w14:paraId="6EEFF8E3">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（三）如果我方中标，我们保证按招标文件的要求和招标人签订工程监理合同，成立监理项目部，选派总监理工程师（姓名）及监理人员等进驻施工现场实施监理合同。</w:t>
      </w:r>
    </w:p>
    <w:p w14:paraId="5506B780">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（四）如果我方中标，我方保证按招标文件要求提交履约保证金。</w:t>
      </w:r>
    </w:p>
    <w:p w14:paraId="704A38F6">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（五）我方将严格按照监理人员执业守则，按照国家相关法规、规范及我方制定的监理大纲、实施细则开展监理工作，在保证质量、安全的前提下，确保工程按期交付。</w:t>
      </w:r>
    </w:p>
    <w:p w14:paraId="5CB78561">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（六）贵单位的招标文件及其附件、中标通知书和本投标文件将构成约束我们双方的合同。</w:t>
      </w:r>
    </w:p>
    <w:p w14:paraId="7D076C14">
      <w:pPr>
        <w:autoSpaceDE w:val="0"/>
        <w:autoSpaceDN w:val="0"/>
        <w:adjustRightInd w:val="0"/>
        <w:spacing w:line="360" w:lineRule="auto"/>
        <w:ind w:firstLine="420"/>
        <w:rPr>
          <w:rFonts w:ascii="宋体" w:hAnsi="宋体" w:cs="宋体"/>
          <w:color w:val="auto"/>
          <w:kern w:val="0"/>
          <w:sz w:val="22"/>
          <w:szCs w:val="22"/>
          <w:highlight w:val="none"/>
        </w:rPr>
      </w:pPr>
    </w:p>
    <w:p w14:paraId="7D56B410">
      <w:pPr>
        <w:autoSpaceDE w:val="0"/>
        <w:autoSpaceDN w:val="0"/>
        <w:adjustRightInd w:val="0"/>
        <w:rPr>
          <w:rFonts w:ascii="宋体" w:hAnsi="宋体" w:cs="宋体"/>
          <w:color w:val="auto"/>
          <w:kern w:val="0"/>
          <w:sz w:val="22"/>
          <w:szCs w:val="22"/>
          <w:highlight w:val="none"/>
        </w:rPr>
      </w:pPr>
    </w:p>
    <w:p w14:paraId="3CAD5298">
      <w:pPr>
        <w:autoSpaceDE w:val="0"/>
        <w:autoSpaceDN w:val="0"/>
        <w:adjustRightInd w:val="0"/>
        <w:rPr>
          <w:rFonts w:ascii="宋体" w:hAnsi="宋体" w:cs="宋体"/>
          <w:color w:val="auto"/>
          <w:kern w:val="0"/>
          <w:sz w:val="22"/>
          <w:szCs w:val="22"/>
          <w:highlight w:val="none"/>
        </w:rPr>
      </w:pPr>
    </w:p>
    <w:p w14:paraId="2BE1928E">
      <w:pPr>
        <w:autoSpaceDE w:val="0"/>
        <w:autoSpaceDN w:val="0"/>
        <w:adjustRightInd w:val="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投标人（法人盖章）：                                 </w:t>
      </w:r>
    </w:p>
    <w:p w14:paraId="0D08FC3A">
      <w:pPr>
        <w:autoSpaceDE w:val="0"/>
        <w:autoSpaceDN w:val="0"/>
        <w:adjustRightInd w:val="0"/>
        <w:rPr>
          <w:rFonts w:ascii="宋体" w:hAnsi="宋体" w:cs="宋体"/>
          <w:color w:val="auto"/>
          <w:kern w:val="0"/>
          <w:sz w:val="22"/>
          <w:szCs w:val="22"/>
          <w:highlight w:val="none"/>
        </w:rPr>
      </w:pPr>
    </w:p>
    <w:p w14:paraId="1D760091">
      <w:pPr>
        <w:autoSpaceDE w:val="0"/>
        <w:autoSpaceDN w:val="0"/>
        <w:adjustRightInd w:val="0"/>
        <w:rPr>
          <w:rFonts w:ascii="宋体" w:hAnsi="宋体" w:cs="宋体"/>
          <w:color w:val="auto"/>
          <w:kern w:val="0"/>
          <w:sz w:val="22"/>
          <w:szCs w:val="22"/>
          <w:highlight w:val="none"/>
        </w:rPr>
      </w:pPr>
    </w:p>
    <w:p w14:paraId="05105F12">
      <w:pPr>
        <w:autoSpaceDE w:val="0"/>
        <w:autoSpaceDN w:val="0"/>
        <w:adjustRightInd w:val="0"/>
        <w:rPr>
          <w:rFonts w:ascii="宋体" w:hAnsi="宋体" w:cs="宋体"/>
          <w:color w:val="auto"/>
          <w:kern w:val="0"/>
          <w:sz w:val="22"/>
          <w:szCs w:val="22"/>
          <w:highlight w:val="none"/>
        </w:rPr>
      </w:pPr>
      <w:r>
        <w:rPr>
          <w:rFonts w:hint="eastAsia" w:ascii="宋体" w:hAnsi="宋体" w:cs="宋体"/>
          <w:color w:val="auto"/>
          <w:kern w:val="0"/>
          <w:sz w:val="22"/>
          <w:szCs w:val="22"/>
          <w:highlight w:val="none"/>
        </w:rPr>
        <w:t>法定代表人或委托代理人（签字或盖章）：</w:t>
      </w:r>
    </w:p>
    <w:p w14:paraId="17DD7A03">
      <w:pPr>
        <w:autoSpaceDE w:val="0"/>
        <w:autoSpaceDN w:val="0"/>
        <w:adjustRightInd w:val="0"/>
        <w:rPr>
          <w:rFonts w:ascii="宋体" w:hAnsi="宋体" w:cs="宋体"/>
          <w:color w:val="auto"/>
          <w:kern w:val="0"/>
          <w:sz w:val="22"/>
          <w:szCs w:val="22"/>
          <w:highlight w:val="none"/>
        </w:rPr>
      </w:pPr>
    </w:p>
    <w:p w14:paraId="4BD74A37">
      <w:pPr>
        <w:autoSpaceDE w:val="0"/>
        <w:autoSpaceDN w:val="0"/>
        <w:adjustRightInd w:val="0"/>
        <w:rPr>
          <w:rFonts w:ascii="宋体" w:hAnsi="宋体" w:cs="宋体"/>
          <w:color w:val="auto"/>
          <w:kern w:val="0"/>
          <w:sz w:val="22"/>
          <w:szCs w:val="22"/>
          <w:highlight w:val="none"/>
        </w:rPr>
      </w:pPr>
    </w:p>
    <w:p w14:paraId="6CE29DB8">
      <w:pPr>
        <w:pStyle w:val="33"/>
        <w:ind w:left="0" w:leftChars="0" w:firstLine="0" w:firstLineChars="0"/>
        <w:rPr>
          <w:rFonts w:ascii="宋体" w:hAnsi="宋体" w:cs="宋体"/>
          <w:color w:val="auto"/>
          <w:sz w:val="24"/>
          <w:highlight w:val="none"/>
        </w:rPr>
      </w:pPr>
      <w:r>
        <w:rPr>
          <w:rFonts w:hint="eastAsia" w:ascii="宋体" w:hAnsi="宋体" w:cs="宋体"/>
          <w:color w:val="auto"/>
          <w:kern w:val="0"/>
          <w:sz w:val="22"/>
          <w:szCs w:val="22"/>
          <w:highlight w:val="none"/>
        </w:rPr>
        <w:t>日期：      年     月     日</w:t>
      </w:r>
      <w:bookmarkEnd w:id="211"/>
      <w:bookmarkEnd w:id="212"/>
    </w:p>
    <w:p w14:paraId="18A9D755">
      <w:pPr>
        <w:rPr>
          <w:rFonts w:ascii="宋体" w:hAnsi="宋体" w:cs="宋体"/>
          <w:color w:val="auto"/>
          <w:highlight w:val="none"/>
        </w:rPr>
      </w:pPr>
    </w:p>
    <w:p w14:paraId="5FD0316B">
      <w:pPr>
        <w:pStyle w:val="33"/>
        <w:ind w:left="0" w:leftChars="0" w:firstLine="0" w:firstLineChars="0"/>
        <w:rPr>
          <w:rFonts w:ascii="宋体" w:hAnsi="宋体" w:cs="宋体"/>
          <w:color w:val="auto"/>
          <w:sz w:val="24"/>
          <w:highlight w:val="none"/>
        </w:rPr>
      </w:pPr>
    </w:p>
    <w:p w14:paraId="3BF770DC">
      <w:pPr>
        <w:pStyle w:val="33"/>
        <w:ind w:left="0" w:leftChars="0" w:firstLine="0" w:firstLineChars="0"/>
        <w:rPr>
          <w:rFonts w:ascii="宋体" w:hAnsi="宋体" w:cs="宋体"/>
          <w:color w:val="auto"/>
          <w:sz w:val="24"/>
          <w:highlight w:val="none"/>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E4CFA">
    <w:pPr>
      <w:pStyle w:val="23"/>
      <w:framePr w:wrap="around" w:vAnchor="text" w:hAnchor="margin" w:xAlign="center" w:y="1"/>
      <w:rPr>
        <w:rStyle w:val="38"/>
      </w:rPr>
    </w:pPr>
    <w:r>
      <w:fldChar w:fldCharType="begin"/>
    </w:r>
    <w:r>
      <w:rPr>
        <w:rStyle w:val="38"/>
      </w:rPr>
      <w:instrText xml:space="preserve">PAGE  </w:instrText>
    </w:r>
    <w:r>
      <w:fldChar w:fldCharType="separate"/>
    </w:r>
    <w:r>
      <w:rPr>
        <w:rStyle w:val="38"/>
      </w:rPr>
      <w:t>21</w:t>
    </w:r>
    <w:r>
      <w:fldChar w:fldCharType="end"/>
    </w:r>
  </w:p>
  <w:p w14:paraId="54C87385">
    <w:pPr>
      <w:pStyle w:val="2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784F6"/>
    <w:multiLevelType w:val="singleLevel"/>
    <w:tmpl w:val="99C784F6"/>
    <w:lvl w:ilvl="0" w:tentative="0">
      <w:start w:val="1"/>
      <w:numFmt w:val="decimal"/>
      <w:lvlText w:val="(%1)"/>
      <w:lvlJc w:val="left"/>
      <w:pPr>
        <w:ind w:left="425" w:hanging="425"/>
      </w:pPr>
      <w:rPr>
        <w:rFonts w:hint="default"/>
      </w:rPr>
    </w:lvl>
  </w:abstractNum>
  <w:abstractNum w:abstractNumId="1">
    <w:nsid w:val="AE497DD4"/>
    <w:multiLevelType w:val="singleLevel"/>
    <w:tmpl w:val="AE497DD4"/>
    <w:lvl w:ilvl="0" w:tentative="0">
      <w:start w:val="1"/>
      <w:numFmt w:val="decimal"/>
      <w:suff w:val="nothing"/>
      <w:lvlText w:val="%1、"/>
      <w:lvlJc w:val="left"/>
    </w:lvl>
  </w:abstractNum>
  <w:abstractNum w:abstractNumId="2">
    <w:nsid w:val="B58CDEC7"/>
    <w:multiLevelType w:val="singleLevel"/>
    <w:tmpl w:val="B58CDEC7"/>
    <w:lvl w:ilvl="0" w:tentative="0">
      <w:start w:val="1"/>
      <w:numFmt w:val="decimal"/>
      <w:suff w:val="nothing"/>
      <w:lvlText w:val="（%1）"/>
      <w:lvlJc w:val="left"/>
    </w:lvl>
  </w:abstractNum>
  <w:abstractNum w:abstractNumId="3">
    <w:nsid w:val="CED8611B"/>
    <w:multiLevelType w:val="singleLevel"/>
    <w:tmpl w:val="CED8611B"/>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NmU4ZDRhMzFiYmFkYzNlMjAwOTU1NWNjODY2MGMifQ=="/>
  </w:docVars>
  <w:rsids>
    <w:rsidRoot w:val="00172A27"/>
    <w:rsid w:val="00001351"/>
    <w:rsid w:val="0000179C"/>
    <w:rsid w:val="000031F2"/>
    <w:rsid w:val="000044CA"/>
    <w:rsid w:val="00004930"/>
    <w:rsid w:val="00005940"/>
    <w:rsid w:val="000063A9"/>
    <w:rsid w:val="0000643B"/>
    <w:rsid w:val="000071B4"/>
    <w:rsid w:val="000079D2"/>
    <w:rsid w:val="000113F5"/>
    <w:rsid w:val="000119DC"/>
    <w:rsid w:val="00011BC5"/>
    <w:rsid w:val="000125D2"/>
    <w:rsid w:val="000142C9"/>
    <w:rsid w:val="00015522"/>
    <w:rsid w:val="000238A3"/>
    <w:rsid w:val="0002713B"/>
    <w:rsid w:val="000334E7"/>
    <w:rsid w:val="000350A5"/>
    <w:rsid w:val="00035787"/>
    <w:rsid w:val="00037EDE"/>
    <w:rsid w:val="0004053F"/>
    <w:rsid w:val="0004267C"/>
    <w:rsid w:val="0004329B"/>
    <w:rsid w:val="00043D2A"/>
    <w:rsid w:val="00044739"/>
    <w:rsid w:val="00046784"/>
    <w:rsid w:val="00046930"/>
    <w:rsid w:val="000508EB"/>
    <w:rsid w:val="00050DCA"/>
    <w:rsid w:val="000528C7"/>
    <w:rsid w:val="00062480"/>
    <w:rsid w:val="000658C3"/>
    <w:rsid w:val="00073FEB"/>
    <w:rsid w:val="0007575D"/>
    <w:rsid w:val="000757FB"/>
    <w:rsid w:val="0007580D"/>
    <w:rsid w:val="00076507"/>
    <w:rsid w:val="0007730E"/>
    <w:rsid w:val="00084290"/>
    <w:rsid w:val="00084AF3"/>
    <w:rsid w:val="00084E54"/>
    <w:rsid w:val="00085CDE"/>
    <w:rsid w:val="00085D32"/>
    <w:rsid w:val="00087E68"/>
    <w:rsid w:val="00090005"/>
    <w:rsid w:val="0009341F"/>
    <w:rsid w:val="0009545C"/>
    <w:rsid w:val="00095B10"/>
    <w:rsid w:val="000A0878"/>
    <w:rsid w:val="000A0BA9"/>
    <w:rsid w:val="000A1517"/>
    <w:rsid w:val="000A262D"/>
    <w:rsid w:val="000A2BE1"/>
    <w:rsid w:val="000A34C3"/>
    <w:rsid w:val="000A64DC"/>
    <w:rsid w:val="000A6CDB"/>
    <w:rsid w:val="000A77A9"/>
    <w:rsid w:val="000B02A4"/>
    <w:rsid w:val="000B3578"/>
    <w:rsid w:val="000B3663"/>
    <w:rsid w:val="000B4C89"/>
    <w:rsid w:val="000C00E1"/>
    <w:rsid w:val="000C2420"/>
    <w:rsid w:val="000C58C7"/>
    <w:rsid w:val="000D2D3D"/>
    <w:rsid w:val="000D3F57"/>
    <w:rsid w:val="000D7B80"/>
    <w:rsid w:val="000E02D9"/>
    <w:rsid w:val="000E0E6E"/>
    <w:rsid w:val="000E1253"/>
    <w:rsid w:val="000E3F81"/>
    <w:rsid w:val="000E3F87"/>
    <w:rsid w:val="000E51CE"/>
    <w:rsid w:val="000E51E0"/>
    <w:rsid w:val="000E5BD5"/>
    <w:rsid w:val="000E6067"/>
    <w:rsid w:val="000E78EA"/>
    <w:rsid w:val="000E7BCD"/>
    <w:rsid w:val="000F0021"/>
    <w:rsid w:val="000F03AC"/>
    <w:rsid w:val="000F0A35"/>
    <w:rsid w:val="000F0CD4"/>
    <w:rsid w:val="000F13EB"/>
    <w:rsid w:val="000F1D0E"/>
    <w:rsid w:val="000F35EF"/>
    <w:rsid w:val="000F3B43"/>
    <w:rsid w:val="000F5D76"/>
    <w:rsid w:val="000F63C8"/>
    <w:rsid w:val="00103BE2"/>
    <w:rsid w:val="001040E9"/>
    <w:rsid w:val="0010488C"/>
    <w:rsid w:val="00105BCF"/>
    <w:rsid w:val="00106AE2"/>
    <w:rsid w:val="0011022A"/>
    <w:rsid w:val="0011173B"/>
    <w:rsid w:val="00111ED0"/>
    <w:rsid w:val="001176D7"/>
    <w:rsid w:val="00117E5C"/>
    <w:rsid w:val="001215DC"/>
    <w:rsid w:val="00124DC0"/>
    <w:rsid w:val="001308AE"/>
    <w:rsid w:val="00130C36"/>
    <w:rsid w:val="001313F0"/>
    <w:rsid w:val="00131BCD"/>
    <w:rsid w:val="001325E4"/>
    <w:rsid w:val="0013590F"/>
    <w:rsid w:val="00135F6B"/>
    <w:rsid w:val="00136557"/>
    <w:rsid w:val="00137102"/>
    <w:rsid w:val="0013773C"/>
    <w:rsid w:val="00140C10"/>
    <w:rsid w:val="001410D1"/>
    <w:rsid w:val="0014358A"/>
    <w:rsid w:val="00144350"/>
    <w:rsid w:val="00146EBF"/>
    <w:rsid w:val="001473E6"/>
    <w:rsid w:val="00150BB1"/>
    <w:rsid w:val="00150C14"/>
    <w:rsid w:val="00152C4A"/>
    <w:rsid w:val="00154DD0"/>
    <w:rsid w:val="0015592E"/>
    <w:rsid w:val="001563EE"/>
    <w:rsid w:val="0015693C"/>
    <w:rsid w:val="00156E9C"/>
    <w:rsid w:val="001576FC"/>
    <w:rsid w:val="00160D81"/>
    <w:rsid w:val="00161BB6"/>
    <w:rsid w:val="00163087"/>
    <w:rsid w:val="00164C66"/>
    <w:rsid w:val="00166FE7"/>
    <w:rsid w:val="001700DB"/>
    <w:rsid w:val="00170408"/>
    <w:rsid w:val="00170F73"/>
    <w:rsid w:val="001727D0"/>
    <w:rsid w:val="00172A27"/>
    <w:rsid w:val="00172BA0"/>
    <w:rsid w:val="001735CE"/>
    <w:rsid w:val="00174EFE"/>
    <w:rsid w:val="00176527"/>
    <w:rsid w:val="0017754F"/>
    <w:rsid w:val="001823F0"/>
    <w:rsid w:val="00185C72"/>
    <w:rsid w:val="001862B5"/>
    <w:rsid w:val="001911FE"/>
    <w:rsid w:val="00195A60"/>
    <w:rsid w:val="00195E91"/>
    <w:rsid w:val="00195F4E"/>
    <w:rsid w:val="00196007"/>
    <w:rsid w:val="0019635E"/>
    <w:rsid w:val="0019668A"/>
    <w:rsid w:val="00196762"/>
    <w:rsid w:val="001A11F2"/>
    <w:rsid w:val="001A1250"/>
    <w:rsid w:val="001A1F94"/>
    <w:rsid w:val="001A28D0"/>
    <w:rsid w:val="001A46E8"/>
    <w:rsid w:val="001A4C9F"/>
    <w:rsid w:val="001A59A7"/>
    <w:rsid w:val="001A5F00"/>
    <w:rsid w:val="001A607F"/>
    <w:rsid w:val="001A66D0"/>
    <w:rsid w:val="001A6CE0"/>
    <w:rsid w:val="001A7958"/>
    <w:rsid w:val="001A7CD8"/>
    <w:rsid w:val="001B18F9"/>
    <w:rsid w:val="001B23A7"/>
    <w:rsid w:val="001B2A66"/>
    <w:rsid w:val="001B33A6"/>
    <w:rsid w:val="001B4A12"/>
    <w:rsid w:val="001B5C8B"/>
    <w:rsid w:val="001B5D1E"/>
    <w:rsid w:val="001B5D70"/>
    <w:rsid w:val="001B60AA"/>
    <w:rsid w:val="001B6FFC"/>
    <w:rsid w:val="001B7CCB"/>
    <w:rsid w:val="001C2F9C"/>
    <w:rsid w:val="001C65D8"/>
    <w:rsid w:val="001C673C"/>
    <w:rsid w:val="001C6978"/>
    <w:rsid w:val="001D46D9"/>
    <w:rsid w:val="001D5C54"/>
    <w:rsid w:val="001D77F7"/>
    <w:rsid w:val="001E0483"/>
    <w:rsid w:val="001E0A3D"/>
    <w:rsid w:val="001E1301"/>
    <w:rsid w:val="001E1C78"/>
    <w:rsid w:val="001E3ECC"/>
    <w:rsid w:val="001F052D"/>
    <w:rsid w:val="001F1FB2"/>
    <w:rsid w:val="001F2291"/>
    <w:rsid w:val="001F2939"/>
    <w:rsid w:val="001F3ADA"/>
    <w:rsid w:val="001F3D67"/>
    <w:rsid w:val="0020194F"/>
    <w:rsid w:val="00202D3C"/>
    <w:rsid w:val="0020442A"/>
    <w:rsid w:val="00204606"/>
    <w:rsid w:val="00206732"/>
    <w:rsid w:val="00206884"/>
    <w:rsid w:val="00210500"/>
    <w:rsid w:val="00211D80"/>
    <w:rsid w:val="002123F9"/>
    <w:rsid w:val="002126DF"/>
    <w:rsid w:val="00212EE7"/>
    <w:rsid w:val="00213E12"/>
    <w:rsid w:val="00213E29"/>
    <w:rsid w:val="00213ECA"/>
    <w:rsid w:val="00214A83"/>
    <w:rsid w:val="002154DB"/>
    <w:rsid w:val="00215CCE"/>
    <w:rsid w:val="002176C3"/>
    <w:rsid w:val="00217CE4"/>
    <w:rsid w:val="002222B8"/>
    <w:rsid w:val="00222BF6"/>
    <w:rsid w:val="00224DF5"/>
    <w:rsid w:val="002265E5"/>
    <w:rsid w:val="002305E8"/>
    <w:rsid w:val="00231029"/>
    <w:rsid w:val="00231D6B"/>
    <w:rsid w:val="002324B8"/>
    <w:rsid w:val="00233593"/>
    <w:rsid w:val="00235704"/>
    <w:rsid w:val="0023663F"/>
    <w:rsid w:val="00240472"/>
    <w:rsid w:val="00241671"/>
    <w:rsid w:val="00241DBE"/>
    <w:rsid w:val="00241E97"/>
    <w:rsid w:val="00243B13"/>
    <w:rsid w:val="00250351"/>
    <w:rsid w:val="0025133C"/>
    <w:rsid w:val="002543B3"/>
    <w:rsid w:val="00254610"/>
    <w:rsid w:val="00254F2D"/>
    <w:rsid w:val="00260E6E"/>
    <w:rsid w:val="002635A5"/>
    <w:rsid w:val="00266437"/>
    <w:rsid w:val="00266995"/>
    <w:rsid w:val="002672CA"/>
    <w:rsid w:val="0027041B"/>
    <w:rsid w:val="00271C82"/>
    <w:rsid w:val="00271E70"/>
    <w:rsid w:val="00272499"/>
    <w:rsid w:val="002739BD"/>
    <w:rsid w:val="00274268"/>
    <w:rsid w:val="002758BB"/>
    <w:rsid w:val="00275C58"/>
    <w:rsid w:val="00275F00"/>
    <w:rsid w:val="00276864"/>
    <w:rsid w:val="00276F08"/>
    <w:rsid w:val="00277822"/>
    <w:rsid w:val="00282258"/>
    <w:rsid w:val="002828E1"/>
    <w:rsid w:val="00283E64"/>
    <w:rsid w:val="00287774"/>
    <w:rsid w:val="00290F05"/>
    <w:rsid w:val="0029157F"/>
    <w:rsid w:val="00293471"/>
    <w:rsid w:val="00293A4B"/>
    <w:rsid w:val="00297A2D"/>
    <w:rsid w:val="00297E94"/>
    <w:rsid w:val="002A1C42"/>
    <w:rsid w:val="002A6A82"/>
    <w:rsid w:val="002A7F98"/>
    <w:rsid w:val="002B18CF"/>
    <w:rsid w:val="002B1CA8"/>
    <w:rsid w:val="002B2A9B"/>
    <w:rsid w:val="002B2E89"/>
    <w:rsid w:val="002B4CB4"/>
    <w:rsid w:val="002B53F1"/>
    <w:rsid w:val="002B54F7"/>
    <w:rsid w:val="002C0323"/>
    <w:rsid w:val="002C2590"/>
    <w:rsid w:val="002C25EA"/>
    <w:rsid w:val="002C3674"/>
    <w:rsid w:val="002C4C9E"/>
    <w:rsid w:val="002C71AD"/>
    <w:rsid w:val="002C73EF"/>
    <w:rsid w:val="002C7755"/>
    <w:rsid w:val="002C7886"/>
    <w:rsid w:val="002D017E"/>
    <w:rsid w:val="002D1603"/>
    <w:rsid w:val="002D2FFF"/>
    <w:rsid w:val="002D3556"/>
    <w:rsid w:val="002D52F1"/>
    <w:rsid w:val="002E228C"/>
    <w:rsid w:val="002E3F33"/>
    <w:rsid w:val="002E4666"/>
    <w:rsid w:val="002F1FA7"/>
    <w:rsid w:val="002F3302"/>
    <w:rsid w:val="002F34CD"/>
    <w:rsid w:val="00304A9B"/>
    <w:rsid w:val="00306208"/>
    <w:rsid w:val="00306A02"/>
    <w:rsid w:val="00312192"/>
    <w:rsid w:val="003126B8"/>
    <w:rsid w:val="003127FC"/>
    <w:rsid w:val="003130DE"/>
    <w:rsid w:val="003173F7"/>
    <w:rsid w:val="0031772C"/>
    <w:rsid w:val="00317DF8"/>
    <w:rsid w:val="00317EF7"/>
    <w:rsid w:val="00320DD4"/>
    <w:rsid w:val="00321417"/>
    <w:rsid w:val="00321852"/>
    <w:rsid w:val="00322F49"/>
    <w:rsid w:val="00324D9A"/>
    <w:rsid w:val="00325910"/>
    <w:rsid w:val="003316C8"/>
    <w:rsid w:val="00331C49"/>
    <w:rsid w:val="00332337"/>
    <w:rsid w:val="003339CC"/>
    <w:rsid w:val="00334576"/>
    <w:rsid w:val="00335508"/>
    <w:rsid w:val="00335FFF"/>
    <w:rsid w:val="00337453"/>
    <w:rsid w:val="00337FE9"/>
    <w:rsid w:val="00345176"/>
    <w:rsid w:val="00351E48"/>
    <w:rsid w:val="00354DCE"/>
    <w:rsid w:val="00355D9A"/>
    <w:rsid w:val="00357AFD"/>
    <w:rsid w:val="00357D1D"/>
    <w:rsid w:val="00357DAB"/>
    <w:rsid w:val="003605BD"/>
    <w:rsid w:val="0036063B"/>
    <w:rsid w:val="00361A67"/>
    <w:rsid w:val="003627BE"/>
    <w:rsid w:val="003627DB"/>
    <w:rsid w:val="00364636"/>
    <w:rsid w:val="00364916"/>
    <w:rsid w:val="00365972"/>
    <w:rsid w:val="00366791"/>
    <w:rsid w:val="00367E77"/>
    <w:rsid w:val="00371763"/>
    <w:rsid w:val="00373311"/>
    <w:rsid w:val="003762DD"/>
    <w:rsid w:val="003767A0"/>
    <w:rsid w:val="00380EE1"/>
    <w:rsid w:val="00383D99"/>
    <w:rsid w:val="003843A6"/>
    <w:rsid w:val="00387251"/>
    <w:rsid w:val="00390B54"/>
    <w:rsid w:val="00394F28"/>
    <w:rsid w:val="00395375"/>
    <w:rsid w:val="00395D8D"/>
    <w:rsid w:val="003A17E3"/>
    <w:rsid w:val="003A27DC"/>
    <w:rsid w:val="003A2E7B"/>
    <w:rsid w:val="003A765A"/>
    <w:rsid w:val="003B2662"/>
    <w:rsid w:val="003B3045"/>
    <w:rsid w:val="003B3794"/>
    <w:rsid w:val="003B6811"/>
    <w:rsid w:val="003B70E0"/>
    <w:rsid w:val="003C0C4E"/>
    <w:rsid w:val="003C1E95"/>
    <w:rsid w:val="003C3DAE"/>
    <w:rsid w:val="003C6901"/>
    <w:rsid w:val="003C758C"/>
    <w:rsid w:val="003D1488"/>
    <w:rsid w:val="003D3212"/>
    <w:rsid w:val="003D4391"/>
    <w:rsid w:val="003D5260"/>
    <w:rsid w:val="003D6218"/>
    <w:rsid w:val="003D718D"/>
    <w:rsid w:val="003D7714"/>
    <w:rsid w:val="003D7E60"/>
    <w:rsid w:val="003E1D3C"/>
    <w:rsid w:val="003E450E"/>
    <w:rsid w:val="003E495F"/>
    <w:rsid w:val="003E70B4"/>
    <w:rsid w:val="003E72A6"/>
    <w:rsid w:val="003F1782"/>
    <w:rsid w:val="003F2B9D"/>
    <w:rsid w:val="003F6B99"/>
    <w:rsid w:val="003F78DD"/>
    <w:rsid w:val="003F7CC2"/>
    <w:rsid w:val="00401A24"/>
    <w:rsid w:val="00402B35"/>
    <w:rsid w:val="00407537"/>
    <w:rsid w:val="00411C98"/>
    <w:rsid w:val="004123A0"/>
    <w:rsid w:val="00412A1A"/>
    <w:rsid w:val="00414283"/>
    <w:rsid w:val="00416C4C"/>
    <w:rsid w:val="00417119"/>
    <w:rsid w:val="00417B4D"/>
    <w:rsid w:val="004234AE"/>
    <w:rsid w:val="00424587"/>
    <w:rsid w:val="00427AA1"/>
    <w:rsid w:val="0043022B"/>
    <w:rsid w:val="00431575"/>
    <w:rsid w:val="00432223"/>
    <w:rsid w:val="00435DF4"/>
    <w:rsid w:val="004362C1"/>
    <w:rsid w:val="0044177F"/>
    <w:rsid w:val="0044196E"/>
    <w:rsid w:val="004425EB"/>
    <w:rsid w:val="00446688"/>
    <w:rsid w:val="00446C2C"/>
    <w:rsid w:val="0044700E"/>
    <w:rsid w:val="004475CE"/>
    <w:rsid w:val="00447783"/>
    <w:rsid w:val="0045006C"/>
    <w:rsid w:val="00454623"/>
    <w:rsid w:val="00460BA8"/>
    <w:rsid w:val="004621B1"/>
    <w:rsid w:val="00462391"/>
    <w:rsid w:val="00462FA8"/>
    <w:rsid w:val="00463064"/>
    <w:rsid w:val="004651F8"/>
    <w:rsid w:val="00465A0E"/>
    <w:rsid w:val="0046646C"/>
    <w:rsid w:val="004702CF"/>
    <w:rsid w:val="00472BFE"/>
    <w:rsid w:val="00473A80"/>
    <w:rsid w:val="0047432D"/>
    <w:rsid w:val="0047607A"/>
    <w:rsid w:val="0047647B"/>
    <w:rsid w:val="00477626"/>
    <w:rsid w:val="0048043E"/>
    <w:rsid w:val="004817CF"/>
    <w:rsid w:val="004833B4"/>
    <w:rsid w:val="004834C0"/>
    <w:rsid w:val="00484BDA"/>
    <w:rsid w:val="00484D4D"/>
    <w:rsid w:val="00487109"/>
    <w:rsid w:val="00490249"/>
    <w:rsid w:val="00490B57"/>
    <w:rsid w:val="00491E5B"/>
    <w:rsid w:val="00493CCE"/>
    <w:rsid w:val="00493F2C"/>
    <w:rsid w:val="00495492"/>
    <w:rsid w:val="004965EB"/>
    <w:rsid w:val="004968E4"/>
    <w:rsid w:val="004A111B"/>
    <w:rsid w:val="004A3914"/>
    <w:rsid w:val="004A420A"/>
    <w:rsid w:val="004A4691"/>
    <w:rsid w:val="004A707C"/>
    <w:rsid w:val="004B02CD"/>
    <w:rsid w:val="004B1E0C"/>
    <w:rsid w:val="004B1E31"/>
    <w:rsid w:val="004B35EB"/>
    <w:rsid w:val="004B38EE"/>
    <w:rsid w:val="004B47BC"/>
    <w:rsid w:val="004B57B4"/>
    <w:rsid w:val="004C1E29"/>
    <w:rsid w:val="004C3482"/>
    <w:rsid w:val="004C37F6"/>
    <w:rsid w:val="004C40DF"/>
    <w:rsid w:val="004C59E4"/>
    <w:rsid w:val="004C5AC2"/>
    <w:rsid w:val="004C710B"/>
    <w:rsid w:val="004C731B"/>
    <w:rsid w:val="004C7ABF"/>
    <w:rsid w:val="004D0954"/>
    <w:rsid w:val="004D10E9"/>
    <w:rsid w:val="004D1717"/>
    <w:rsid w:val="004D22C1"/>
    <w:rsid w:val="004D69A8"/>
    <w:rsid w:val="004E02BD"/>
    <w:rsid w:val="004E02FA"/>
    <w:rsid w:val="004E09DA"/>
    <w:rsid w:val="004E127A"/>
    <w:rsid w:val="004E1C99"/>
    <w:rsid w:val="004E2072"/>
    <w:rsid w:val="004E30E8"/>
    <w:rsid w:val="004F0131"/>
    <w:rsid w:val="004F265A"/>
    <w:rsid w:val="004F26ED"/>
    <w:rsid w:val="004F3CAE"/>
    <w:rsid w:val="005027D8"/>
    <w:rsid w:val="005028FC"/>
    <w:rsid w:val="00503576"/>
    <w:rsid w:val="00505604"/>
    <w:rsid w:val="00505AA6"/>
    <w:rsid w:val="00505BD3"/>
    <w:rsid w:val="00507181"/>
    <w:rsid w:val="00510E55"/>
    <w:rsid w:val="00511340"/>
    <w:rsid w:val="00511A89"/>
    <w:rsid w:val="00520C41"/>
    <w:rsid w:val="00520DAE"/>
    <w:rsid w:val="00522363"/>
    <w:rsid w:val="00523D31"/>
    <w:rsid w:val="00525FF1"/>
    <w:rsid w:val="00527E21"/>
    <w:rsid w:val="00527E68"/>
    <w:rsid w:val="005303E1"/>
    <w:rsid w:val="00530468"/>
    <w:rsid w:val="00531A98"/>
    <w:rsid w:val="00533864"/>
    <w:rsid w:val="00534596"/>
    <w:rsid w:val="00535766"/>
    <w:rsid w:val="00537414"/>
    <w:rsid w:val="00537C1B"/>
    <w:rsid w:val="00543771"/>
    <w:rsid w:val="005445B1"/>
    <w:rsid w:val="00544F9D"/>
    <w:rsid w:val="00545374"/>
    <w:rsid w:val="00545394"/>
    <w:rsid w:val="005464AD"/>
    <w:rsid w:val="00550342"/>
    <w:rsid w:val="00550954"/>
    <w:rsid w:val="00550F52"/>
    <w:rsid w:val="00552306"/>
    <w:rsid w:val="0055506C"/>
    <w:rsid w:val="00555826"/>
    <w:rsid w:val="00556573"/>
    <w:rsid w:val="005572FA"/>
    <w:rsid w:val="00560CFF"/>
    <w:rsid w:val="005616C6"/>
    <w:rsid w:val="00561FA8"/>
    <w:rsid w:val="005631B4"/>
    <w:rsid w:val="00567BC1"/>
    <w:rsid w:val="005716F9"/>
    <w:rsid w:val="00571CB4"/>
    <w:rsid w:val="005727F4"/>
    <w:rsid w:val="00572B9A"/>
    <w:rsid w:val="005738D6"/>
    <w:rsid w:val="00573DE6"/>
    <w:rsid w:val="005764FB"/>
    <w:rsid w:val="005769EB"/>
    <w:rsid w:val="00577448"/>
    <w:rsid w:val="00580440"/>
    <w:rsid w:val="0058092D"/>
    <w:rsid w:val="00580F15"/>
    <w:rsid w:val="00581F28"/>
    <w:rsid w:val="00583BA1"/>
    <w:rsid w:val="00583C19"/>
    <w:rsid w:val="005846C6"/>
    <w:rsid w:val="0059090C"/>
    <w:rsid w:val="00591BFD"/>
    <w:rsid w:val="0059309C"/>
    <w:rsid w:val="00594BF5"/>
    <w:rsid w:val="0059566E"/>
    <w:rsid w:val="005966C7"/>
    <w:rsid w:val="0059715D"/>
    <w:rsid w:val="00597983"/>
    <w:rsid w:val="005A0758"/>
    <w:rsid w:val="005A1108"/>
    <w:rsid w:val="005A3150"/>
    <w:rsid w:val="005A3420"/>
    <w:rsid w:val="005A5365"/>
    <w:rsid w:val="005A56B2"/>
    <w:rsid w:val="005A660E"/>
    <w:rsid w:val="005A6DAE"/>
    <w:rsid w:val="005B0B5F"/>
    <w:rsid w:val="005B11F0"/>
    <w:rsid w:val="005B19EA"/>
    <w:rsid w:val="005B2C5C"/>
    <w:rsid w:val="005B2F72"/>
    <w:rsid w:val="005B3308"/>
    <w:rsid w:val="005B3427"/>
    <w:rsid w:val="005B4842"/>
    <w:rsid w:val="005B685A"/>
    <w:rsid w:val="005B73EC"/>
    <w:rsid w:val="005C0112"/>
    <w:rsid w:val="005C0B02"/>
    <w:rsid w:val="005C0E2B"/>
    <w:rsid w:val="005C29AA"/>
    <w:rsid w:val="005C33BC"/>
    <w:rsid w:val="005C3718"/>
    <w:rsid w:val="005C47F9"/>
    <w:rsid w:val="005C5CE0"/>
    <w:rsid w:val="005C5DB4"/>
    <w:rsid w:val="005C6E0D"/>
    <w:rsid w:val="005C6F82"/>
    <w:rsid w:val="005C76C5"/>
    <w:rsid w:val="005C77C1"/>
    <w:rsid w:val="005C7801"/>
    <w:rsid w:val="005D184B"/>
    <w:rsid w:val="005D1B0D"/>
    <w:rsid w:val="005D1ED9"/>
    <w:rsid w:val="005D333E"/>
    <w:rsid w:val="005D4815"/>
    <w:rsid w:val="005D5A3E"/>
    <w:rsid w:val="005E1A9D"/>
    <w:rsid w:val="005E2F5D"/>
    <w:rsid w:val="005E47A4"/>
    <w:rsid w:val="005E5476"/>
    <w:rsid w:val="005E63A6"/>
    <w:rsid w:val="005E7032"/>
    <w:rsid w:val="005F1224"/>
    <w:rsid w:val="005F1D11"/>
    <w:rsid w:val="005F2EE9"/>
    <w:rsid w:val="005F37AB"/>
    <w:rsid w:val="005F3B91"/>
    <w:rsid w:val="005F3F6B"/>
    <w:rsid w:val="005F74DE"/>
    <w:rsid w:val="006000B4"/>
    <w:rsid w:val="0060015D"/>
    <w:rsid w:val="00600B11"/>
    <w:rsid w:val="00601790"/>
    <w:rsid w:val="006023B4"/>
    <w:rsid w:val="006031D2"/>
    <w:rsid w:val="00603372"/>
    <w:rsid w:val="006068C4"/>
    <w:rsid w:val="006117C7"/>
    <w:rsid w:val="006127D5"/>
    <w:rsid w:val="00613478"/>
    <w:rsid w:val="00613CA2"/>
    <w:rsid w:val="00614375"/>
    <w:rsid w:val="0061524A"/>
    <w:rsid w:val="00616425"/>
    <w:rsid w:val="00621CC4"/>
    <w:rsid w:val="0062401D"/>
    <w:rsid w:val="00624FDE"/>
    <w:rsid w:val="0063011D"/>
    <w:rsid w:val="006305FC"/>
    <w:rsid w:val="00632756"/>
    <w:rsid w:val="00632767"/>
    <w:rsid w:val="00632873"/>
    <w:rsid w:val="006329BA"/>
    <w:rsid w:val="006348AD"/>
    <w:rsid w:val="0063493E"/>
    <w:rsid w:val="00636E48"/>
    <w:rsid w:val="00641A78"/>
    <w:rsid w:val="00644FD1"/>
    <w:rsid w:val="00644FE2"/>
    <w:rsid w:val="006468C6"/>
    <w:rsid w:val="00646C08"/>
    <w:rsid w:val="00647311"/>
    <w:rsid w:val="00654EE6"/>
    <w:rsid w:val="006554DA"/>
    <w:rsid w:val="00660137"/>
    <w:rsid w:val="006606AF"/>
    <w:rsid w:val="00663E20"/>
    <w:rsid w:val="00664E3F"/>
    <w:rsid w:val="00666398"/>
    <w:rsid w:val="00666B55"/>
    <w:rsid w:val="00670E39"/>
    <w:rsid w:val="0067259C"/>
    <w:rsid w:val="0067291A"/>
    <w:rsid w:val="0067302F"/>
    <w:rsid w:val="006770AC"/>
    <w:rsid w:val="006773D4"/>
    <w:rsid w:val="0068042D"/>
    <w:rsid w:val="006804E6"/>
    <w:rsid w:val="0068094A"/>
    <w:rsid w:val="00683B35"/>
    <w:rsid w:val="00691770"/>
    <w:rsid w:val="00692F50"/>
    <w:rsid w:val="00693484"/>
    <w:rsid w:val="006941CE"/>
    <w:rsid w:val="00695592"/>
    <w:rsid w:val="006965B8"/>
    <w:rsid w:val="0069788B"/>
    <w:rsid w:val="006A046B"/>
    <w:rsid w:val="006A0DF2"/>
    <w:rsid w:val="006A3A29"/>
    <w:rsid w:val="006A4830"/>
    <w:rsid w:val="006A4D49"/>
    <w:rsid w:val="006A4E5F"/>
    <w:rsid w:val="006A70E9"/>
    <w:rsid w:val="006A7933"/>
    <w:rsid w:val="006B00F1"/>
    <w:rsid w:val="006B0ED6"/>
    <w:rsid w:val="006B336F"/>
    <w:rsid w:val="006B5ED4"/>
    <w:rsid w:val="006B65EC"/>
    <w:rsid w:val="006B6808"/>
    <w:rsid w:val="006B6C8B"/>
    <w:rsid w:val="006C2A9B"/>
    <w:rsid w:val="006C351A"/>
    <w:rsid w:val="006C5764"/>
    <w:rsid w:val="006C5EFE"/>
    <w:rsid w:val="006C5F25"/>
    <w:rsid w:val="006C7ED0"/>
    <w:rsid w:val="006D03DB"/>
    <w:rsid w:val="006D22CB"/>
    <w:rsid w:val="006D22CD"/>
    <w:rsid w:val="006D3C40"/>
    <w:rsid w:val="006D3F6D"/>
    <w:rsid w:val="006D431F"/>
    <w:rsid w:val="006D49B3"/>
    <w:rsid w:val="006D52F5"/>
    <w:rsid w:val="006D55D9"/>
    <w:rsid w:val="006D683D"/>
    <w:rsid w:val="006D6897"/>
    <w:rsid w:val="006D78B7"/>
    <w:rsid w:val="006E1AD1"/>
    <w:rsid w:val="006E1B1F"/>
    <w:rsid w:val="006E2F8F"/>
    <w:rsid w:val="006E358A"/>
    <w:rsid w:val="006E772F"/>
    <w:rsid w:val="006F16C4"/>
    <w:rsid w:val="006F1B70"/>
    <w:rsid w:val="006F5CB0"/>
    <w:rsid w:val="006F616C"/>
    <w:rsid w:val="006F6E50"/>
    <w:rsid w:val="006F7E24"/>
    <w:rsid w:val="00700A33"/>
    <w:rsid w:val="0070279A"/>
    <w:rsid w:val="007031E7"/>
    <w:rsid w:val="00703E8F"/>
    <w:rsid w:val="00706AE2"/>
    <w:rsid w:val="00710D37"/>
    <w:rsid w:val="007142DC"/>
    <w:rsid w:val="007143FA"/>
    <w:rsid w:val="007148BC"/>
    <w:rsid w:val="00714CF5"/>
    <w:rsid w:val="00714E4A"/>
    <w:rsid w:val="00716DBD"/>
    <w:rsid w:val="007205A0"/>
    <w:rsid w:val="00721FB1"/>
    <w:rsid w:val="00726A84"/>
    <w:rsid w:val="00730234"/>
    <w:rsid w:val="007318B1"/>
    <w:rsid w:val="007331BC"/>
    <w:rsid w:val="007341E3"/>
    <w:rsid w:val="007400A2"/>
    <w:rsid w:val="00740472"/>
    <w:rsid w:val="007405EF"/>
    <w:rsid w:val="007407ED"/>
    <w:rsid w:val="00740AE0"/>
    <w:rsid w:val="0074194A"/>
    <w:rsid w:val="00743C10"/>
    <w:rsid w:val="00745B4F"/>
    <w:rsid w:val="00745EEB"/>
    <w:rsid w:val="0074699B"/>
    <w:rsid w:val="0075038A"/>
    <w:rsid w:val="007513B8"/>
    <w:rsid w:val="00753B58"/>
    <w:rsid w:val="007548E9"/>
    <w:rsid w:val="00755D7E"/>
    <w:rsid w:val="00756FCE"/>
    <w:rsid w:val="00760058"/>
    <w:rsid w:val="00761A0C"/>
    <w:rsid w:val="00762600"/>
    <w:rsid w:val="00762B02"/>
    <w:rsid w:val="00762FC3"/>
    <w:rsid w:val="00763F42"/>
    <w:rsid w:val="00765D87"/>
    <w:rsid w:val="00767796"/>
    <w:rsid w:val="00767DEB"/>
    <w:rsid w:val="0077071E"/>
    <w:rsid w:val="00770970"/>
    <w:rsid w:val="00771CA4"/>
    <w:rsid w:val="00772615"/>
    <w:rsid w:val="007731C3"/>
    <w:rsid w:val="007734E2"/>
    <w:rsid w:val="00773A44"/>
    <w:rsid w:val="00775745"/>
    <w:rsid w:val="00775BA4"/>
    <w:rsid w:val="00776FF1"/>
    <w:rsid w:val="00777B7D"/>
    <w:rsid w:val="00777C79"/>
    <w:rsid w:val="00780FCB"/>
    <w:rsid w:val="007844F1"/>
    <w:rsid w:val="00786975"/>
    <w:rsid w:val="00790844"/>
    <w:rsid w:val="0079161A"/>
    <w:rsid w:val="00793455"/>
    <w:rsid w:val="00794058"/>
    <w:rsid w:val="007940AE"/>
    <w:rsid w:val="00795DF8"/>
    <w:rsid w:val="00796A8B"/>
    <w:rsid w:val="007A0495"/>
    <w:rsid w:val="007A0CDB"/>
    <w:rsid w:val="007A1D2E"/>
    <w:rsid w:val="007A1F4A"/>
    <w:rsid w:val="007A66A5"/>
    <w:rsid w:val="007A7AB8"/>
    <w:rsid w:val="007B2CAD"/>
    <w:rsid w:val="007B30DB"/>
    <w:rsid w:val="007B3939"/>
    <w:rsid w:val="007B5990"/>
    <w:rsid w:val="007B5AED"/>
    <w:rsid w:val="007B5CFE"/>
    <w:rsid w:val="007B6F9A"/>
    <w:rsid w:val="007B720E"/>
    <w:rsid w:val="007C01B2"/>
    <w:rsid w:val="007C3476"/>
    <w:rsid w:val="007C4826"/>
    <w:rsid w:val="007C583D"/>
    <w:rsid w:val="007C6D0E"/>
    <w:rsid w:val="007D0533"/>
    <w:rsid w:val="007D2013"/>
    <w:rsid w:val="007D2691"/>
    <w:rsid w:val="007D29BB"/>
    <w:rsid w:val="007D5305"/>
    <w:rsid w:val="007D656D"/>
    <w:rsid w:val="007D6D85"/>
    <w:rsid w:val="007D7014"/>
    <w:rsid w:val="007E3FD9"/>
    <w:rsid w:val="007E5EEC"/>
    <w:rsid w:val="007E628B"/>
    <w:rsid w:val="007E6EB0"/>
    <w:rsid w:val="007F0D0B"/>
    <w:rsid w:val="007F0DB1"/>
    <w:rsid w:val="007F2E85"/>
    <w:rsid w:val="007F349B"/>
    <w:rsid w:val="007F617C"/>
    <w:rsid w:val="007F6B61"/>
    <w:rsid w:val="007F6C9E"/>
    <w:rsid w:val="007F6D3B"/>
    <w:rsid w:val="00801980"/>
    <w:rsid w:val="008028ED"/>
    <w:rsid w:val="00802A28"/>
    <w:rsid w:val="00804C8B"/>
    <w:rsid w:val="008055B7"/>
    <w:rsid w:val="00810CA9"/>
    <w:rsid w:val="00814F45"/>
    <w:rsid w:val="008176BD"/>
    <w:rsid w:val="00821717"/>
    <w:rsid w:val="00822366"/>
    <w:rsid w:val="0082265D"/>
    <w:rsid w:val="00822B96"/>
    <w:rsid w:val="008248AC"/>
    <w:rsid w:val="008252CC"/>
    <w:rsid w:val="0082577D"/>
    <w:rsid w:val="008278E0"/>
    <w:rsid w:val="00835D28"/>
    <w:rsid w:val="0083631A"/>
    <w:rsid w:val="00836FDF"/>
    <w:rsid w:val="00841FD3"/>
    <w:rsid w:val="008452C1"/>
    <w:rsid w:val="00845497"/>
    <w:rsid w:val="008456DF"/>
    <w:rsid w:val="00845FAD"/>
    <w:rsid w:val="00846B21"/>
    <w:rsid w:val="00846E96"/>
    <w:rsid w:val="008477B1"/>
    <w:rsid w:val="008479AB"/>
    <w:rsid w:val="00852BD0"/>
    <w:rsid w:val="008538E1"/>
    <w:rsid w:val="008539DC"/>
    <w:rsid w:val="0085453A"/>
    <w:rsid w:val="00854BEC"/>
    <w:rsid w:val="00857242"/>
    <w:rsid w:val="008606C2"/>
    <w:rsid w:val="00860E82"/>
    <w:rsid w:val="00863147"/>
    <w:rsid w:val="0086387E"/>
    <w:rsid w:val="00863A1D"/>
    <w:rsid w:val="00863EE7"/>
    <w:rsid w:val="00865383"/>
    <w:rsid w:val="0087021D"/>
    <w:rsid w:val="00870BAA"/>
    <w:rsid w:val="008729EB"/>
    <w:rsid w:val="0087530B"/>
    <w:rsid w:val="00875767"/>
    <w:rsid w:val="00875935"/>
    <w:rsid w:val="00877491"/>
    <w:rsid w:val="00877999"/>
    <w:rsid w:val="00877C04"/>
    <w:rsid w:val="008806A9"/>
    <w:rsid w:val="0088083E"/>
    <w:rsid w:val="00880962"/>
    <w:rsid w:val="00880D04"/>
    <w:rsid w:val="0088399F"/>
    <w:rsid w:val="00884ED5"/>
    <w:rsid w:val="008852E2"/>
    <w:rsid w:val="00886B98"/>
    <w:rsid w:val="00886E99"/>
    <w:rsid w:val="00887049"/>
    <w:rsid w:val="00887340"/>
    <w:rsid w:val="00887C71"/>
    <w:rsid w:val="00891E5E"/>
    <w:rsid w:val="008923F7"/>
    <w:rsid w:val="00892B6A"/>
    <w:rsid w:val="0089321F"/>
    <w:rsid w:val="00893D7B"/>
    <w:rsid w:val="00897C1E"/>
    <w:rsid w:val="008A08A8"/>
    <w:rsid w:val="008A09D1"/>
    <w:rsid w:val="008A2E16"/>
    <w:rsid w:val="008A35C4"/>
    <w:rsid w:val="008A42BF"/>
    <w:rsid w:val="008A485D"/>
    <w:rsid w:val="008A5552"/>
    <w:rsid w:val="008A5D65"/>
    <w:rsid w:val="008A7198"/>
    <w:rsid w:val="008A778E"/>
    <w:rsid w:val="008B2AFB"/>
    <w:rsid w:val="008B2DC3"/>
    <w:rsid w:val="008B4669"/>
    <w:rsid w:val="008B4DD3"/>
    <w:rsid w:val="008B4FCF"/>
    <w:rsid w:val="008B5070"/>
    <w:rsid w:val="008B6167"/>
    <w:rsid w:val="008C1DC9"/>
    <w:rsid w:val="008C32CA"/>
    <w:rsid w:val="008C40B0"/>
    <w:rsid w:val="008C4981"/>
    <w:rsid w:val="008C5912"/>
    <w:rsid w:val="008C5D87"/>
    <w:rsid w:val="008C5F37"/>
    <w:rsid w:val="008C6880"/>
    <w:rsid w:val="008D1052"/>
    <w:rsid w:val="008D1814"/>
    <w:rsid w:val="008D181F"/>
    <w:rsid w:val="008D285E"/>
    <w:rsid w:val="008E03E3"/>
    <w:rsid w:val="008E1D1B"/>
    <w:rsid w:val="008E2CFD"/>
    <w:rsid w:val="008E546D"/>
    <w:rsid w:val="008E54BF"/>
    <w:rsid w:val="008E5AA4"/>
    <w:rsid w:val="008E6344"/>
    <w:rsid w:val="008F04C0"/>
    <w:rsid w:val="008F15E7"/>
    <w:rsid w:val="008F2827"/>
    <w:rsid w:val="008F32EC"/>
    <w:rsid w:val="008F331E"/>
    <w:rsid w:val="008F382B"/>
    <w:rsid w:val="008F46F6"/>
    <w:rsid w:val="008F6EB1"/>
    <w:rsid w:val="008F7DC9"/>
    <w:rsid w:val="0090059B"/>
    <w:rsid w:val="00900615"/>
    <w:rsid w:val="00900831"/>
    <w:rsid w:val="009012CD"/>
    <w:rsid w:val="00901725"/>
    <w:rsid w:val="00902D11"/>
    <w:rsid w:val="009030CD"/>
    <w:rsid w:val="00903E6C"/>
    <w:rsid w:val="009057ED"/>
    <w:rsid w:val="00912A06"/>
    <w:rsid w:val="00914124"/>
    <w:rsid w:val="00915C9D"/>
    <w:rsid w:val="0091684B"/>
    <w:rsid w:val="0092146F"/>
    <w:rsid w:val="00921E33"/>
    <w:rsid w:val="0092267C"/>
    <w:rsid w:val="00923407"/>
    <w:rsid w:val="009236B2"/>
    <w:rsid w:val="00923B6B"/>
    <w:rsid w:val="00924EB3"/>
    <w:rsid w:val="00924F4A"/>
    <w:rsid w:val="009263F2"/>
    <w:rsid w:val="00926CAE"/>
    <w:rsid w:val="00927AB8"/>
    <w:rsid w:val="00930A5D"/>
    <w:rsid w:val="00930C46"/>
    <w:rsid w:val="009316FC"/>
    <w:rsid w:val="009316FD"/>
    <w:rsid w:val="00931CB7"/>
    <w:rsid w:val="009338A8"/>
    <w:rsid w:val="00933F24"/>
    <w:rsid w:val="00934F45"/>
    <w:rsid w:val="0093663F"/>
    <w:rsid w:val="009413E5"/>
    <w:rsid w:val="0094208D"/>
    <w:rsid w:val="00942094"/>
    <w:rsid w:val="00943C39"/>
    <w:rsid w:val="009453A7"/>
    <w:rsid w:val="00945673"/>
    <w:rsid w:val="00947CB3"/>
    <w:rsid w:val="00947D0A"/>
    <w:rsid w:val="00950C31"/>
    <w:rsid w:val="0095175A"/>
    <w:rsid w:val="00952C0C"/>
    <w:rsid w:val="00953754"/>
    <w:rsid w:val="00955B6E"/>
    <w:rsid w:val="00956F51"/>
    <w:rsid w:val="00960B2F"/>
    <w:rsid w:val="00962F42"/>
    <w:rsid w:val="00963913"/>
    <w:rsid w:val="00963B03"/>
    <w:rsid w:val="0096465B"/>
    <w:rsid w:val="0096744A"/>
    <w:rsid w:val="009674CD"/>
    <w:rsid w:val="009713B1"/>
    <w:rsid w:val="0097342A"/>
    <w:rsid w:val="00973EB5"/>
    <w:rsid w:val="009747DE"/>
    <w:rsid w:val="00980A72"/>
    <w:rsid w:val="00980E27"/>
    <w:rsid w:val="00981B41"/>
    <w:rsid w:val="0098242E"/>
    <w:rsid w:val="00984F35"/>
    <w:rsid w:val="0099091B"/>
    <w:rsid w:val="00991B00"/>
    <w:rsid w:val="00991C9A"/>
    <w:rsid w:val="00992876"/>
    <w:rsid w:val="009935E0"/>
    <w:rsid w:val="009942C5"/>
    <w:rsid w:val="00995B7A"/>
    <w:rsid w:val="00996E0E"/>
    <w:rsid w:val="00996F46"/>
    <w:rsid w:val="00997F9D"/>
    <w:rsid w:val="009A09F9"/>
    <w:rsid w:val="009A1ED5"/>
    <w:rsid w:val="009A3775"/>
    <w:rsid w:val="009A383D"/>
    <w:rsid w:val="009A38CB"/>
    <w:rsid w:val="009A4E76"/>
    <w:rsid w:val="009A66FD"/>
    <w:rsid w:val="009B1E14"/>
    <w:rsid w:val="009B1F1E"/>
    <w:rsid w:val="009B2AB7"/>
    <w:rsid w:val="009B4F25"/>
    <w:rsid w:val="009B5FEA"/>
    <w:rsid w:val="009B6813"/>
    <w:rsid w:val="009C2D67"/>
    <w:rsid w:val="009C33D4"/>
    <w:rsid w:val="009C3B26"/>
    <w:rsid w:val="009C42CA"/>
    <w:rsid w:val="009C5C77"/>
    <w:rsid w:val="009C64B4"/>
    <w:rsid w:val="009C6F9A"/>
    <w:rsid w:val="009C6FE5"/>
    <w:rsid w:val="009C7D59"/>
    <w:rsid w:val="009D14B9"/>
    <w:rsid w:val="009D3A80"/>
    <w:rsid w:val="009D3DA2"/>
    <w:rsid w:val="009D4836"/>
    <w:rsid w:val="009D6518"/>
    <w:rsid w:val="009D6F36"/>
    <w:rsid w:val="009D723F"/>
    <w:rsid w:val="009D766D"/>
    <w:rsid w:val="009E3A9A"/>
    <w:rsid w:val="009E405E"/>
    <w:rsid w:val="009E5FA3"/>
    <w:rsid w:val="009E709F"/>
    <w:rsid w:val="009F2CA8"/>
    <w:rsid w:val="009F4523"/>
    <w:rsid w:val="00A00CA8"/>
    <w:rsid w:val="00A03DB6"/>
    <w:rsid w:val="00A044F2"/>
    <w:rsid w:val="00A05D14"/>
    <w:rsid w:val="00A1118C"/>
    <w:rsid w:val="00A11DA7"/>
    <w:rsid w:val="00A12900"/>
    <w:rsid w:val="00A1315C"/>
    <w:rsid w:val="00A13E68"/>
    <w:rsid w:val="00A164AE"/>
    <w:rsid w:val="00A21AF3"/>
    <w:rsid w:val="00A27455"/>
    <w:rsid w:val="00A2754E"/>
    <w:rsid w:val="00A2771E"/>
    <w:rsid w:val="00A310A1"/>
    <w:rsid w:val="00A31FC1"/>
    <w:rsid w:val="00A3480B"/>
    <w:rsid w:val="00A35751"/>
    <w:rsid w:val="00A35804"/>
    <w:rsid w:val="00A35D04"/>
    <w:rsid w:val="00A36BE2"/>
    <w:rsid w:val="00A405EF"/>
    <w:rsid w:val="00A430FB"/>
    <w:rsid w:val="00A4558B"/>
    <w:rsid w:val="00A45895"/>
    <w:rsid w:val="00A46516"/>
    <w:rsid w:val="00A47D27"/>
    <w:rsid w:val="00A51566"/>
    <w:rsid w:val="00A51C21"/>
    <w:rsid w:val="00A52130"/>
    <w:rsid w:val="00A5220C"/>
    <w:rsid w:val="00A52D60"/>
    <w:rsid w:val="00A52D81"/>
    <w:rsid w:val="00A53672"/>
    <w:rsid w:val="00A536B6"/>
    <w:rsid w:val="00A56C76"/>
    <w:rsid w:val="00A60239"/>
    <w:rsid w:val="00A60D8A"/>
    <w:rsid w:val="00A6138F"/>
    <w:rsid w:val="00A63D47"/>
    <w:rsid w:val="00A64546"/>
    <w:rsid w:val="00A667FE"/>
    <w:rsid w:val="00A7059F"/>
    <w:rsid w:val="00A731C8"/>
    <w:rsid w:val="00A7400E"/>
    <w:rsid w:val="00A754EE"/>
    <w:rsid w:val="00A777BC"/>
    <w:rsid w:val="00A808F2"/>
    <w:rsid w:val="00A80E4F"/>
    <w:rsid w:val="00A81564"/>
    <w:rsid w:val="00A84C41"/>
    <w:rsid w:val="00A84D37"/>
    <w:rsid w:val="00A84EFF"/>
    <w:rsid w:val="00A8500A"/>
    <w:rsid w:val="00A863A5"/>
    <w:rsid w:val="00A9066C"/>
    <w:rsid w:val="00A90A63"/>
    <w:rsid w:val="00A9173A"/>
    <w:rsid w:val="00AA0367"/>
    <w:rsid w:val="00AA1725"/>
    <w:rsid w:val="00AA18C6"/>
    <w:rsid w:val="00AA1E42"/>
    <w:rsid w:val="00AA29E3"/>
    <w:rsid w:val="00AA5B72"/>
    <w:rsid w:val="00AA5C74"/>
    <w:rsid w:val="00AA607D"/>
    <w:rsid w:val="00AA63FB"/>
    <w:rsid w:val="00AB02F2"/>
    <w:rsid w:val="00AB0964"/>
    <w:rsid w:val="00AB2084"/>
    <w:rsid w:val="00AB36BC"/>
    <w:rsid w:val="00AB3E49"/>
    <w:rsid w:val="00AB40B1"/>
    <w:rsid w:val="00AB4D63"/>
    <w:rsid w:val="00AB66F4"/>
    <w:rsid w:val="00AB6A22"/>
    <w:rsid w:val="00AB6C13"/>
    <w:rsid w:val="00AC1BB7"/>
    <w:rsid w:val="00AC3151"/>
    <w:rsid w:val="00AC3A45"/>
    <w:rsid w:val="00AC53C8"/>
    <w:rsid w:val="00AC59FC"/>
    <w:rsid w:val="00AC5AA6"/>
    <w:rsid w:val="00AC7781"/>
    <w:rsid w:val="00AD0339"/>
    <w:rsid w:val="00AD2E6D"/>
    <w:rsid w:val="00AD3727"/>
    <w:rsid w:val="00AD425D"/>
    <w:rsid w:val="00AD6AAE"/>
    <w:rsid w:val="00AE08C4"/>
    <w:rsid w:val="00AE28DE"/>
    <w:rsid w:val="00AE3881"/>
    <w:rsid w:val="00AE3C83"/>
    <w:rsid w:val="00AE545C"/>
    <w:rsid w:val="00AE6480"/>
    <w:rsid w:val="00AE6C5C"/>
    <w:rsid w:val="00AE707D"/>
    <w:rsid w:val="00AF30BD"/>
    <w:rsid w:val="00AF35E0"/>
    <w:rsid w:val="00AF578F"/>
    <w:rsid w:val="00AF5C70"/>
    <w:rsid w:val="00AF6D94"/>
    <w:rsid w:val="00B10EC0"/>
    <w:rsid w:val="00B12F54"/>
    <w:rsid w:val="00B142D3"/>
    <w:rsid w:val="00B226CD"/>
    <w:rsid w:val="00B2481B"/>
    <w:rsid w:val="00B24ABF"/>
    <w:rsid w:val="00B26442"/>
    <w:rsid w:val="00B269FD"/>
    <w:rsid w:val="00B301E9"/>
    <w:rsid w:val="00B30A43"/>
    <w:rsid w:val="00B33113"/>
    <w:rsid w:val="00B33D76"/>
    <w:rsid w:val="00B34085"/>
    <w:rsid w:val="00B3419A"/>
    <w:rsid w:val="00B3573E"/>
    <w:rsid w:val="00B370C5"/>
    <w:rsid w:val="00B417F4"/>
    <w:rsid w:val="00B41FD3"/>
    <w:rsid w:val="00B441FD"/>
    <w:rsid w:val="00B459BF"/>
    <w:rsid w:val="00B47B83"/>
    <w:rsid w:val="00B53441"/>
    <w:rsid w:val="00B6294E"/>
    <w:rsid w:val="00B65116"/>
    <w:rsid w:val="00B66BA5"/>
    <w:rsid w:val="00B707D7"/>
    <w:rsid w:val="00B74694"/>
    <w:rsid w:val="00B77251"/>
    <w:rsid w:val="00B7789F"/>
    <w:rsid w:val="00B77C20"/>
    <w:rsid w:val="00B77F48"/>
    <w:rsid w:val="00B80130"/>
    <w:rsid w:val="00B80F72"/>
    <w:rsid w:val="00B80FFE"/>
    <w:rsid w:val="00B8192E"/>
    <w:rsid w:val="00B8271D"/>
    <w:rsid w:val="00B82CBC"/>
    <w:rsid w:val="00B84FAF"/>
    <w:rsid w:val="00B905EB"/>
    <w:rsid w:val="00B91188"/>
    <w:rsid w:val="00B921F1"/>
    <w:rsid w:val="00B92849"/>
    <w:rsid w:val="00B94BD5"/>
    <w:rsid w:val="00B96EB8"/>
    <w:rsid w:val="00B978B3"/>
    <w:rsid w:val="00BA1A91"/>
    <w:rsid w:val="00BA2262"/>
    <w:rsid w:val="00BA288E"/>
    <w:rsid w:val="00BA752C"/>
    <w:rsid w:val="00BA7DB6"/>
    <w:rsid w:val="00BB1EAC"/>
    <w:rsid w:val="00BB3B71"/>
    <w:rsid w:val="00BB3C13"/>
    <w:rsid w:val="00BB5C0E"/>
    <w:rsid w:val="00BB5F92"/>
    <w:rsid w:val="00BB7182"/>
    <w:rsid w:val="00BB77AB"/>
    <w:rsid w:val="00BC3824"/>
    <w:rsid w:val="00BC64B3"/>
    <w:rsid w:val="00BC7124"/>
    <w:rsid w:val="00BD13FF"/>
    <w:rsid w:val="00BD1EB3"/>
    <w:rsid w:val="00BD2DF2"/>
    <w:rsid w:val="00BD3726"/>
    <w:rsid w:val="00BE14ED"/>
    <w:rsid w:val="00BE265B"/>
    <w:rsid w:val="00BE31B7"/>
    <w:rsid w:val="00BE41B3"/>
    <w:rsid w:val="00BE58D8"/>
    <w:rsid w:val="00BE5E47"/>
    <w:rsid w:val="00BE66C9"/>
    <w:rsid w:val="00BE6991"/>
    <w:rsid w:val="00BF0897"/>
    <w:rsid w:val="00BF155B"/>
    <w:rsid w:val="00BF1639"/>
    <w:rsid w:val="00BF2F55"/>
    <w:rsid w:val="00BF35D8"/>
    <w:rsid w:val="00BF3D69"/>
    <w:rsid w:val="00BF58EB"/>
    <w:rsid w:val="00BF776E"/>
    <w:rsid w:val="00C00199"/>
    <w:rsid w:val="00C0043C"/>
    <w:rsid w:val="00C00ABA"/>
    <w:rsid w:val="00C00F40"/>
    <w:rsid w:val="00C03035"/>
    <w:rsid w:val="00C0411A"/>
    <w:rsid w:val="00C05E5F"/>
    <w:rsid w:val="00C07CCC"/>
    <w:rsid w:val="00C10C1E"/>
    <w:rsid w:val="00C1246F"/>
    <w:rsid w:val="00C164DD"/>
    <w:rsid w:val="00C23399"/>
    <w:rsid w:val="00C24CBB"/>
    <w:rsid w:val="00C250B0"/>
    <w:rsid w:val="00C27EB5"/>
    <w:rsid w:val="00C3047F"/>
    <w:rsid w:val="00C3127C"/>
    <w:rsid w:val="00C31319"/>
    <w:rsid w:val="00C3145D"/>
    <w:rsid w:val="00C3448E"/>
    <w:rsid w:val="00C3478B"/>
    <w:rsid w:val="00C3606A"/>
    <w:rsid w:val="00C37053"/>
    <w:rsid w:val="00C37506"/>
    <w:rsid w:val="00C3774C"/>
    <w:rsid w:val="00C41937"/>
    <w:rsid w:val="00C41C17"/>
    <w:rsid w:val="00C4333D"/>
    <w:rsid w:val="00C46E12"/>
    <w:rsid w:val="00C470AA"/>
    <w:rsid w:val="00C472A2"/>
    <w:rsid w:val="00C472AB"/>
    <w:rsid w:val="00C53EFB"/>
    <w:rsid w:val="00C54657"/>
    <w:rsid w:val="00C550D2"/>
    <w:rsid w:val="00C558C8"/>
    <w:rsid w:val="00C578DF"/>
    <w:rsid w:val="00C60EC2"/>
    <w:rsid w:val="00C60FE4"/>
    <w:rsid w:val="00C615F9"/>
    <w:rsid w:val="00C61BC3"/>
    <w:rsid w:val="00C62142"/>
    <w:rsid w:val="00C62C36"/>
    <w:rsid w:val="00C62C9D"/>
    <w:rsid w:val="00C63C8D"/>
    <w:rsid w:val="00C6402D"/>
    <w:rsid w:val="00C64E74"/>
    <w:rsid w:val="00C65C88"/>
    <w:rsid w:val="00C73225"/>
    <w:rsid w:val="00C751ED"/>
    <w:rsid w:val="00C77335"/>
    <w:rsid w:val="00C80834"/>
    <w:rsid w:val="00C832F8"/>
    <w:rsid w:val="00C83FD5"/>
    <w:rsid w:val="00C84533"/>
    <w:rsid w:val="00C90529"/>
    <w:rsid w:val="00C9054E"/>
    <w:rsid w:val="00C917DD"/>
    <w:rsid w:val="00C92C87"/>
    <w:rsid w:val="00C93A9D"/>
    <w:rsid w:val="00C95141"/>
    <w:rsid w:val="00C95ABC"/>
    <w:rsid w:val="00C97155"/>
    <w:rsid w:val="00C97366"/>
    <w:rsid w:val="00CA08F4"/>
    <w:rsid w:val="00CA1277"/>
    <w:rsid w:val="00CA41BE"/>
    <w:rsid w:val="00CA50B4"/>
    <w:rsid w:val="00CA5C5C"/>
    <w:rsid w:val="00CA6957"/>
    <w:rsid w:val="00CA70D3"/>
    <w:rsid w:val="00CA7762"/>
    <w:rsid w:val="00CA7BE5"/>
    <w:rsid w:val="00CB0016"/>
    <w:rsid w:val="00CB1750"/>
    <w:rsid w:val="00CB1BBC"/>
    <w:rsid w:val="00CB6B63"/>
    <w:rsid w:val="00CC11C2"/>
    <w:rsid w:val="00CC2A32"/>
    <w:rsid w:val="00CC3029"/>
    <w:rsid w:val="00CC3CE4"/>
    <w:rsid w:val="00CC45D4"/>
    <w:rsid w:val="00CC6A06"/>
    <w:rsid w:val="00CD28A0"/>
    <w:rsid w:val="00CD2F00"/>
    <w:rsid w:val="00CD34CB"/>
    <w:rsid w:val="00CD3E0E"/>
    <w:rsid w:val="00CD44DF"/>
    <w:rsid w:val="00CE2B6B"/>
    <w:rsid w:val="00CE5B22"/>
    <w:rsid w:val="00CE70A0"/>
    <w:rsid w:val="00CF00AE"/>
    <w:rsid w:val="00CF1A24"/>
    <w:rsid w:val="00CF36E0"/>
    <w:rsid w:val="00CF3CDF"/>
    <w:rsid w:val="00CF4682"/>
    <w:rsid w:val="00CF5D79"/>
    <w:rsid w:val="00CF625D"/>
    <w:rsid w:val="00CF6686"/>
    <w:rsid w:val="00CF7EC5"/>
    <w:rsid w:val="00D00B04"/>
    <w:rsid w:val="00D0156F"/>
    <w:rsid w:val="00D015B8"/>
    <w:rsid w:val="00D026C7"/>
    <w:rsid w:val="00D05C25"/>
    <w:rsid w:val="00D079A1"/>
    <w:rsid w:val="00D10C40"/>
    <w:rsid w:val="00D10D98"/>
    <w:rsid w:val="00D12D4A"/>
    <w:rsid w:val="00D13296"/>
    <w:rsid w:val="00D14EBF"/>
    <w:rsid w:val="00D1526A"/>
    <w:rsid w:val="00D16D15"/>
    <w:rsid w:val="00D24252"/>
    <w:rsid w:val="00D24891"/>
    <w:rsid w:val="00D248DD"/>
    <w:rsid w:val="00D25D78"/>
    <w:rsid w:val="00D27AFF"/>
    <w:rsid w:val="00D27FF0"/>
    <w:rsid w:val="00D330B0"/>
    <w:rsid w:val="00D33792"/>
    <w:rsid w:val="00D34FB7"/>
    <w:rsid w:val="00D42227"/>
    <w:rsid w:val="00D43321"/>
    <w:rsid w:val="00D4678C"/>
    <w:rsid w:val="00D50EBB"/>
    <w:rsid w:val="00D5262C"/>
    <w:rsid w:val="00D52664"/>
    <w:rsid w:val="00D5309E"/>
    <w:rsid w:val="00D533E6"/>
    <w:rsid w:val="00D53A3C"/>
    <w:rsid w:val="00D53BD2"/>
    <w:rsid w:val="00D56702"/>
    <w:rsid w:val="00D56998"/>
    <w:rsid w:val="00D57B4E"/>
    <w:rsid w:val="00D61356"/>
    <w:rsid w:val="00D6291E"/>
    <w:rsid w:val="00D62EE7"/>
    <w:rsid w:val="00D65904"/>
    <w:rsid w:val="00D66D87"/>
    <w:rsid w:val="00D736DB"/>
    <w:rsid w:val="00D7409C"/>
    <w:rsid w:val="00D7735D"/>
    <w:rsid w:val="00D77490"/>
    <w:rsid w:val="00D77DCE"/>
    <w:rsid w:val="00D816A0"/>
    <w:rsid w:val="00D82812"/>
    <w:rsid w:val="00D83E18"/>
    <w:rsid w:val="00D854A5"/>
    <w:rsid w:val="00D86910"/>
    <w:rsid w:val="00D8778C"/>
    <w:rsid w:val="00D91810"/>
    <w:rsid w:val="00D930D6"/>
    <w:rsid w:val="00D963EB"/>
    <w:rsid w:val="00D9729B"/>
    <w:rsid w:val="00DA060C"/>
    <w:rsid w:val="00DA1120"/>
    <w:rsid w:val="00DA1892"/>
    <w:rsid w:val="00DA1A5D"/>
    <w:rsid w:val="00DA1B96"/>
    <w:rsid w:val="00DA3842"/>
    <w:rsid w:val="00DA3D8D"/>
    <w:rsid w:val="00DA4382"/>
    <w:rsid w:val="00DA6D61"/>
    <w:rsid w:val="00DB0C35"/>
    <w:rsid w:val="00DB5D87"/>
    <w:rsid w:val="00DC57F3"/>
    <w:rsid w:val="00DD00EC"/>
    <w:rsid w:val="00DD05A2"/>
    <w:rsid w:val="00DD0C0F"/>
    <w:rsid w:val="00DD0D36"/>
    <w:rsid w:val="00DD1972"/>
    <w:rsid w:val="00DD1C7C"/>
    <w:rsid w:val="00DD3019"/>
    <w:rsid w:val="00DD3034"/>
    <w:rsid w:val="00DD6917"/>
    <w:rsid w:val="00DD6974"/>
    <w:rsid w:val="00DD6C1D"/>
    <w:rsid w:val="00DD7399"/>
    <w:rsid w:val="00DE076E"/>
    <w:rsid w:val="00DE121D"/>
    <w:rsid w:val="00DE1CC7"/>
    <w:rsid w:val="00DE3365"/>
    <w:rsid w:val="00DE4FF6"/>
    <w:rsid w:val="00DE5A69"/>
    <w:rsid w:val="00DE6D17"/>
    <w:rsid w:val="00DF07AB"/>
    <w:rsid w:val="00DF09FD"/>
    <w:rsid w:val="00DF0A71"/>
    <w:rsid w:val="00DF0ECD"/>
    <w:rsid w:val="00DF202D"/>
    <w:rsid w:val="00DF21A0"/>
    <w:rsid w:val="00DF466D"/>
    <w:rsid w:val="00DF5F20"/>
    <w:rsid w:val="00DF6172"/>
    <w:rsid w:val="00DF6C4D"/>
    <w:rsid w:val="00DF6E87"/>
    <w:rsid w:val="00DF7930"/>
    <w:rsid w:val="00E00002"/>
    <w:rsid w:val="00E01BAE"/>
    <w:rsid w:val="00E02A37"/>
    <w:rsid w:val="00E04679"/>
    <w:rsid w:val="00E055C1"/>
    <w:rsid w:val="00E05B55"/>
    <w:rsid w:val="00E06399"/>
    <w:rsid w:val="00E07CD2"/>
    <w:rsid w:val="00E101EB"/>
    <w:rsid w:val="00E105A8"/>
    <w:rsid w:val="00E10F2D"/>
    <w:rsid w:val="00E11FEB"/>
    <w:rsid w:val="00E14236"/>
    <w:rsid w:val="00E1438A"/>
    <w:rsid w:val="00E14A6F"/>
    <w:rsid w:val="00E16DE2"/>
    <w:rsid w:val="00E17709"/>
    <w:rsid w:val="00E215DA"/>
    <w:rsid w:val="00E21A69"/>
    <w:rsid w:val="00E226A9"/>
    <w:rsid w:val="00E22C87"/>
    <w:rsid w:val="00E26F0D"/>
    <w:rsid w:val="00E31D32"/>
    <w:rsid w:val="00E326E9"/>
    <w:rsid w:val="00E34D2E"/>
    <w:rsid w:val="00E36235"/>
    <w:rsid w:val="00E36391"/>
    <w:rsid w:val="00E363B8"/>
    <w:rsid w:val="00E5251E"/>
    <w:rsid w:val="00E551A6"/>
    <w:rsid w:val="00E6073E"/>
    <w:rsid w:val="00E64A14"/>
    <w:rsid w:val="00E65BAC"/>
    <w:rsid w:val="00E664F9"/>
    <w:rsid w:val="00E7113C"/>
    <w:rsid w:val="00E826E0"/>
    <w:rsid w:val="00E845A1"/>
    <w:rsid w:val="00E85922"/>
    <w:rsid w:val="00E86171"/>
    <w:rsid w:val="00E87D9C"/>
    <w:rsid w:val="00E906C5"/>
    <w:rsid w:val="00EA3341"/>
    <w:rsid w:val="00EA4166"/>
    <w:rsid w:val="00EA627D"/>
    <w:rsid w:val="00EA759E"/>
    <w:rsid w:val="00EB1F3A"/>
    <w:rsid w:val="00EB2CC6"/>
    <w:rsid w:val="00EB42B7"/>
    <w:rsid w:val="00EB585D"/>
    <w:rsid w:val="00EC0947"/>
    <w:rsid w:val="00EC3DF7"/>
    <w:rsid w:val="00EC54AA"/>
    <w:rsid w:val="00EC67AD"/>
    <w:rsid w:val="00ED1AF9"/>
    <w:rsid w:val="00ED2AE1"/>
    <w:rsid w:val="00ED3C3A"/>
    <w:rsid w:val="00ED3E03"/>
    <w:rsid w:val="00ED7420"/>
    <w:rsid w:val="00ED7E07"/>
    <w:rsid w:val="00EE49F2"/>
    <w:rsid w:val="00EE63CA"/>
    <w:rsid w:val="00EE66C3"/>
    <w:rsid w:val="00EF074A"/>
    <w:rsid w:val="00EF1645"/>
    <w:rsid w:val="00EF1C23"/>
    <w:rsid w:val="00EF227E"/>
    <w:rsid w:val="00EF2590"/>
    <w:rsid w:val="00EF4F3A"/>
    <w:rsid w:val="00EF5981"/>
    <w:rsid w:val="00EF6693"/>
    <w:rsid w:val="00EF6C6C"/>
    <w:rsid w:val="00EF78CC"/>
    <w:rsid w:val="00F02AD9"/>
    <w:rsid w:val="00F10B7C"/>
    <w:rsid w:val="00F123A8"/>
    <w:rsid w:val="00F12CE2"/>
    <w:rsid w:val="00F142FB"/>
    <w:rsid w:val="00F15101"/>
    <w:rsid w:val="00F15D76"/>
    <w:rsid w:val="00F17BE5"/>
    <w:rsid w:val="00F20736"/>
    <w:rsid w:val="00F22D7E"/>
    <w:rsid w:val="00F22ED9"/>
    <w:rsid w:val="00F27AF3"/>
    <w:rsid w:val="00F32C8D"/>
    <w:rsid w:val="00F33FF9"/>
    <w:rsid w:val="00F34273"/>
    <w:rsid w:val="00F343FA"/>
    <w:rsid w:val="00F35542"/>
    <w:rsid w:val="00F35691"/>
    <w:rsid w:val="00F36129"/>
    <w:rsid w:val="00F3721F"/>
    <w:rsid w:val="00F41120"/>
    <w:rsid w:val="00F41576"/>
    <w:rsid w:val="00F42D95"/>
    <w:rsid w:val="00F43CE5"/>
    <w:rsid w:val="00F44105"/>
    <w:rsid w:val="00F466D2"/>
    <w:rsid w:val="00F467F3"/>
    <w:rsid w:val="00F4751B"/>
    <w:rsid w:val="00F478D2"/>
    <w:rsid w:val="00F50964"/>
    <w:rsid w:val="00F523F6"/>
    <w:rsid w:val="00F5292F"/>
    <w:rsid w:val="00F553E1"/>
    <w:rsid w:val="00F5543C"/>
    <w:rsid w:val="00F56431"/>
    <w:rsid w:val="00F56E04"/>
    <w:rsid w:val="00F60113"/>
    <w:rsid w:val="00F6141A"/>
    <w:rsid w:val="00F6183F"/>
    <w:rsid w:val="00F64E78"/>
    <w:rsid w:val="00F65086"/>
    <w:rsid w:val="00F65610"/>
    <w:rsid w:val="00F65ECB"/>
    <w:rsid w:val="00F66C5F"/>
    <w:rsid w:val="00F81535"/>
    <w:rsid w:val="00F8257F"/>
    <w:rsid w:val="00F82A90"/>
    <w:rsid w:val="00F82D0B"/>
    <w:rsid w:val="00F832EC"/>
    <w:rsid w:val="00F83BF7"/>
    <w:rsid w:val="00F873F3"/>
    <w:rsid w:val="00F919C8"/>
    <w:rsid w:val="00F92823"/>
    <w:rsid w:val="00F928F1"/>
    <w:rsid w:val="00F92AFA"/>
    <w:rsid w:val="00F92F5D"/>
    <w:rsid w:val="00F93A47"/>
    <w:rsid w:val="00F948ED"/>
    <w:rsid w:val="00F96C4A"/>
    <w:rsid w:val="00F96F4B"/>
    <w:rsid w:val="00FA19BD"/>
    <w:rsid w:val="00FA3690"/>
    <w:rsid w:val="00FA55A1"/>
    <w:rsid w:val="00FA5879"/>
    <w:rsid w:val="00FA6EF4"/>
    <w:rsid w:val="00FB1621"/>
    <w:rsid w:val="00FB22BD"/>
    <w:rsid w:val="00FB2E35"/>
    <w:rsid w:val="00FB30F2"/>
    <w:rsid w:val="00FB7366"/>
    <w:rsid w:val="00FB7C8E"/>
    <w:rsid w:val="00FC2AF6"/>
    <w:rsid w:val="00FC4FB3"/>
    <w:rsid w:val="00FC5863"/>
    <w:rsid w:val="00FC5F81"/>
    <w:rsid w:val="00FD049D"/>
    <w:rsid w:val="00FD1B92"/>
    <w:rsid w:val="00FD65AB"/>
    <w:rsid w:val="00FE0E5C"/>
    <w:rsid w:val="00FE1596"/>
    <w:rsid w:val="00FE1A1C"/>
    <w:rsid w:val="00FE2AAA"/>
    <w:rsid w:val="00FE33BB"/>
    <w:rsid w:val="00FE34C9"/>
    <w:rsid w:val="00FE7E13"/>
    <w:rsid w:val="00FF23B8"/>
    <w:rsid w:val="00FF6AED"/>
    <w:rsid w:val="01146013"/>
    <w:rsid w:val="012A2737"/>
    <w:rsid w:val="015B4120"/>
    <w:rsid w:val="01660C57"/>
    <w:rsid w:val="01827A03"/>
    <w:rsid w:val="01B3097E"/>
    <w:rsid w:val="01D9646A"/>
    <w:rsid w:val="01DF130C"/>
    <w:rsid w:val="02702D13"/>
    <w:rsid w:val="028E4F47"/>
    <w:rsid w:val="02D61E95"/>
    <w:rsid w:val="02D90098"/>
    <w:rsid w:val="03284BB7"/>
    <w:rsid w:val="03382031"/>
    <w:rsid w:val="036D53D0"/>
    <w:rsid w:val="03F66D0E"/>
    <w:rsid w:val="042370D6"/>
    <w:rsid w:val="04293FB5"/>
    <w:rsid w:val="043A72EC"/>
    <w:rsid w:val="0490022A"/>
    <w:rsid w:val="04A578A2"/>
    <w:rsid w:val="04B32B8A"/>
    <w:rsid w:val="04CD48E2"/>
    <w:rsid w:val="04E2157A"/>
    <w:rsid w:val="050C5D24"/>
    <w:rsid w:val="05184C90"/>
    <w:rsid w:val="053D653C"/>
    <w:rsid w:val="05463BE3"/>
    <w:rsid w:val="054F61EA"/>
    <w:rsid w:val="055279FA"/>
    <w:rsid w:val="05CF49A8"/>
    <w:rsid w:val="05D65CFA"/>
    <w:rsid w:val="05DC5D32"/>
    <w:rsid w:val="05F91383"/>
    <w:rsid w:val="06135E8F"/>
    <w:rsid w:val="064C7CB1"/>
    <w:rsid w:val="06540F36"/>
    <w:rsid w:val="06C52B48"/>
    <w:rsid w:val="06CF0744"/>
    <w:rsid w:val="06D315FB"/>
    <w:rsid w:val="06E90D8A"/>
    <w:rsid w:val="06EF6768"/>
    <w:rsid w:val="06F20341"/>
    <w:rsid w:val="0706603B"/>
    <w:rsid w:val="072B7237"/>
    <w:rsid w:val="07933673"/>
    <w:rsid w:val="07B94741"/>
    <w:rsid w:val="07F361F9"/>
    <w:rsid w:val="08053C4B"/>
    <w:rsid w:val="082971C5"/>
    <w:rsid w:val="082B4D95"/>
    <w:rsid w:val="08472E5C"/>
    <w:rsid w:val="08512991"/>
    <w:rsid w:val="086F63CE"/>
    <w:rsid w:val="08982403"/>
    <w:rsid w:val="08DB3253"/>
    <w:rsid w:val="092B0A22"/>
    <w:rsid w:val="095A3541"/>
    <w:rsid w:val="09623EF2"/>
    <w:rsid w:val="09E45A1B"/>
    <w:rsid w:val="0A126AEC"/>
    <w:rsid w:val="0A40746F"/>
    <w:rsid w:val="0A5C540E"/>
    <w:rsid w:val="0A6021B3"/>
    <w:rsid w:val="0A7A0CA4"/>
    <w:rsid w:val="0AA522D0"/>
    <w:rsid w:val="0ACA2DB9"/>
    <w:rsid w:val="0AD83203"/>
    <w:rsid w:val="0ADA51CD"/>
    <w:rsid w:val="0AE14718"/>
    <w:rsid w:val="0AE83439"/>
    <w:rsid w:val="0AF80920"/>
    <w:rsid w:val="0B4B3F6C"/>
    <w:rsid w:val="0BB711A2"/>
    <w:rsid w:val="0BD55995"/>
    <w:rsid w:val="0C1053BE"/>
    <w:rsid w:val="0C37664F"/>
    <w:rsid w:val="0C3952B8"/>
    <w:rsid w:val="0C6F0F47"/>
    <w:rsid w:val="0CC01C92"/>
    <w:rsid w:val="0CC7692D"/>
    <w:rsid w:val="0CD530B4"/>
    <w:rsid w:val="0CD60C01"/>
    <w:rsid w:val="0D3C2DBC"/>
    <w:rsid w:val="0D3F57BC"/>
    <w:rsid w:val="0D5450EC"/>
    <w:rsid w:val="0D6B54C5"/>
    <w:rsid w:val="0DCA49B7"/>
    <w:rsid w:val="0DFE5D5E"/>
    <w:rsid w:val="0E0A7B0D"/>
    <w:rsid w:val="0E681BAD"/>
    <w:rsid w:val="0E767E88"/>
    <w:rsid w:val="0E82467E"/>
    <w:rsid w:val="0EAC42BC"/>
    <w:rsid w:val="0EBB70C4"/>
    <w:rsid w:val="0F0D6BE2"/>
    <w:rsid w:val="0F4831B2"/>
    <w:rsid w:val="0F58051C"/>
    <w:rsid w:val="0F6A12F6"/>
    <w:rsid w:val="0F706785"/>
    <w:rsid w:val="0FB104C7"/>
    <w:rsid w:val="0FBF1E31"/>
    <w:rsid w:val="10167DF0"/>
    <w:rsid w:val="10442422"/>
    <w:rsid w:val="10624D6F"/>
    <w:rsid w:val="10777FCE"/>
    <w:rsid w:val="112B2AA1"/>
    <w:rsid w:val="11523DE7"/>
    <w:rsid w:val="11570DC0"/>
    <w:rsid w:val="116A4DD1"/>
    <w:rsid w:val="116B182D"/>
    <w:rsid w:val="11934358"/>
    <w:rsid w:val="11BE3632"/>
    <w:rsid w:val="11C45D88"/>
    <w:rsid w:val="11CB4B22"/>
    <w:rsid w:val="11F06606"/>
    <w:rsid w:val="125C3B2B"/>
    <w:rsid w:val="125E2585"/>
    <w:rsid w:val="128433ED"/>
    <w:rsid w:val="12864FB6"/>
    <w:rsid w:val="129B7938"/>
    <w:rsid w:val="12B10F0A"/>
    <w:rsid w:val="12C61B33"/>
    <w:rsid w:val="12D6302D"/>
    <w:rsid w:val="133D73F9"/>
    <w:rsid w:val="134E19B6"/>
    <w:rsid w:val="13884FF1"/>
    <w:rsid w:val="13A95E89"/>
    <w:rsid w:val="13D10783"/>
    <w:rsid w:val="140E148D"/>
    <w:rsid w:val="142C43BB"/>
    <w:rsid w:val="14511E1E"/>
    <w:rsid w:val="14766C8F"/>
    <w:rsid w:val="14912710"/>
    <w:rsid w:val="149F3B7A"/>
    <w:rsid w:val="14C53BC8"/>
    <w:rsid w:val="14D23011"/>
    <w:rsid w:val="14E326FD"/>
    <w:rsid w:val="151249AB"/>
    <w:rsid w:val="15162BE4"/>
    <w:rsid w:val="15190FE8"/>
    <w:rsid w:val="15793CC1"/>
    <w:rsid w:val="15811D3E"/>
    <w:rsid w:val="158A77F0"/>
    <w:rsid w:val="15A93808"/>
    <w:rsid w:val="15D23493"/>
    <w:rsid w:val="162F2770"/>
    <w:rsid w:val="16771D71"/>
    <w:rsid w:val="169F2667"/>
    <w:rsid w:val="16BA5045"/>
    <w:rsid w:val="16C131A0"/>
    <w:rsid w:val="16F404CA"/>
    <w:rsid w:val="1709076F"/>
    <w:rsid w:val="17340D7A"/>
    <w:rsid w:val="179839AF"/>
    <w:rsid w:val="179F123F"/>
    <w:rsid w:val="17A54D70"/>
    <w:rsid w:val="17B8487C"/>
    <w:rsid w:val="17E256C1"/>
    <w:rsid w:val="17F12982"/>
    <w:rsid w:val="182D5384"/>
    <w:rsid w:val="18375C9D"/>
    <w:rsid w:val="183E6AF9"/>
    <w:rsid w:val="18820C52"/>
    <w:rsid w:val="18995124"/>
    <w:rsid w:val="189A4569"/>
    <w:rsid w:val="18A26704"/>
    <w:rsid w:val="1902071C"/>
    <w:rsid w:val="190649E6"/>
    <w:rsid w:val="195A622F"/>
    <w:rsid w:val="1964196A"/>
    <w:rsid w:val="19AB2FDB"/>
    <w:rsid w:val="19BA14B7"/>
    <w:rsid w:val="1A0A76EA"/>
    <w:rsid w:val="1A23797E"/>
    <w:rsid w:val="1A3C6319"/>
    <w:rsid w:val="1A7D728D"/>
    <w:rsid w:val="1A920F97"/>
    <w:rsid w:val="1AA06762"/>
    <w:rsid w:val="1ABD0513"/>
    <w:rsid w:val="1ACE6D0C"/>
    <w:rsid w:val="1B0951AD"/>
    <w:rsid w:val="1B553528"/>
    <w:rsid w:val="1B5A0CF0"/>
    <w:rsid w:val="1B5A36C4"/>
    <w:rsid w:val="1B695672"/>
    <w:rsid w:val="1BC30CDB"/>
    <w:rsid w:val="1BEA14D8"/>
    <w:rsid w:val="1C3B7A96"/>
    <w:rsid w:val="1C4508ED"/>
    <w:rsid w:val="1C546B64"/>
    <w:rsid w:val="1C744D56"/>
    <w:rsid w:val="1C89001A"/>
    <w:rsid w:val="1C8C1AA0"/>
    <w:rsid w:val="1CB117E6"/>
    <w:rsid w:val="1CB316E6"/>
    <w:rsid w:val="1D1822E2"/>
    <w:rsid w:val="1D2166A7"/>
    <w:rsid w:val="1D2742B1"/>
    <w:rsid w:val="1D2D4FB0"/>
    <w:rsid w:val="1D4732E6"/>
    <w:rsid w:val="1D8841E0"/>
    <w:rsid w:val="1D920153"/>
    <w:rsid w:val="1D950DFB"/>
    <w:rsid w:val="1DB366CA"/>
    <w:rsid w:val="1DE877AA"/>
    <w:rsid w:val="1E0062F7"/>
    <w:rsid w:val="1E33459E"/>
    <w:rsid w:val="1E3D138F"/>
    <w:rsid w:val="1E432069"/>
    <w:rsid w:val="1E793232"/>
    <w:rsid w:val="1E941155"/>
    <w:rsid w:val="1EA306C9"/>
    <w:rsid w:val="1EBF586A"/>
    <w:rsid w:val="1EFE2FE4"/>
    <w:rsid w:val="1F022C7F"/>
    <w:rsid w:val="1F066139"/>
    <w:rsid w:val="1F4B4494"/>
    <w:rsid w:val="1F9107C7"/>
    <w:rsid w:val="1FB54332"/>
    <w:rsid w:val="1FB54859"/>
    <w:rsid w:val="1FC35DD8"/>
    <w:rsid w:val="1FC658C9"/>
    <w:rsid w:val="1FEB2BFF"/>
    <w:rsid w:val="1FFC35A4"/>
    <w:rsid w:val="20175B9E"/>
    <w:rsid w:val="202557D1"/>
    <w:rsid w:val="204B10CE"/>
    <w:rsid w:val="20983CF0"/>
    <w:rsid w:val="20A00D26"/>
    <w:rsid w:val="20DA343B"/>
    <w:rsid w:val="20E649F1"/>
    <w:rsid w:val="21415B4F"/>
    <w:rsid w:val="2149267B"/>
    <w:rsid w:val="216339CE"/>
    <w:rsid w:val="218E1105"/>
    <w:rsid w:val="21B60DE2"/>
    <w:rsid w:val="21C11AD9"/>
    <w:rsid w:val="21C8274A"/>
    <w:rsid w:val="21FD6A0F"/>
    <w:rsid w:val="21FF6CC7"/>
    <w:rsid w:val="220977E4"/>
    <w:rsid w:val="22375430"/>
    <w:rsid w:val="224A458F"/>
    <w:rsid w:val="224E6C54"/>
    <w:rsid w:val="22A805E7"/>
    <w:rsid w:val="22AA17B4"/>
    <w:rsid w:val="22AF0ECD"/>
    <w:rsid w:val="22C3168A"/>
    <w:rsid w:val="22DA3E27"/>
    <w:rsid w:val="22F83E5C"/>
    <w:rsid w:val="230C3B8C"/>
    <w:rsid w:val="23C562A3"/>
    <w:rsid w:val="24082954"/>
    <w:rsid w:val="24377DF9"/>
    <w:rsid w:val="24382984"/>
    <w:rsid w:val="245F599E"/>
    <w:rsid w:val="24A06B14"/>
    <w:rsid w:val="24C83CFF"/>
    <w:rsid w:val="252B4CD1"/>
    <w:rsid w:val="25652B73"/>
    <w:rsid w:val="256E6CDE"/>
    <w:rsid w:val="25707300"/>
    <w:rsid w:val="25AF2394"/>
    <w:rsid w:val="25B150E7"/>
    <w:rsid w:val="25BF1CD6"/>
    <w:rsid w:val="263D505B"/>
    <w:rsid w:val="263F10D4"/>
    <w:rsid w:val="264A0BF2"/>
    <w:rsid w:val="2650274E"/>
    <w:rsid w:val="26521381"/>
    <w:rsid w:val="266C3967"/>
    <w:rsid w:val="26C147F2"/>
    <w:rsid w:val="26F04EC9"/>
    <w:rsid w:val="26F26023"/>
    <w:rsid w:val="26FB4DCF"/>
    <w:rsid w:val="270471A1"/>
    <w:rsid w:val="270862B2"/>
    <w:rsid w:val="270F6720"/>
    <w:rsid w:val="27257379"/>
    <w:rsid w:val="273A6D83"/>
    <w:rsid w:val="27C15947"/>
    <w:rsid w:val="27CA3DF7"/>
    <w:rsid w:val="27E033D2"/>
    <w:rsid w:val="27EB233F"/>
    <w:rsid w:val="28066BDF"/>
    <w:rsid w:val="280B3FC1"/>
    <w:rsid w:val="28130165"/>
    <w:rsid w:val="2848221F"/>
    <w:rsid w:val="288C6150"/>
    <w:rsid w:val="28951DB4"/>
    <w:rsid w:val="28AF1F0D"/>
    <w:rsid w:val="29244C8B"/>
    <w:rsid w:val="29646534"/>
    <w:rsid w:val="29F11140"/>
    <w:rsid w:val="2A204842"/>
    <w:rsid w:val="2A8E03E3"/>
    <w:rsid w:val="2A93458B"/>
    <w:rsid w:val="2A9B7567"/>
    <w:rsid w:val="2AB354CA"/>
    <w:rsid w:val="2AFF4173"/>
    <w:rsid w:val="2B2F1D11"/>
    <w:rsid w:val="2B597F39"/>
    <w:rsid w:val="2B5C7036"/>
    <w:rsid w:val="2B876854"/>
    <w:rsid w:val="2BC51696"/>
    <w:rsid w:val="2BE25A9A"/>
    <w:rsid w:val="2BE55102"/>
    <w:rsid w:val="2BFD3CDC"/>
    <w:rsid w:val="2C0A2D80"/>
    <w:rsid w:val="2C3B5197"/>
    <w:rsid w:val="2CA174A1"/>
    <w:rsid w:val="2CE05E73"/>
    <w:rsid w:val="2CE224C2"/>
    <w:rsid w:val="2CE57D10"/>
    <w:rsid w:val="2D084FCE"/>
    <w:rsid w:val="2D1D5022"/>
    <w:rsid w:val="2D425098"/>
    <w:rsid w:val="2D447855"/>
    <w:rsid w:val="2D5C68B4"/>
    <w:rsid w:val="2D6865D9"/>
    <w:rsid w:val="2D793EF7"/>
    <w:rsid w:val="2D8D2241"/>
    <w:rsid w:val="2D9E447A"/>
    <w:rsid w:val="2DB15B07"/>
    <w:rsid w:val="2DE375AF"/>
    <w:rsid w:val="2E0E0D54"/>
    <w:rsid w:val="2E401243"/>
    <w:rsid w:val="2E441204"/>
    <w:rsid w:val="2E624F0F"/>
    <w:rsid w:val="2E7F7CB6"/>
    <w:rsid w:val="2E9E0BBE"/>
    <w:rsid w:val="2EA46394"/>
    <w:rsid w:val="2EDE56C4"/>
    <w:rsid w:val="2EE645E1"/>
    <w:rsid w:val="2F04793A"/>
    <w:rsid w:val="2F2C7D31"/>
    <w:rsid w:val="2F3E5B6E"/>
    <w:rsid w:val="2F68074A"/>
    <w:rsid w:val="2FD12005"/>
    <w:rsid w:val="2FD27085"/>
    <w:rsid w:val="30071D11"/>
    <w:rsid w:val="30251C34"/>
    <w:rsid w:val="3037755F"/>
    <w:rsid w:val="303945CC"/>
    <w:rsid w:val="30D05D96"/>
    <w:rsid w:val="30D51738"/>
    <w:rsid w:val="30E32AEC"/>
    <w:rsid w:val="31197A6E"/>
    <w:rsid w:val="31293F09"/>
    <w:rsid w:val="3136107B"/>
    <w:rsid w:val="313E5C07"/>
    <w:rsid w:val="315C7453"/>
    <w:rsid w:val="317D4A68"/>
    <w:rsid w:val="319B4849"/>
    <w:rsid w:val="31CC18A7"/>
    <w:rsid w:val="31D8378F"/>
    <w:rsid w:val="32081D71"/>
    <w:rsid w:val="32101AAE"/>
    <w:rsid w:val="3267118D"/>
    <w:rsid w:val="32B83D57"/>
    <w:rsid w:val="32C1089D"/>
    <w:rsid w:val="32CD451C"/>
    <w:rsid w:val="332901F1"/>
    <w:rsid w:val="334A126D"/>
    <w:rsid w:val="335B6243"/>
    <w:rsid w:val="335F01A4"/>
    <w:rsid w:val="33735E1F"/>
    <w:rsid w:val="33813564"/>
    <w:rsid w:val="339B5BE3"/>
    <w:rsid w:val="33A30956"/>
    <w:rsid w:val="340414F1"/>
    <w:rsid w:val="34122082"/>
    <w:rsid w:val="3420739D"/>
    <w:rsid w:val="344730B4"/>
    <w:rsid w:val="34951FE2"/>
    <w:rsid w:val="34B82A8C"/>
    <w:rsid w:val="34BF017E"/>
    <w:rsid w:val="34CA3E58"/>
    <w:rsid w:val="34D553D0"/>
    <w:rsid w:val="34E3683B"/>
    <w:rsid w:val="35231010"/>
    <w:rsid w:val="353100AC"/>
    <w:rsid w:val="35366457"/>
    <w:rsid w:val="35507CB7"/>
    <w:rsid w:val="3558633D"/>
    <w:rsid w:val="359A1A37"/>
    <w:rsid w:val="35A4582C"/>
    <w:rsid w:val="35EC4BC3"/>
    <w:rsid w:val="35F47297"/>
    <w:rsid w:val="361138EA"/>
    <w:rsid w:val="36270F27"/>
    <w:rsid w:val="3639721D"/>
    <w:rsid w:val="367F4A64"/>
    <w:rsid w:val="36916D5A"/>
    <w:rsid w:val="369B1051"/>
    <w:rsid w:val="369D0D71"/>
    <w:rsid w:val="36BF3F73"/>
    <w:rsid w:val="36C5111A"/>
    <w:rsid w:val="36CC0E95"/>
    <w:rsid w:val="36F007B6"/>
    <w:rsid w:val="37224359"/>
    <w:rsid w:val="37624DC2"/>
    <w:rsid w:val="3766253C"/>
    <w:rsid w:val="37667511"/>
    <w:rsid w:val="37AA678D"/>
    <w:rsid w:val="37DA7402"/>
    <w:rsid w:val="37EE4280"/>
    <w:rsid w:val="37F31F59"/>
    <w:rsid w:val="38275B62"/>
    <w:rsid w:val="383B349B"/>
    <w:rsid w:val="38526424"/>
    <w:rsid w:val="38565123"/>
    <w:rsid w:val="38714FE8"/>
    <w:rsid w:val="38803F24"/>
    <w:rsid w:val="388E0464"/>
    <w:rsid w:val="38A62A03"/>
    <w:rsid w:val="38B34E25"/>
    <w:rsid w:val="38B44A00"/>
    <w:rsid w:val="38FD44E5"/>
    <w:rsid w:val="3902576C"/>
    <w:rsid w:val="392E71DD"/>
    <w:rsid w:val="396B457B"/>
    <w:rsid w:val="398625C4"/>
    <w:rsid w:val="39902C42"/>
    <w:rsid w:val="39AC7A3E"/>
    <w:rsid w:val="39C64A6B"/>
    <w:rsid w:val="39E71A65"/>
    <w:rsid w:val="39E92595"/>
    <w:rsid w:val="3A26189D"/>
    <w:rsid w:val="3A4B33B2"/>
    <w:rsid w:val="3A571BE2"/>
    <w:rsid w:val="3A6B751F"/>
    <w:rsid w:val="3A6C74C9"/>
    <w:rsid w:val="3A726921"/>
    <w:rsid w:val="3ADE3D96"/>
    <w:rsid w:val="3AFE080C"/>
    <w:rsid w:val="3B5859AC"/>
    <w:rsid w:val="3B8F23B0"/>
    <w:rsid w:val="3B997E9D"/>
    <w:rsid w:val="3BAB56A3"/>
    <w:rsid w:val="3BE23823"/>
    <w:rsid w:val="3BED1745"/>
    <w:rsid w:val="3C1B6FEC"/>
    <w:rsid w:val="3C206839"/>
    <w:rsid w:val="3C27223A"/>
    <w:rsid w:val="3C2B55F2"/>
    <w:rsid w:val="3C3978CA"/>
    <w:rsid w:val="3C826D87"/>
    <w:rsid w:val="3C84589C"/>
    <w:rsid w:val="3C8666B4"/>
    <w:rsid w:val="3CA777F1"/>
    <w:rsid w:val="3D1E069A"/>
    <w:rsid w:val="3D3D1AC5"/>
    <w:rsid w:val="3D450DF3"/>
    <w:rsid w:val="3D6A1D6D"/>
    <w:rsid w:val="3E16519C"/>
    <w:rsid w:val="3E3B7CCB"/>
    <w:rsid w:val="3E570308"/>
    <w:rsid w:val="3E6F4037"/>
    <w:rsid w:val="3E820B9A"/>
    <w:rsid w:val="3EA375A8"/>
    <w:rsid w:val="3EA718C1"/>
    <w:rsid w:val="3EC6723B"/>
    <w:rsid w:val="3ECA066A"/>
    <w:rsid w:val="3ECD1A73"/>
    <w:rsid w:val="3F3A0521"/>
    <w:rsid w:val="3F3F3773"/>
    <w:rsid w:val="3F593C0C"/>
    <w:rsid w:val="3F6D76B7"/>
    <w:rsid w:val="3F783E2A"/>
    <w:rsid w:val="3FEF631E"/>
    <w:rsid w:val="403164C3"/>
    <w:rsid w:val="40432070"/>
    <w:rsid w:val="40530A77"/>
    <w:rsid w:val="405C6B25"/>
    <w:rsid w:val="406F2B54"/>
    <w:rsid w:val="40781798"/>
    <w:rsid w:val="407F58F4"/>
    <w:rsid w:val="407F6176"/>
    <w:rsid w:val="40842F0A"/>
    <w:rsid w:val="40A1586A"/>
    <w:rsid w:val="40BB32C2"/>
    <w:rsid w:val="40E57DB0"/>
    <w:rsid w:val="410D4CAE"/>
    <w:rsid w:val="414B1F86"/>
    <w:rsid w:val="418D0F5C"/>
    <w:rsid w:val="41AC6E8F"/>
    <w:rsid w:val="41C3006B"/>
    <w:rsid w:val="41C64582"/>
    <w:rsid w:val="41CE2D58"/>
    <w:rsid w:val="41F9275B"/>
    <w:rsid w:val="41F93C36"/>
    <w:rsid w:val="422A5CB4"/>
    <w:rsid w:val="4239149A"/>
    <w:rsid w:val="426254CD"/>
    <w:rsid w:val="426E79CE"/>
    <w:rsid w:val="42A96C58"/>
    <w:rsid w:val="42AE24C0"/>
    <w:rsid w:val="42B05976"/>
    <w:rsid w:val="42CC4F0A"/>
    <w:rsid w:val="42D9578F"/>
    <w:rsid w:val="432B0916"/>
    <w:rsid w:val="433F4C43"/>
    <w:rsid w:val="43491F86"/>
    <w:rsid w:val="436111FE"/>
    <w:rsid w:val="43703794"/>
    <w:rsid w:val="43C60B85"/>
    <w:rsid w:val="43CE2C49"/>
    <w:rsid w:val="43D20F4F"/>
    <w:rsid w:val="44205D63"/>
    <w:rsid w:val="447C6A61"/>
    <w:rsid w:val="44BD3C5C"/>
    <w:rsid w:val="45012D7B"/>
    <w:rsid w:val="451B4A33"/>
    <w:rsid w:val="45392631"/>
    <w:rsid w:val="45537C20"/>
    <w:rsid w:val="4557146B"/>
    <w:rsid w:val="455E6952"/>
    <w:rsid w:val="456652D4"/>
    <w:rsid w:val="45AA137D"/>
    <w:rsid w:val="45B96DEB"/>
    <w:rsid w:val="45DE7116"/>
    <w:rsid w:val="45E22E9F"/>
    <w:rsid w:val="45F14B9E"/>
    <w:rsid w:val="45F63AA5"/>
    <w:rsid w:val="45F92D9F"/>
    <w:rsid w:val="46395C05"/>
    <w:rsid w:val="46837289"/>
    <w:rsid w:val="46B35D88"/>
    <w:rsid w:val="46D21AC8"/>
    <w:rsid w:val="46F650D3"/>
    <w:rsid w:val="46F745D4"/>
    <w:rsid w:val="47023474"/>
    <w:rsid w:val="470A016A"/>
    <w:rsid w:val="47902790"/>
    <w:rsid w:val="47924DC5"/>
    <w:rsid w:val="47B51C4E"/>
    <w:rsid w:val="486E697A"/>
    <w:rsid w:val="487A0E31"/>
    <w:rsid w:val="488934E4"/>
    <w:rsid w:val="489645EE"/>
    <w:rsid w:val="48A704C8"/>
    <w:rsid w:val="48DA348D"/>
    <w:rsid w:val="48ED37C8"/>
    <w:rsid w:val="48F0354E"/>
    <w:rsid w:val="48FF196A"/>
    <w:rsid w:val="493D4634"/>
    <w:rsid w:val="496E0687"/>
    <w:rsid w:val="499C12C5"/>
    <w:rsid w:val="49C37B45"/>
    <w:rsid w:val="4A6A2399"/>
    <w:rsid w:val="4A79544E"/>
    <w:rsid w:val="4A9728FD"/>
    <w:rsid w:val="4AFD6F8F"/>
    <w:rsid w:val="4B444144"/>
    <w:rsid w:val="4B6941C9"/>
    <w:rsid w:val="4B8557F3"/>
    <w:rsid w:val="4BA16207"/>
    <w:rsid w:val="4BA73716"/>
    <w:rsid w:val="4C0D0128"/>
    <w:rsid w:val="4C4003EF"/>
    <w:rsid w:val="4C6228AB"/>
    <w:rsid w:val="4D301C08"/>
    <w:rsid w:val="4D3F2693"/>
    <w:rsid w:val="4D5A4033"/>
    <w:rsid w:val="4DC3706B"/>
    <w:rsid w:val="4DD70FB3"/>
    <w:rsid w:val="4E01203E"/>
    <w:rsid w:val="4E0B7DA9"/>
    <w:rsid w:val="4E3573AE"/>
    <w:rsid w:val="4E6230FF"/>
    <w:rsid w:val="4E670DAE"/>
    <w:rsid w:val="4E803380"/>
    <w:rsid w:val="4E967948"/>
    <w:rsid w:val="4EB90E89"/>
    <w:rsid w:val="4EBC5E07"/>
    <w:rsid w:val="4ED54C66"/>
    <w:rsid w:val="4EE03A01"/>
    <w:rsid w:val="4F261B43"/>
    <w:rsid w:val="4F4F5B51"/>
    <w:rsid w:val="4F874D65"/>
    <w:rsid w:val="4F994A1D"/>
    <w:rsid w:val="4FA35C05"/>
    <w:rsid w:val="4FF10245"/>
    <w:rsid w:val="4FFB33B7"/>
    <w:rsid w:val="50130CFC"/>
    <w:rsid w:val="501A7709"/>
    <w:rsid w:val="50230AC8"/>
    <w:rsid w:val="50521350"/>
    <w:rsid w:val="507C6A00"/>
    <w:rsid w:val="50834F8C"/>
    <w:rsid w:val="50AE2A25"/>
    <w:rsid w:val="50AF39A3"/>
    <w:rsid w:val="513C2E56"/>
    <w:rsid w:val="514A216C"/>
    <w:rsid w:val="51582937"/>
    <w:rsid w:val="516033C2"/>
    <w:rsid w:val="518B6D1A"/>
    <w:rsid w:val="51A563F0"/>
    <w:rsid w:val="51B36FC0"/>
    <w:rsid w:val="51DB4EE2"/>
    <w:rsid w:val="51F25D1A"/>
    <w:rsid w:val="522D4846"/>
    <w:rsid w:val="523E07C4"/>
    <w:rsid w:val="5246001F"/>
    <w:rsid w:val="525016C2"/>
    <w:rsid w:val="525550E6"/>
    <w:rsid w:val="526A6404"/>
    <w:rsid w:val="526F3A1A"/>
    <w:rsid w:val="52795345"/>
    <w:rsid w:val="527D4D43"/>
    <w:rsid w:val="53073C53"/>
    <w:rsid w:val="531545B9"/>
    <w:rsid w:val="531B14AC"/>
    <w:rsid w:val="532D2B78"/>
    <w:rsid w:val="538B7044"/>
    <w:rsid w:val="5422712C"/>
    <w:rsid w:val="542B1125"/>
    <w:rsid w:val="54332E93"/>
    <w:rsid w:val="546B6463"/>
    <w:rsid w:val="54967B39"/>
    <w:rsid w:val="5497375E"/>
    <w:rsid w:val="54B5148C"/>
    <w:rsid w:val="54BE6D62"/>
    <w:rsid w:val="54E84B7F"/>
    <w:rsid w:val="54E9455B"/>
    <w:rsid w:val="550C4C55"/>
    <w:rsid w:val="551C7311"/>
    <w:rsid w:val="55274954"/>
    <w:rsid w:val="55355F24"/>
    <w:rsid w:val="55480E34"/>
    <w:rsid w:val="554D76B0"/>
    <w:rsid w:val="55781446"/>
    <w:rsid w:val="558E09E9"/>
    <w:rsid w:val="558E2409"/>
    <w:rsid w:val="55A32A47"/>
    <w:rsid w:val="55AB559B"/>
    <w:rsid w:val="55AD51BF"/>
    <w:rsid w:val="55BC74F5"/>
    <w:rsid w:val="55CE0ED4"/>
    <w:rsid w:val="560844E0"/>
    <w:rsid w:val="56113777"/>
    <w:rsid w:val="567E66C5"/>
    <w:rsid w:val="56847334"/>
    <w:rsid w:val="5692553C"/>
    <w:rsid w:val="56A044AC"/>
    <w:rsid w:val="56CE4A87"/>
    <w:rsid w:val="56E67C00"/>
    <w:rsid w:val="56F057A4"/>
    <w:rsid w:val="5721105B"/>
    <w:rsid w:val="573576D2"/>
    <w:rsid w:val="57612A5A"/>
    <w:rsid w:val="57790B23"/>
    <w:rsid w:val="579E22C3"/>
    <w:rsid w:val="57B91294"/>
    <w:rsid w:val="57CB06A3"/>
    <w:rsid w:val="57E41EC7"/>
    <w:rsid w:val="57EF72BE"/>
    <w:rsid w:val="58201313"/>
    <w:rsid w:val="58392044"/>
    <w:rsid w:val="5875340D"/>
    <w:rsid w:val="587F62DE"/>
    <w:rsid w:val="58C56F34"/>
    <w:rsid w:val="58D21C48"/>
    <w:rsid w:val="58DB333C"/>
    <w:rsid w:val="58EB59FC"/>
    <w:rsid w:val="59041EDE"/>
    <w:rsid w:val="59136CCB"/>
    <w:rsid w:val="5A1A070F"/>
    <w:rsid w:val="5A3317D1"/>
    <w:rsid w:val="5A7F67C4"/>
    <w:rsid w:val="5AAB29A9"/>
    <w:rsid w:val="5ABC3575"/>
    <w:rsid w:val="5AD16A40"/>
    <w:rsid w:val="5AF9406C"/>
    <w:rsid w:val="5B037472"/>
    <w:rsid w:val="5B0773C6"/>
    <w:rsid w:val="5B232188"/>
    <w:rsid w:val="5B654330"/>
    <w:rsid w:val="5B926213"/>
    <w:rsid w:val="5B93394F"/>
    <w:rsid w:val="5B943F16"/>
    <w:rsid w:val="5B9B1629"/>
    <w:rsid w:val="5BA605EC"/>
    <w:rsid w:val="5BBF45E1"/>
    <w:rsid w:val="5BCA3A6F"/>
    <w:rsid w:val="5BD7042A"/>
    <w:rsid w:val="5BDD4095"/>
    <w:rsid w:val="5BE210BB"/>
    <w:rsid w:val="5C612B51"/>
    <w:rsid w:val="5C871960"/>
    <w:rsid w:val="5D024804"/>
    <w:rsid w:val="5D200281"/>
    <w:rsid w:val="5D7874FB"/>
    <w:rsid w:val="5D82090B"/>
    <w:rsid w:val="5D845EA0"/>
    <w:rsid w:val="5D99669E"/>
    <w:rsid w:val="5DC6470A"/>
    <w:rsid w:val="5DCD6945"/>
    <w:rsid w:val="5E042FD5"/>
    <w:rsid w:val="5E1D14D9"/>
    <w:rsid w:val="5E2D280A"/>
    <w:rsid w:val="5E5F689B"/>
    <w:rsid w:val="5E6C3504"/>
    <w:rsid w:val="5E924C05"/>
    <w:rsid w:val="5E9C6E9E"/>
    <w:rsid w:val="5EAC0EE7"/>
    <w:rsid w:val="5EC83A69"/>
    <w:rsid w:val="5EE25574"/>
    <w:rsid w:val="5F1117B9"/>
    <w:rsid w:val="5F2479A8"/>
    <w:rsid w:val="5F462DB8"/>
    <w:rsid w:val="5F4B7A04"/>
    <w:rsid w:val="5F887EC9"/>
    <w:rsid w:val="5F983969"/>
    <w:rsid w:val="5FA647F3"/>
    <w:rsid w:val="5FBE38EB"/>
    <w:rsid w:val="5FDD1F3F"/>
    <w:rsid w:val="5FDE40DD"/>
    <w:rsid w:val="5FF3406B"/>
    <w:rsid w:val="603D4688"/>
    <w:rsid w:val="605144F3"/>
    <w:rsid w:val="60556D4C"/>
    <w:rsid w:val="607B17DC"/>
    <w:rsid w:val="60BD0047"/>
    <w:rsid w:val="60CD0BA4"/>
    <w:rsid w:val="60DB5930"/>
    <w:rsid w:val="60E24CF5"/>
    <w:rsid w:val="614E0C9F"/>
    <w:rsid w:val="616F58C3"/>
    <w:rsid w:val="61727992"/>
    <w:rsid w:val="617F5455"/>
    <w:rsid w:val="618D7A1E"/>
    <w:rsid w:val="619D366A"/>
    <w:rsid w:val="61AE3FD5"/>
    <w:rsid w:val="61B551C2"/>
    <w:rsid w:val="61E77CDC"/>
    <w:rsid w:val="62022CBB"/>
    <w:rsid w:val="62035FE1"/>
    <w:rsid w:val="621B659D"/>
    <w:rsid w:val="62377985"/>
    <w:rsid w:val="627C183B"/>
    <w:rsid w:val="62C90F25"/>
    <w:rsid w:val="62F8717B"/>
    <w:rsid w:val="6303320C"/>
    <w:rsid w:val="63134FD0"/>
    <w:rsid w:val="63352116"/>
    <w:rsid w:val="633C04B8"/>
    <w:rsid w:val="633D4170"/>
    <w:rsid w:val="63462575"/>
    <w:rsid w:val="63587624"/>
    <w:rsid w:val="636B5EB0"/>
    <w:rsid w:val="63A0511B"/>
    <w:rsid w:val="63C4755A"/>
    <w:rsid w:val="63C7440D"/>
    <w:rsid w:val="64A14A38"/>
    <w:rsid w:val="64B768A5"/>
    <w:rsid w:val="64C6350C"/>
    <w:rsid w:val="64D5744C"/>
    <w:rsid w:val="64DC4304"/>
    <w:rsid w:val="659238B6"/>
    <w:rsid w:val="65D37BA4"/>
    <w:rsid w:val="66014008"/>
    <w:rsid w:val="660A63A4"/>
    <w:rsid w:val="6635067F"/>
    <w:rsid w:val="66CD06D1"/>
    <w:rsid w:val="66F5189E"/>
    <w:rsid w:val="677738FD"/>
    <w:rsid w:val="677B39DA"/>
    <w:rsid w:val="67871D9E"/>
    <w:rsid w:val="67C8776F"/>
    <w:rsid w:val="681D2A10"/>
    <w:rsid w:val="682D4AF8"/>
    <w:rsid w:val="68410A74"/>
    <w:rsid w:val="684F1F87"/>
    <w:rsid w:val="68555008"/>
    <w:rsid w:val="68572992"/>
    <w:rsid w:val="68712645"/>
    <w:rsid w:val="68B542AE"/>
    <w:rsid w:val="68D23942"/>
    <w:rsid w:val="69327062"/>
    <w:rsid w:val="694625EB"/>
    <w:rsid w:val="694D3556"/>
    <w:rsid w:val="6984565D"/>
    <w:rsid w:val="69B06BE1"/>
    <w:rsid w:val="6A1057A3"/>
    <w:rsid w:val="6A11484B"/>
    <w:rsid w:val="6A80346D"/>
    <w:rsid w:val="6AC975E8"/>
    <w:rsid w:val="6AD92F41"/>
    <w:rsid w:val="6ADD3B5E"/>
    <w:rsid w:val="6AF01018"/>
    <w:rsid w:val="6B064E9F"/>
    <w:rsid w:val="6B25650D"/>
    <w:rsid w:val="6B3821C7"/>
    <w:rsid w:val="6B3C33C7"/>
    <w:rsid w:val="6B425E8B"/>
    <w:rsid w:val="6C066D46"/>
    <w:rsid w:val="6C5D7ADA"/>
    <w:rsid w:val="6C8C2E23"/>
    <w:rsid w:val="6CD47A7A"/>
    <w:rsid w:val="6CDA1493"/>
    <w:rsid w:val="6CFF6662"/>
    <w:rsid w:val="6D0668D1"/>
    <w:rsid w:val="6D075C50"/>
    <w:rsid w:val="6D1E173C"/>
    <w:rsid w:val="6D3623CB"/>
    <w:rsid w:val="6D3D39F4"/>
    <w:rsid w:val="6D684568"/>
    <w:rsid w:val="6D7C593A"/>
    <w:rsid w:val="6DE1489C"/>
    <w:rsid w:val="6E5E3972"/>
    <w:rsid w:val="6E913FDB"/>
    <w:rsid w:val="6F1962A4"/>
    <w:rsid w:val="6F1D7530"/>
    <w:rsid w:val="6F347214"/>
    <w:rsid w:val="6F481142"/>
    <w:rsid w:val="6F683873"/>
    <w:rsid w:val="6F6D2EDC"/>
    <w:rsid w:val="6F833349"/>
    <w:rsid w:val="6FB44E68"/>
    <w:rsid w:val="6FE14DD3"/>
    <w:rsid w:val="6FEB5625"/>
    <w:rsid w:val="6FF077F5"/>
    <w:rsid w:val="6FF25CDD"/>
    <w:rsid w:val="701A14ED"/>
    <w:rsid w:val="704020FA"/>
    <w:rsid w:val="70480E97"/>
    <w:rsid w:val="70587444"/>
    <w:rsid w:val="707C4DA7"/>
    <w:rsid w:val="708C5F8F"/>
    <w:rsid w:val="70950576"/>
    <w:rsid w:val="70A26911"/>
    <w:rsid w:val="70D55A53"/>
    <w:rsid w:val="71513618"/>
    <w:rsid w:val="715B6653"/>
    <w:rsid w:val="715C4049"/>
    <w:rsid w:val="718375BE"/>
    <w:rsid w:val="71D94D44"/>
    <w:rsid w:val="71E94361"/>
    <w:rsid w:val="71EF1BFB"/>
    <w:rsid w:val="71EF2CB3"/>
    <w:rsid w:val="71F80EDE"/>
    <w:rsid w:val="721511AF"/>
    <w:rsid w:val="7278696E"/>
    <w:rsid w:val="727A3C29"/>
    <w:rsid w:val="72A10820"/>
    <w:rsid w:val="72C30FC9"/>
    <w:rsid w:val="72CC69B9"/>
    <w:rsid w:val="734819F2"/>
    <w:rsid w:val="73577E87"/>
    <w:rsid w:val="735E4456"/>
    <w:rsid w:val="73636DA3"/>
    <w:rsid w:val="73920EBF"/>
    <w:rsid w:val="73A74E1C"/>
    <w:rsid w:val="73B338C8"/>
    <w:rsid w:val="73C92822"/>
    <w:rsid w:val="73E247F1"/>
    <w:rsid w:val="74142F33"/>
    <w:rsid w:val="7452064E"/>
    <w:rsid w:val="746D0B6B"/>
    <w:rsid w:val="74C21A8C"/>
    <w:rsid w:val="74DF5439"/>
    <w:rsid w:val="74F579F0"/>
    <w:rsid w:val="75071439"/>
    <w:rsid w:val="753F14D6"/>
    <w:rsid w:val="75497CA3"/>
    <w:rsid w:val="7585185D"/>
    <w:rsid w:val="759751EE"/>
    <w:rsid w:val="759A6C84"/>
    <w:rsid w:val="76193DFA"/>
    <w:rsid w:val="761A519B"/>
    <w:rsid w:val="761D4397"/>
    <w:rsid w:val="76A36788"/>
    <w:rsid w:val="76F115AC"/>
    <w:rsid w:val="77043E82"/>
    <w:rsid w:val="777C4ECD"/>
    <w:rsid w:val="77955421"/>
    <w:rsid w:val="779F65F7"/>
    <w:rsid w:val="77D16557"/>
    <w:rsid w:val="77E3618D"/>
    <w:rsid w:val="77E52FC1"/>
    <w:rsid w:val="77F8262E"/>
    <w:rsid w:val="77F913DE"/>
    <w:rsid w:val="78214129"/>
    <w:rsid w:val="78353345"/>
    <w:rsid w:val="78526E34"/>
    <w:rsid w:val="785C1FD4"/>
    <w:rsid w:val="7866362E"/>
    <w:rsid w:val="78B06683"/>
    <w:rsid w:val="78DB0EFA"/>
    <w:rsid w:val="798B7514"/>
    <w:rsid w:val="79C0655A"/>
    <w:rsid w:val="7A064AD5"/>
    <w:rsid w:val="7A5147A3"/>
    <w:rsid w:val="7A911F46"/>
    <w:rsid w:val="7A9B3CF3"/>
    <w:rsid w:val="7AB90FAB"/>
    <w:rsid w:val="7AF014B9"/>
    <w:rsid w:val="7B0A4370"/>
    <w:rsid w:val="7B130D4E"/>
    <w:rsid w:val="7B161BF6"/>
    <w:rsid w:val="7B1931DF"/>
    <w:rsid w:val="7B2F3497"/>
    <w:rsid w:val="7B5C47A2"/>
    <w:rsid w:val="7B5F5B2A"/>
    <w:rsid w:val="7B612CC0"/>
    <w:rsid w:val="7B685775"/>
    <w:rsid w:val="7B6D3D15"/>
    <w:rsid w:val="7BC90D97"/>
    <w:rsid w:val="7BE13DCA"/>
    <w:rsid w:val="7BE51F49"/>
    <w:rsid w:val="7BFB1316"/>
    <w:rsid w:val="7C5D3282"/>
    <w:rsid w:val="7C5E72E8"/>
    <w:rsid w:val="7C624A4B"/>
    <w:rsid w:val="7CC33D52"/>
    <w:rsid w:val="7CE3278B"/>
    <w:rsid w:val="7CF41FEA"/>
    <w:rsid w:val="7CFC7D9A"/>
    <w:rsid w:val="7D0C35D2"/>
    <w:rsid w:val="7D0E2398"/>
    <w:rsid w:val="7D1347DF"/>
    <w:rsid w:val="7D2633A4"/>
    <w:rsid w:val="7D54018E"/>
    <w:rsid w:val="7D624406"/>
    <w:rsid w:val="7D6864F6"/>
    <w:rsid w:val="7D803C20"/>
    <w:rsid w:val="7DD6409E"/>
    <w:rsid w:val="7E0A472B"/>
    <w:rsid w:val="7E494DEC"/>
    <w:rsid w:val="7E5F6A9D"/>
    <w:rsid w:val="7E7702B6"/>
    <w:rsid w:val="7E7713DD"/>
    <w:rsid w:val="7E877A52"/>
    <w:rsid w:val="7E8A00E4"/>
    <w:rsid w:val="7EA95E8D"/>
    <w:rsid w:val="7EAA45DE"/>
    <w:rsid w:val="7EFF4BAF"/>
    <w:rsid w:val="7F6C60EF"/>
    <w:rsid w:val="7F93088C"/>
    <w:rsid w:val="7F9F53F2"/>
    <w:rsid w:val="7FCA4C5F"/>
    <w:rsid w:val="7FD01E11"/>
    <w:rsid w:val="7FD91C23"/>
    <w:rsid w:val="7FE21AE0"/>
    <w:rsid w:val="BFDE36D1"/>
    <w:rsid w:val="FF6E5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spacing w:line="578" w:lineRule="auto"/>
      <w:outlineLvl w:val="0"/>
    </w:pPr>
    <w:rPr>
      <w:b/>
      <w:bCs/>
      <w:kern w:val="44"/>
      <w:sz w:val="44"/>
      <w:szCs w:val="44"/>
    </w:rPr>
  </w:style>
  <w:style w:type="paragraph" w:styleId="3">
    <w:name w:val="heading 2"/>
    <w:basedOn w:val="1"/>
    <w:next w:val="1"/>
    <w:link w:val="52"/>
    <w:qFormat/>
    <w:uiPriority w:val="0"/>
    <w:pPr>
      <w:keepNext/>
      <w:keepLines/>
      <w:spacing w:line="416" w:lineRule="auto"/>
      <w:outlineLvl w:val="1"/>
    </w:pPr>
    <w:rPr>
      <w:rFonts w:ascii="Arial" w:hAnsi="Arial" w:eastAsia="黑体"/>
      <w:bCs/>
      <w:sz w:val="32"/>
      <w:szCs w:val="32"/>
    </w:rPr>
  </w:style>
  <w:style w:type="paragraph" w:styleId="4">
    <w:name w:val="heading 3"/>
    <w:basedOn w:val="1"/>
    <w:next w:val="1"/>
    <w:link w:val="53"/>
    <w:qFormat/>
    <w:uiPriority w:val="0"/>
    <w:pPr>
      <w:keepNext/>
      <w:keepLines/>
      <w:spacing w:line="416" w:lineRule="auto"/>
      <w:outlineLvl w:val="2"/>
    </w:pPr>
    <w:rPr>
      <w:rFonts w:eastAsia="黑体"/>
      <w:bCs/>
      <w:kern w:val="0"/>
      <w:sz w:val="24"/>
      <w:szCs w:val="32"/>
    </w:rPr>
  </w:style>
  <w:style w:type="paragraph" w:styleId="5">
    <w:name w:val="heading 4"/>
    <w:basedOn w:val="1"/>
    <w:next w:val="1"/>
    <w:qFormat/>
    <w:uiPriority w:val="0"/>
    <w:pPr>
      <w:keepNext/>
      <w:keepLines/>
      <w:spacing w:line="376" w:lineRule="auto"/>
      <w:outlineLvl w:val="3"/>
    </w:pPr>
    <w:rPr>
      <w:rFonts w:ascii="Arial" w:hAnsi="Arial" w:eastAsia="黑体"/>
      <w:b/>
      <w:bCs/>
      <w:sz w:val="28"/>
      <w:szCs w:val="28"/>
    </w:rPr>
  </w:style>
  <w:style w:type="paragraph" w:styleId="6">
    <w:name w:val="heading 6"/>
    <w:basedOn w:val="1"/>
    <w:next w:val="1"/>
    <w:qFormat/>
    <w:uiPriority w:val="0"/>
    <w:pPr>
      <w:keepNext/>
      <w:keepLines/>
      <w:widowControl/>
      <w:tabs>
        <w:tab w:val="left" w:pos="1440"/>
      </w:tabs>
      <w:spacing w:line="320" w:lineRule="auto"/>
      <w:ind w:left="1152" w:hanging="1152"/>
      <w:jc w:val="left"/>
      <w:outlineLvl w:val="5"/>
    </w:pPr>
    <w:rPr>
      <w:rFonts w:ascii="Arial" w:hAnsi="Arial" w:eastAsia="黑体"/>
      <w:b/>
      <w:bCs/>
      <w:kern w:val="0"/>
      <w:sz w:val="24"/>
    </w:rPr>
  </w:style>
  <w:style w:type="paragraph" w:styleId="7">
    <w:name w:val="heading 7"/>
    <w:basedOn w:val="1"/>
    <w:next w:val="1"/>
    <w:qFormat/>
    <w:uiPriority w:val="0"/>
    <w:pPr>
      <w:keepNext/>
      <w:keepLines/>
      <w:widowControl/>
      <w:tabs>
        <w:tab w:val="left" w:pos="2520"/>
      </w:tabs>
      <w:spacing w:line="320" w:lineRule="auto"/>
      <w:ind w:left="1296" w:hanging="1296"/>
      <w:jc w:val="left"/>
      <w:outlineLvl w:val="6"/>
    </w:pPr>
    <w:rPr>
      <w:b/>
      <w:bCs/>
      <w:kern w:val="0"/>
      <w:sz w:val="24"/>
    </w:rPr>
  </w:style>
  <w:style w:type="paragraph" w:styleId="8">
    <w:name w:val="heading 8"/>
    <w:basedOn w:val="1"/>
    <w:next w:val="1"/>
    <w:qFormat/>
    <w:uiPriority w:val="0"/>
    <w:pPr>
      <w:keepNext/>
      <w:keepLines/>
      <w:widowControl/>
      <w:tabs>
        <w:tab w:val="left" w:pos="1440"/>
      </w:tabs>
      <w:spacing w:line="320" w:lineRule="auto"/>
      <w:ind w:left="1440" w:hanging="1440"/>
      <w:jc w:val="left"/>
      <w:outlineLvl w:val="7"/>
    </w:pPr>
    <w:rPr>
      <w:rFonts w:ascii="Arial" w:hAnsi="Arial" w:eastAsia="黑体"/>
      <w:kern w:val="0"/>
      <w:sz w:val="24"/>
    </w:rPr>
  </w:style>
  <w:style w:type="paragraph" w:styleId="9">
    <w:name w:val="heading 9"/>
    <w:basedOn w:val="1"/>
    <w:next w:val="1"/>
    <w:qFormat/>
    <w:uiPriority w:val="0"/>
    <w:pPr>
      <w:keepNext/>
      <w:keepLines/>
      <w:widowControl/>
      <w:tabs>
        <w:tab w:val="left" w:pos="1584"/>
      </w:tabs>
      <w:spacing w:line="320" w:lineRule="auto"/>
      <w:ind w:left="1584" w:hanging="1584"/>
      <w:jc w:val="left"/>
      <w:outlineLvl w:val="8"/>
    </w:pPr>
    <w:rPr>
      <w:rFonts w:ascii="Arial" w:hAnsi="Arial" w:eastAsia="黑体"/>
      <w:kern w:val="0"/>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link w:val="54"/>
    <w:qFormat/>
    <w:uiPriority w:val="0"/>
    <w:pPr>
      <w:ind w:firstLine="420" w:firstLineChars="200"/>
    </w:pPr>
  </w:style>
  <w:style w:type="paragraph" w:styleId="11">
    <w:name w:val="index 5"/>
    <w:basedOn w:val="1"/>
    <w:next w:val="1"/>
    <w:qFormat/>
    <w:uiPriority w:val="0"/>
    <w:pPr>
      <w:ind w:left="1050" w:hanging="210" w:firstLineChars="200"/>
      <w:jc w:val="left"/>
    </w:pPr>
    <w:rPr>
      <w:sz w:val="18"/>
      <w:szCs w:val="18"/>
      <w:lang w:eastAsia="zh-TW"/>
    </w:rPr>
  </w:style>
  <w:style w:type="paragraph" w:styleId="12">
    <w:name w:val="Document Map"/>
    <w:basedOn w:val="1"/>
    <w:semiHidden/>
    <w:qFormat/>
    <w:uiPriority w:val="0"/>
    <w:pPr>
      <w:shd w:val="clear" w:color="auto" w:fill="000080"/>
    </w:pPr>
  </w:style>
  <w:style w:type="paragraph" w:styleId="13">
    <w:name w:val="annotation text"/>
    <w:basedOn w:val="1"/>
    <w:link w:val="55"/>
    <w:semiHidden/>
    <w:qFormat/>
    <w:uiPriority w:val="0"/>
    <w:pPr>
      <w:jc w:val="left"/>
    </w:pPr>
  </w:style>
  <w:style w:type="paragraph" w:styleId="14">
    <w:name w:val="Body Text 3"/>
    <w:basedOn w:val="1"/>
    <w:qFormat/>
    <w:uiPriority w:val="0"/>
    <w:rPr>
      <w:rFonts w:ascii="宋体"/>
      <w:sz w:val="24"/>
      <w:szCs w:val="20"/>
    </w:rPr>
  </w:style>
  <w:style w:type="paragraph" w:styleId="15">
    <w:name w:val="Body Text"/>
    <w:basedOn w:val="1"/>
    <w:qFormat/>
    <w:uiPriority w:val="0"/>
  </w:style>
  <w:style w:type="paragraph" w:styleId="16">
    <w:name w:val="Body Text Indent"/>
    <w:basedOn w:val="1"/>
    <w:next w:val="17"/>
    <w:link w:val="56"/>
    <w:qFormat/>
    <w:uiPriority w:val="0"/>
    <w:pPr>
      <w:ind w:left="420" w:leftChars="200"/>
    </w:pPr>
  </w:style>
  <w:style w:type="paragraph" w:styleId="17">
    <w:name w:val="envelope return"/>
    <w:basedOn w:val="1"/>
    <w:unhideWhenUsed/>
    <w:qFormat/>
    <w:uiPriority w:val="99"/>
    <w:pPr>
      <w:snapToGrid w:val="0"/>
    </w:pPr>
    <w:rPr>
      <w:rFonts w:ascii="Arial" w:hAnsi="Arial"/>
    </w:rPr>
  </w:style>
  <w:style w:type="paragraph" w:styleId="18">
    <w:name w:val="toc 3"/>
    <w:basedOn w:val="1"/>
    <w:next w:val="1"/>
    <w:qFormat/>
    <w:uiPriority w:val="39"/>
    <w:pPr>
      <w:ind w:left="840" w:leftChars="400"/>
    </w:pPr>
  </w:style>
  <w:style w:type="paragraph" w:styleId="19">
    <w:name w:val="Plain Text"/>
    <w:basedOn w:val="1"/>
    <w:link w:val="57"/>
    <w:qFormat/>
    <w:uiPriority w:val="0"/>
    <w:rPr>
      <w:rFonts w:ascii="宋体" w:hAnsi="Courier New"/>
      <w:szCs w:val="20"/>
    </w:rPr>
  </w:style>
  <w:style w:type="paragraph" w:styleId="20">
    <w:name w:val="Date"/>
    <w:basedOn w:val="1"/>
    <w:next w:val="1"/>
    <w:link w:val="83"/>
    <w:qFormat/>
    <w:uiPriority w:val="0"/>
    <w:pPr>
      <w:ind w:left="100" w:leftChars="2500"/>
    </w:pPr>
  </w:style>
  <w:style w:type="paragraph" w:styleId="21">
    <w:name w:val="Body Text Indent 2"/>
    <w:basedOn w:val="1"/>
    <w:qFormat/>
    <w:uiPriority w:val="0"/>
    <w:pPr>
      <w:spacing w:line="480" w:lineRule="auto"/>
      <w:ind w:left="420" w:leftChars="200"/>
    </w:pPr>
  </w:style>
  <w:style w:type="paragraph" w:styleId="22">
    <w:name w:val="Balloon Text"/>
    <w:basedOn w:val="1"/>
    <w:link w:val="84"/>
    <w:semiHidden/>
    <w:qFormat/>
    <w:uiPriority w:val="0"/>
    <w:rPr>
      <w:sz w:val="18"/>
      <w:szCs w:val="18"/>
    </w:rPr>
  </w:style>
  <w:style w:type="paragraph" w:styleId="23">
    <w:name w:val="footer"/>
    <w:basedOn w:val="1"/>
    <w:link w:val="85"/>
    <w:qFormat/>
    <w:uiPriority w:val="0"/>
    <w:pPr>
      <w:tabs>
        <w:tab w:val="center" w:pos="4153"/>
        <w:tab w:val="right" w:pos="8306"/>
      </w:tabs>
      <w:snapToGrid w:val="0"/>
      <w:jc w:val="left"/>
    </w:pPr>
    <w:rPr>
      <w:sz w:val="18"/>
      <w:szCs w:val="18"/>
    </w:rPr>
  </w:style>
  <w:style w:type="paragraph" w:styleId="24">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footnote text"/>
    <w:basedOn w:val="1"/>
    <w:next w:val="11"/>
    <w:link w:val="88"/>
    <w:qFormat/>
    <w:uiPriority w:val="0"/>
    <w:pPr>
      <w:adjustRightInd w:val="0"/>
      <w:snapToGrid w:val="0"/>
      <w:spacing w:line="420" w:lineRule="atLeast"/>
      <w:ind w:firstLine="454"/>
      <w:jc w:val="left"/>
      <w:textAlignment w:val="baseline"/>
    </w:pPr>
    <w:rPr>
      <w:kern w:val="0"/>
      <w:sz w:val="18"/>
      <w:szCs w:val="20"/>
      <w:lang w:val="zh-CN"/>
    </w:rPr>
  </w:style>
  <w:style w:type="paragraph" w:styleId="27">
    <w:name w:val="Body Text Indent 3"/>
    <w:basedOn w:val="1"/>
    <w:qFormat/>
    <w:uiPriority w:val="0"/>
    <w:pPr>
      <w:ind w:left="420" w:leftChars="200"/>
    </w:pPr>
    <w:rPr>
      <w:sz w:val="16"/>
      <w:szCs w:val="16"/>
    </w:rPr>
  </w:style>
  <w:style w:type="paragraph" w:styleId="28">
    <w:name w:val="toc 2"/>
    <w:basedOn w:val="1"/>
    <w:next w:val="1"/>
    <w:qFormat/>
    <w:uiPriority w:val="39"/>
    <w:pPr>
      <w:ind w:left="420" w:leftChars="200"/>
    </w:pPr>
  </w:style>
  <w:style w:type="paragraph" w:styleId="29">
    <w:name w:val="Body Text 2"/>
    <w:basedOn w:val="1"/>
    <w:qFormat/>
    <w:uiPriority w:val="0"/>
    <w:pPr>
      <w:spacing w:line="360" w:lineRule="auto"/>
    </w:pPr>
    <w:rPr>
      <w:rFonts w:ascii="宋体"/>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32">
    <w:name w:val="annotation subject"/>
    <w:basedOn w:val="13"/>
    <w:next w:val="13"/>
    <w:link w:val="87"/>
    <w:semiHidden/>
    <w:qFormat/>
    <w:uiPriority w:val="0"/>
    <w:rPr>
      <w:b/>
      <w:bCs/>
    </w:rPr>
  </w:style>
  <w:style w:type="paragraph" w:styleId="33">
    <w:name w:val="Body Text First Indent 2"/>
    <w:basedOn w:val="16"/>
    <w:link w:val="81"/>
    <w:unhideWhenUsed/>
    <w:qFormat/>
    <w:uiPriority w:val="99"/>
    <w:pPr>
      <w:spacing w:after="120"/>
      <w:ind w:firstLine="420" w:firstLineChars="200"/>
    </w:pPr>
  </w:style>
  <w:style w:type="table" w:styleId="35">
    <w:name w:val="Table Grid"/>
    <w:basedOn w:val="34"/>
    <w:unhideWhenUsed/>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7">
    <w:name w:val="Strong"/>
    <w:basedOn w:val="36"/>
    <w:qFormat/>
    <w:uiPriority w:val="0"/>
    <w:rPr>
      <w:b/>
    </w:rPr>
  </w:style>
  <w:style w:type="character" w:styleId="38">
    <w:name w:val="page number"/>
    <w:qFormat/>
    <w:uiPriority w:val="0"/>
  </w:style>
  <w:style w:type="character" w:styleId="39">
    <w:name w:val="FollowedHyperlink"/>
    <w:qFormat/>
    <w:uiPriority w:val="0"/>
    <w:rPr>
      <w:color w:val="800080"/>
      <w:u w:val="none"/>
    </w:rPr>
  </w:style>
  <w:style w:type="character" w:styleId="40">
    <w:name w:val="HTML Definition"/>
    <w:qFormat/>
    <w:uiPriority w:val="0"/>
  </w:style>
  <w:style w:type="character" w:styleId="41">
    <w:name w:val="HTML Typewriter"/>
    <w:qFormat/>
    <w:uiPriority w:val="0"/>
    <w:rPr>
      <w:rFonts w:ascii="monospace" w:hAnsi="monospace" w:eastAsia="monospace" w:cs="monospace"/>
      <w:sz w:val="20"/>
    </w:rPr>
  </w:style>
  <w:style w:type="character" w:styleId="42">
    <w:name w:val="HTML Acronym"/>
    <w:qFormat/>
    <w:uiPriority w:val="0"/>
  </w:style>
  <w:style w:type="character" w:styleId="43">
    <w:name w:val="HTML Variable"/>
    <w:qFormat/>
    <w:uiPriority w:val="0"/>
  </w:style>
  <w:style w:type="character" w:styleId="44">
    <w:name w:val="Hyperlink"/>
    <w:qFormat/>
    <w:uiPriority w:val="99"/>
    <w:rPr>
      <w:color w:val="0000FF"/>
      <w:u w:val="none"/>
    </w:rPr>
  </w:style>
  <w:style w:type="character" w:styleId="45">
    <w:name w:val="HTML Code"/>
    <w:qFormat/>
    <w:uiPriority w:val="0"/>
    <w:rPr>
      <w:rFonts w:hint="default" w:ascii="monospace" w:hAnsi="monospace" w:eastAsia="monospace" w:cs="monospace"/>
      <w:sz w:val="20"/>
    </w:rPr>
  </w:style>
  <w:style w:type="character" w:styleId="46">
    <w:name w:val="annotation reference"/>
    <w:semiHidden/>
    <w:qFormat/>
    <w:uiPriority w:val="0"/>
    <w:rPr>
      <w:sz w:val="21"/>
      <w:szCs w:val="21"/>
    </w:rPr>
  </w:style>
  <w:style w:type="character" w:styleId="47">
    <w:name w:val="HTML Cite"/>
    <w:qFormat/>
    <w:uiPriority w:val="0"/>
  </w:style>
  <w:style w:type="character" w:styleId="48">
    <w:name w:val="HTML Keyboard"/>
    <w:qFormat/>
    <w:uiPriority w:val="0"/>
    <w:rPr>
      <w:rFonts w:hint="default" w:ascii="monospace" w:hAnsi="monospace" w:eastAsia="monospace" w:cs="monospace"/>
      <w:sz w:val="20"/>
    </w:rPr>
  </w:style>
  <w:style w:type="character" w:styleId="49">
    <w:name w:val="HTML Sample"/>
    <w:qFormat/>
    <w:uiPriority w:val="0"/>
    <w:rPr>
      <w:rFonts w:hint="default" w:ascii="monospace" w:hAnsi="monospace" w:eastAsia="monospace" w:cs="monospace"/>
    </w:rPr>
  </w:style>
  <w:style w:type="paragraph" w:customStyle="1" w:styleId="50">
    <w:name w:val="段"/>
    <w:basedOn w:val="1"/>
    <w:next w:val="1"/>
    <w:qFormat/>
    <w:uiPriority w:val="0"/>
    <w:pPr>
      <w:widowControl/>
      <w:autoSpaceDE w:val="0"/>
      <w:autoSpaceDN w:val="0"/>
      <w:ind w:firstLine="200" w:firstLineChars="200"/>
    </w:pPr>
    <w:rPr>
      <w:rFonts w:hint="eastAsia" w:ascii="宋体"/>
      <w:kern w:val="0"/>
      <w:szCs w:val="20"/>
    </w:rPr>
  </w:style>
  <w:style w:type="character" w:customStyle="1" w:styleId="51">
    <w:name w:val="标题 1 Char"/>
    <w:link w:val="2"/>
    <w:qFormat/>
    <w:uiPriority w:val="0"/>
    <w:rPr>
      <w:b/>
      <w:bCs/>
      <w:kern w:val="44"/>
      <w:sz w:val="44"/>
      <w:szCs w:val="44"/>
    </w:rPr>
  </w:style>
  <w:style w:type="character" w:customStyle="1" w:styleId="52">
    <w:name w:val="标题 2 Char"/>
    <w:link w:val="3"/>
    <w:qFormat/>
    <w:uiPriority w:val="0"/>
    <w:rPr>
      <w:rFonts w:ascii="Arial" w:hAnsi="Arial" w:eastAsia="黑体"/>
      <w:bCs/>
      <w:kern w:val="2"/>
      <w:sz w:val="32"/>
      <w:szCs w:val="32"/>
      <w:lang w:val="en-US" w:eastAsia="zh-CN" w:bidi="ar-SA"/>
    </w:rPr>
  </w:style>
  <w:style w:type="character" w:customStyle="1" w:styleId="53">
    <w:name w:val="标题 3 Char"/>
    <w:link w:val="4"/>
    <w:qFormat/>
    <w:uiPriority w:val="0"/>
    <w:rPr>
      <w:rFonts w:ascii="Times New Roman" w:hAnsi="Times New Roman" w:eastAsia="黑体"/>
      <w:bCs/>
      <w:sz w:val="24"/>
      <w:szCs w:val="32"/>
    </w:rPr>
  </w:style>
  <w:style w:type="character" w:customStyle="1" w:styleId="54">
    <w:name w:val="正文缩进 Char"/>
    <w:link w:val="10"/>
    <w:qFormat/>
    <w:uiPriority w:val="0"/>
    <w:rPr>
      <w:kern w:val="2"/>
      <w:sz w:val="21"/>
      <w:szCs w:val="24"/>
    </w:rPr>
  </w:style>
  <w:style w:type="character" w:customStyle="1" w:styleId="55">
    <w:name w:val="批注文字 Char"/>
    <w:link w:val="13"/>
    <w:semiHidden/>
    <w:qFormat/>
    <w:uiPriority w:val="0"/>
    <w:rPr>
      <w:kern w:val="2"/>
      <w:sz w:val="21"/>
      <w:szCs w:val="24"/>
    </w:rPr>
  </w:style>
  <w:style w:type="character" w:customStyle="1" w:styleId="56">
    <w:name w:val="正文文本缩进 Char"/>
    <w:link w:val="16"/>
    <w:qFormat/>
    <w:uiPriority w:val="0"/>
    <w:rPr>
      <w:kern w:val="2"/>
      <w:sz w:val="21"/>
      <w:szCs w:val="24"/>
    </w:rPr>
  </w:style>
  <w:style w:type="character" w:customStyle="1" w:styleId="57">
    <w:name w:val="纯文本 Char"/>
    <w:link w:val="19"/>
    <w:qFormat/>
    <w:uiPriority w:val="0"/>
    <w:rPr>
      <w:rFonts w:ascii="宋体" w:hAnsi="Courier New" w:eastAsia="宋体"/>
      <w:kern w:val="2"/>
      <w:sz w:val="21"/>
      <w:lang w:val="en-US" w:eastAsia="zh-CN" w:bidi="ar-SA"/>
    </w:rPr>
  </w:style>
  <w:style w:type="character" w:customStyle="1" w:styleId="58">
    <w:name w:val="fontstyle21"/>
    <w:qFormat/>
    <w:uiPriority w:val="0"/>
    <w:rPr>
      <w:rFonts w:hint="default" w:ascii="Times New Roman" w:hAnsi="Times New Roman" w:cs="Times New Roman"/>
      <w:color w:val="000000"/>
      <w:sz w:val="24"/>
      <w:szCs w:val="24"/>
    </w:rPr>
  </w:style>
  <w:style w:type="character" w:customStyle="1" w:styleId="59">
    <w:name w:val="fontstyle11"/>
    <w:qFormat/>
    <w:uiPriority w:val="0"/>
    <w:rPr>
      <w:rFonts w:hint="eastAsia" w:ascii="宋体" w:hAnsi="宋体" w:eastAsia="宋体"/>
      <w:color w:val="000000"/>
      <w:sz w:val="24"/>
      <w:szCs w:val="24"/>
    </w:rPr>
  </w:style>
  <w:style w:type="character" w:customStyle="1" w:styleId="60">
    <w:name w:val="fontstyle01"/>
    <w:qFormat/>
    <w:uiPriority w:val="0"/>
    <w:rPr>
      <w:rFonts w:hint="eastAsia" w:ascii="宋体" w:hAnsi="宋体" w:eastAsia="宋体"/>
      <w:color w:val="000000"/>
      <w:sz w:val="24"/>
      <w:szCs w:val="24"/>
    </w:rPr>
  </w:style>
  <w:style w:type="character" w:customStyle="1" w:styleId="61">
    <w:name w:val="Char Char1"/>
    <w:qFormat/>
    <w:uiPriority w:val="0"/>
    <w:rPr>
      <w:rFonts w:ascii="宋体" w:hAnsi="Courier New" w:eastAsia="宋体"/>
      <w:kern w:val="2"/>
      <w:sz w:val="24"/>
      <w:szCs w:val="24"/>
      <w:lang w:val="en-US" w:eastAsia="zh-CN" w:bidi="ar-SA"/>
    </w:rPr>
  </w:style>
  <w:style w:type="character" w:customStyle="1" w:styleId="62">
    <w:name w:val="hover2"/>
    <w:qFormat/>
    <w:uiPriority w:val="0"/>
    <w:rPr>
      <w:color w:val="FFFFFF"/>
    </w:rPr>
  </w:style>
  <w:style w:type="character" w:customStyle="1" w:styleId="63">
    <w:name w:val="hover1"/>
    <w:qFormat/>
    <w:uiPriority w:val="0"/>
    <w:rPr>
      <w:color w:val="5FB878"/>
    </w:rPr>
  </w:style>
  <w:style w:type="character" w:customStyle="1" w:styleId="64">
    <w:name w:val="font161"/>
    <w:qFormat/>
    <w:uiPriority w:val="0"/>
    <w:rPr>
      <w:b/>
      <w:bCs/>
      <w:sz w:val="32"/>
      <w:szCs w:val="32"/>
    </w:rPr>
  </w:style>
  <w:style w:type="character" w:customStyle="1" w:styleId="65">
    <w:name w:val="hover"/>
    <w:qFormat/>
    <w:uiPriority w:val="0"/>
    <w:rPr>
      <w:color w:val="5FB878"/>
    </w:rPr>
  </w:style>
  <w:style w:type="paragraph" w:customStyle="1" w:styleId="66">
    <w:name w:val="Char Char2"/>
    <w:basedOn w:val="12"/>
    <w:qFormat/>
    <w:uiPriority w:val="0"/>
    <w:rPr>
      <w:rFonts w:ascii="Tahoma" w:hAnsi="Tahoma"/>
      <w:sz w:val="24"/>
    </w:rPr>
  </w:style>
  <w:style w:type="paragraph" w:styleId="67">
    <w:name w:val="List Paragraph"/>
    <w:basedOn w:val="1"/>
    <w:qFormat/>
    <w:uiPriority w:val="99"/>
    <w:pPr>
      <w:ind w:firstLine="420" w:firstLineChars="200"/>
    </w:pPr>
    <w:rPr>
      <w:rFonts w:ascii="Calibri" w:hAnsi="Calibri"/>
      <w:szCs w:val="22"/>
    </w:rPr>
  </w:style>
  <w:style w:type="paragraph" w:customStyle="1" w:styleId="68">
    <w:name w:val="Char Char2 Char Char"/>
    <w:basedOn w:val="12"/>
    <w:qFormat/>
    <w:uiPriority w:val="0"/>
    <w:rPr>
      <w:rFonts w:ascii="Tahoma" w:hAnsi="Tahoma"/>
      <w:sz w:val="24"/>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默认段落字体 Para Char Char Char Char Char Char Char Char Char1 Char Char Char Char Char Char Char"/>
    <w:basedOn w:val="12"/>
    <w:qFormat/>
    <w:uiPriority w:val="0"/>
    <w:rPr>
      <w:rFonts w:ascii="Tahoma" w:hAnsi="Tahoma"/>
      <w:sz w:val="24"/>
    </w:rPr>
  </w:style>
  <w:style w:type="paragraph" w:customStyle="1" w:styleId="71">
    <w:name w:val="表格"/>
    <w:basedOn w:val="1"/>
    <w:qFormat/>
    <w:uiPriority w:val="0"/>
    <w:pPr>
      <w:jc w:val="center"/>
      <w:textAlignment w:val="center"/>
    </w:pPr>
    <w:rPr>
      <w:rFonts w:ascii="华文细黑" w:hAnsi="华文细黑"/>
      <w:kern w:val="0"/>
      <w:szCs w:val="20"/>
    </w:rPr>
  </w:style>
  <w:style w:type="paragraph" w:customStyle="1" w:styleId="72">
    <w:name w:val="p15"/>
    <w:basedOn w:val="1"/>
    <w:qFormat/>
    <w:uiPriority w:val="0"/>
    <w:pPr>
      <w:widowControl/>
      <w:ind w:firstLine="420"/>
    </w:pPr>
    <w:rPr>
      <w:kern w:val="0"/>
      <w:szCs w:val="20"/>
    </w:rPr>
  </w:style>
  <w:style w:type="paragraph" w:customStyle="1" w:styleId="7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4">
    <w:name w:val="样式 标题 3 + (中文) 黑体 小四 非加粗 段前: 7.8 磅 段后: 0 磅 行距: 固定值 20 磅"/>
    <w:basedOn w:val="4"/>
    <w:qFormat/>
    <w:uiPriority w:val="0"/>
    <w:pPr>
      <w:spacing w:line="400" w:lineRule="exact"/>
    </w:pPr>
    <w:rPr>
      <w:rFonts w:cs="宋体"/>
      <w:b/>
      <w:bCs w:val="0"/>
      <w:szCs w:val="20"/>
    </w:rPr>
  </w:style>
  <w:style w:type="paragraph" w:customStyle="1" w:styleId="7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6">
    <w:name w:val="Table Paragraph"/>
    <w:basedOn w:val="1"/>
    <w:next w:val="75"/>
    <w:qFormat/>
    <w:uiPriority w:val="0"/>
    <w:rPr>
      <w:rFonts w:ascii="Calibri" w:hAnsi="宋体" w:cs="宋体"/>
      <w:kern w:val="0"/>
      <w:sz w:val="22"/>
      <w:szCs w:val="20"/>
    </w:rPr>
  </w:style>
  <w:style w:type="paragraph" w:customStyle="1" w:styleId="77">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8">
    <w:name w:val="1"/>
    <w:basedOn w:val="1"/>
    <w:next w:val="1"/>
    <w:qFormat/>
    <w:uiPriority w:val="0"/>
  </w:style>
  <w:style w:type="paragraph" w:customStyle="1" w:styleId="79">
    <w:name w:val="样式 标题 2 + Times New Roman 四号 非加粗 段前: 5 磅 段后: 0 磅 行距: 固定值 20..."/>
    <w:basedOn w:val="3"/>
    <w:qFormat/>
    <w:uiPriority w:val="0"/>
    <w:pPr>
      <w:spacing w:line="400" w:lineRule="exact"/>
    </w:pPr>
    <w:rPr>
      <w:rFonts w:ascii="Times New Roman" w:hAnsi="Times New Roman" w:cs="宋体"/>
      <w:b/>
      <w:bCs w:val="0"/>
      <w:sz w:val="28"/>
      <w:szCs w:val="20"/>
    </w:rPr>
  </w:style>
  <w:style w:type="paragraph" w:customStyle="1" w:styleId="8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1">
    <w:name w:val="正文首行缩进 2 Char"/>
    <w:link w:val="33"/>
    <w:qFormat/>
    <w:uiPriority w:val="0"/>
    <w:rPr>
      <w:rFonts w:hint="default" w:ascii="Times New Roman" w:hAnsi="Times New Roman" w:cs="Times New Roman"/>
      <w:kern w:val="2"/>
      <w:sz w:val="21"/>
      <w:szCs w:val="24"/>
    </w:rPr>
  </w:style>
  <w:style w:type="paragraph" w:customStyle="1" w:styleId="82">
    <w:name w:val="列表段落1"/>
    <w:basedOn w:val="1"/>
    <w:qFormat/>
    <w:uiPriority w:val="0"/>
    <w:pPr>
      <w:ind w:firstLine="420" w:firstLineChars="200"/>
    </w:pPr>
  </w:style>
  <w:style w:type="character" w:customStyle="1" w:styleId="83">
    <w:name w:val="日期 Char"/>
    <w:basedOn w:val="36"/>
    <w:link w:val="20"/>
    <w:qFormat/>
    <w:uiPriority w:val="0"/>
    <w:rPr>
      <w:rFonts w:hint="default" w:ascii="Times New Roman" w:hAnsi="Times New Roman" w:cs="Times New Roman"/>
      <w:kern w:val="2"/>
      <w:sz w:val="21"/>
      <w:szCs w:val="24"/>
    </w:rPr>
  </w:style>
  <w:style w:type="character" w:customStyle="1" w:styleId="84">
    <w:name w:val="批注框文本 Char"/>
    <w:basedOn w:val="36"/>
    <w:link w:val="22"/>
    <w:qFormat/>
    <w:uiPriority w:val="0"/>
    <w:rPr>
      <w:rFonts w:hint="default" w:ascii="Times New Roman" w:hAnsi="Times New Roman" w:cs="Times New Roman"/>
      <w:kern w:val="2"/>
      <w:sz w:val="18"/>
      <w:szCs w:val="18"/>
    </w:rPr>
  </w:style>
  <w:style w:type="character" w:customStyle="1" w:styleId="85">
    <w:name w:val="页脚 Char"/>
    <w:basedOn w:val="36"/>
    <w:link w:val="23"/>
    <w:qFormat/>
    <w:uiPriority w:val="0"/>
    <w:rPr>
      <w:rFonts w:hint="default" w:ascii="Times New Roman" w:hAnsi="Times New Roman" w:cs="Times New Roman"/>
      <w:kern w:val="2"/>
      <w:sz w:val="18"/>
      <w:szCs w:val="18"/>
    </w:rPr>
  </w:style>
  <w:style w:type="character" w:customStyle="1" w:styleId="86">
    <w:name w:val="页眉 Char"/>
    <w:basedOn w:val="36"/>
    <w:link w:val="24"/>
    <w:qFormat/>
    <w:uiPriority w:val="0"/>
    <w:rPr>
      <w:rFonts w:hint="default" w:ascii="Times New Roman" w:hAnsi="Times New Roman" w:cs="Times New Roman"/>
      <w:kern w:val="2"/>
      <w:sz w:val="18"/>
      <w:szCs w:val="18"/>
    </w:rPr>
  </w:style>
  <w:style w:type="character" w:customStyle="1" w:styleId="87">
    <w:name w:val="批注主题 Char"/>
    <w:link w:val="32"/>
    <w:qFormat/>
    <w:uiPriority w:val="0"/>
    <w:rPr>
      <w:rFonts w:hint="default" w:ascii="Times New Roman" w:hAnsi="Times New Roman" w:cs="Times New Roman"/>
      <w:b/>
      <w:bCs/>
      <w:kern w:val="2"/>
      <w:sz w:val="21"/>
      <w:szCs w:val="24"/>
    </w:rPr>
  </w:style>
  <w:style w:type="character" w:customStyle="1" w:styleId="88">
    <w:name w:val="脚注文本 Char"/>
    <w:basedOn w:val="36"/>
    <w:link w:val="26"/>
    <w:qFormat/>
    <w:uiPriority w:val="0"/>
    <w:rPr>
      <w:sz w:val="18"/>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49</Pages>
  <Words>12494</Words>
  <Characters>13273</Characters>
  <Lines>226</Lines>
  <Paragraphs>63</Paragraphs>
  <TotalTime>4</TotalTime>
  <ScaleCrop>false</ScaleCrop>
  <LinksUpToDate>false</LinksUpToDate>
  <CharactersWithSpaces>13423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2025-03-19T07:25:00Z</dcterms:created>
  <dc:creator>夏天的冰</dc:creator>
  <cp:lastModifiedBy>Syan</cp:lastModifiedBy>
  <cp:lastPrinted>2023-01-16T02:15:00Z</cp:lastPrinted>
  <dcterms:modified xsi:type="dcterms:W3CDTF">2026-05-11T07:38:55Z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4B302525662F4BB8B14D97F011C5058E_13</vt:lpwstr>
  </property>
  <property fmtid="{D5CDD505-2E9C-101B-9397-08002B2CF9AE}" pid="4" name="KSOTemplateDocerSaveRecord">
    <vt:lpwstr>eyJoZGlkIjoiMTg3N2UwNmNjMDJkYTRlMWQ4ZDQ4MDZkYWJkNDA4Y2MiLCJ1c2VySWQiOiIzNTQ2OTAxMzkifQ==</vt:lpwstr>
  </property>
</Properties>
</file>