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32"/>
          <w:szCs w:val="32"/>
        </w:rPr>
      </w:pPr>
      <w:bookmarkStart w:id="315" w:name="_GoBack"/>
      <w:bookmarkEnd w:id="315"/>
      <w:r>
        <w:rPr>
          <w:rFonts w:hint="eastAsia"/>
          <w:sz w:val="32"/>
          <w:szCs w:val="32"/>
        </w:rPr>
        <w:t xml:space="preserve"> </w:t>
      </w:r>
    </w:p>
    <w:p>
      <w:pPr>
        <w:spacing w:line="360" w:lineRule="auto"/>
        <w:jc w:val="center"/>
        <w:rPr>
          <w:b/>
          <w:bCs/>
          <w:sz w:val="52"/>
          <w:szCs w:val="52"/>
        </w:rPr>
      </w:pPr>
      <w:r>
        <w:rPr>
          <w:rFonts w:hint="default" w:ascii="仿宋" w:hAnsi="仿宋" w:eastAsia="仿宋"/>
          <w:b/>
          <w:bCs/>
          <w:sz w:val="52"/>
          <w:szCs w:val="52"/>
          <w:lang w:val="en-US" w:eastAsia="zh-CN"/>
        </w:rPr>
        <w:t>2022年</w:t>
      </w:r>
      <w:r>
        <w:rPr>
          <w:rFonts w:hint="eastAsia" w:ascii="仿宋" w:hAnsi="仿宋" w:eastAsia="仿宋"/>
          <w:b/>
          <w:bCs/>
          <w:sz w:val="52"/>
          <w:szCs w:val="52"/>
          <w:lang w:val="en-US" w:eastAsia="zh-CN"/>
        </w:rPr>
        <w:t>虹桥新村30栋含室外</w:t>
      </w:r>
      <w:r>
        <w:rPr>
          <w:rFonts w:hint="default" w:ascii="仿宋" w:hAnsi="仿宋" w:eastAsia="仿宋"/>
          <w:b/>
          <w:bCs/>
          <w:sz w:val="52"/>
          <w:szCs w:val="52"/>
          <w:lang w:val="en-US" w:eastAsia="zh-CN"/>
        </w:rPr>
        <w:t>老旧小区综合改造工程监理</w:t>
      </w:r>
      <w:r>
        <w:rPr>
          <w:rFonts w:hint="eastAsia" w:ascii="仿宋" w:hAnsi="仿宋" w:eastAsia="仿宋"/>
          <w:b/>
          <w:bCs/>
          <w:sz w:val="52"/>
          <w:szCs w:val="52"/>
          <w:lang w:val="en-US" w:eastAsia="zh-CN"/>
        </w:rPr>
        <w:t>（二次）</w:t>
      </w:r>
    </w:p>
    <w:p>
      <w:pPr>
        <w:spacing w:line="360" w:lineRule="auto"/>
        <w:jc w:val="center"/>
        <w:rPr>
          <w:rFonts w:hint="eastAsia" w:hAnsi="宋体"/>
          <w:b/>
          <w:bCs/>
          <w:sz w:val="72"/>
          <w:szCs w:val="72"/>
        </w:rPr>
      </w:pPr>
    </w:p>
    <w:p>
      <w:pPr>
        <w:spacing w:line="360" w:lineRule="auto"/>
        <w:jc w:val="center"/>
        <w:rPr>
          <w:rFonts w:hint="eastAsia" w:hAnsi="宋体"/>
          <w:b/>
          <w:bCs/>
          <w:sz w:val="72"/>
          <w:szCs w:val="72"/>
        </w:rPr>
      </w:pPr>
    </w:p>
    <w:p>
      <w:pPr>
        <w:spacing w:line="360" w:lineRule="auto"/>
        <w:jc w:val="center"/>
        <w:rPr>
          <w:b/>
          <w:bCs/>
          <w:sz w:val="72"/>
          <w:szCs w:val="72"/>
        </w:rPr>
      </w:pPr>
      <w:r>
        <w:rPr>
          <w:rFonts w:hint="eastAsia" w:hAnsi="宋体"/>
          <w:b/>
          <w:bCs/>
          <w:sz w:val="72"/>
          <w:szCs w:val="72"/>
        </w:rPr>
        <w:t>招标文件</w:t>
      </w:r>
    </w:p>
    <w:p>
      <w:pPr>
        <w:spacing w:line="360" w:lineRule="auto"/>
        <w:jc w:val="center"/>
        <w:rPr>
          <w:sz w:val="44"/>
          <w:szCs w:val="44"/>
        </w:rPr>
      </w:pPr>
      <w:r>
        <w:rPr>
          <w:rFonts w:hint="eastAsia" w:hAnsi="宋体"/>
          <w:sz w:val="44"/>
          <w:szCs w:val="44"/>
        </w:rPr>
        <w:t>（资格后审）</w:t>
      </w:r>
    </w:p>
    <w:p>
      <w:pPr>
        <w:spacing w:line="360" w:lineRule="auto"/>
        <w:rPr>
          <w:sz w:val="24"/>
        </w:rPr>
      </w:pPr>
    </w:p>
    <w:p>
      <w:pPr>
        <w:spacing w:line="360" w:lineRule="auto"/>
        <w:jc w:val="center"/>
        <w:rPr>
          <w:rFonts w:hint="default" w:eastAsia="宋体" w:cs="宋体"/>
          <w:b/>
          <w:spacing w:val="20"/>
          <w:sz w:val="48"/>
          <w:szCs w:val="48"/>
          <w:highlight w:val="yellow"/>
          <w:lang w:val="en-US" w:eastAsia="zh-CN"/>
        </w:rPr>
      </w:pPr>
      <w:r>
        <w:rPr>
          <w:rFonts w:hint="eastAsia" w:hAnsi="宋体"/>
          <w:sz w:val="30"/>
          <w:szCs w:val="30"/>
        </w:rPr>
        <w:t>项目编</w:t>
      </w:r>
      <w:r>
        <w:rPr>
          <w:rFonts w:hint="eastAsia" w:hAnsi="宋体"/>
          <w:sz w:val="30"/>
          <w:szCs w:val="30"/>
          <w:highlight w:val="yellow"/>
        </w:rPr>
        <w:t>号：</w:t>
      </w:r>
      <w:r>
        <w:rPr>
          <w:rFonts w:hAnsi="宋体"/>
          <w:sz w:val="30"/>
          <w:szCs w:val="30"/>
          <w:highlight w:val="yellow"/>
        </w:rPr>
        <w:t>CCGGB</w:t>
      </w:r>
      <w:r>
        <w:rPr>
          <w:rFonts w:hint="eastAsia" w:hAnsi="宋体"/>
          <w:sz w:val="30"/>
          <w:szCs w:val="30"/>
          <w:highlight w:val="yellow"/>
          <w:lang w:val="en-US" w:eastAsia="zh-CN"/>
        </w:rPr>
        <w:t>2022-008</w:t>
      </w:r>
    </w:p>
    <w:p>
      <w:pPr>
        <w:spacing w:line="360" w:lineRule="auto"/>
        <w:ind w:firstLine="593" w:firstLineChars="246"/>
        <w:rPr>
          <w:b/>
          <w:bCs/>
          <w:sz w:val="24"/>
        </w:rPr>
      </w:pPr>
    </w:p>
    <w:p>
      <w:pPr>
        <w:spacing w:line="360" w:lineRule="auto"/>
        <w:ind w:firstLine="593" w:firstLineChars="246"/>
        <w:rPr>
          <w:b/>
          <w:bCs/>
          <w:sz w:val="24"/>
        </w:rPr>
      </w:pPr>
    </w:p>
    <w:p>
      <w:pPr>
        <w:spacing w:line="360" w:lineRule="auto"/>
        <w:ind w:firstLine="593" w:firstLineChars="246"/>
        <w:rPr>
          <w:b/>
          <w:bCs/>
          <w:sz w:val="24"/>
        </w:rPr>
      </w:pPr>
    </w:p>
    <w:p>
      <w:pPr>
        <w:spacing w:line="360" w:lineRule="auto"/>
        <w:ind w:firstLine="593" w:firstLineChars="246"/>
        <w:rPr>
          <w:b/>
          <w:bCs/>
          <w:sz w:val="24"/>
        </w:rPr>
      </w:pPr>
    </w:p>
    <w:p>
      <w:pPr>
        <w:spacing w:line="360" w:lineRule="auto"/>
        <w:rPr>
          <w:b/>
          <w:bCs/>
          <w:sz w:val="24"/>
        </w:rPr>
      </w:pPr>
    </w:p>
    <w:p>
      <w:pPr>
        <w:spacing w:line="360" w:lineRule="auto"/>
        <w:ind w:firstLine="593" w:firstLineChars="246"/>
        <w:rPr>
          <w:b/>
          <w:bCs/>
          <w:sz w:val="24"/>
        </w:rPr>
      </w:pPr>
    </w:p>
    <w:p>
      <w:pPr>
        <w:spacing w:line="360" w:lineRule="auto"/>
        <w:ind w:firstLine="593" w:firstLineChars="246"/>
        <w:rPr>
          <w:b/>
          <w:bCs/>
          <w:sz w:val="24"/>
        </w:rPr>
      </w:pPr>
    </w:p>
    <w:p>
      <w:pPr>
        <w:spacing w:line="360" w:lineRule="auto"/>
        <w:ind w:firstLine="593" w:firstLineChars="246"/>
        <w:rPr>
          <w:b/>
          <w:bCs/>
          <w:sz w:val="24"/>
        </w:rPr>
      </w:pPr>
    </w:p>
    <w:p>
      <w:pPr>
        <w:spacing w:line="360" w:lineRule="auto"/>
        <w:ind w:firstLine="593" w:firstLineChars="246"/>
        <w:rPr>
          <w:b/>
          <w:bCs/>
          <w:sz w:val="24"/>
        </w:rPr>
      </w:pPr>
    </w:p>
    <w:p>
      <w:pPr>
        <w:pStyle w:val="8"/>
        <w:ind w:firstLine="964" w:firstLineChars="300"/>
        <w:rPr>
          <w:rFonts w:ascii="Times New Roman" w:hAnsi="宋体" w:eastAsia="宋体"/>
          <w:b/>
          <w:bCs/>
          <w:sz w:val="32"/>
          <w:szCs w:val="32"/>
          <w:u w:val="single"/>
        </w:rPr>
      </w:pPr>
      <w:r>
        <w:rPr>
          <w:rFonts w:hint="eastAsia" w:ascii="Times New Roman" w:hAnsi="宋体" w:eastAsia="宋体"/>
          <w:b/>
          <w:bCs/>
          <w:sz w:val="32"/>
          <w:szCs w:val="32"/>
        </w:rPr>
        <w:t>招标单位：</w:t>
      </w:r>
      <w:r>
        <w:rPr>
          <w:rFonts w:hint="eastAsia" w:ascii="Times New Roman" w:hAnsi="宋体" w:eastAsia="宋体"/>
          <w:b/>
          <w:bCs/>
          <w:sz w:val="32"/>
          <w:szCs w:val="32"/>
          <w:u w:val="single"/>
        </w:rPr>
        <w:t>南通市崇川区虹桥街道办事处</w:t>
      </w:r>
    </w:p>
    <w:p>
      <w:pPr>
        <w:spacing w:line="360" w:lineRule="auto"/>
        <w:ind w:firstLine="2570" w:firstLineChars="800"/>
        <w:rPr>
          <w:b/>
          <w:bCs/>
          <w:sz w:val="32"/>
          <w:szCs w:val="32"/>
          <w:u w:val="single"/>
        </w:rPr>
      </w:pPr>
      <w:r>
        <w:rPr>
          <w:rFonts w:hint="eastAsia" w:hAnsi="宋体"/>
          <w:b/>
          <w:bCs/>
          <w:sz w:val="32"/>
          <w:szCs w:val="32"/>
          <w:u w:val="single"/>
        </w:rPr>
        <w:t>南通市崇川区政府投资项目建设中心</w:t>
      </w:r>
    </w:p>
    <w:p>
      <w:pPr>
        <w:spacing w:line="360" w:lineRule="auto"/>
        <w:ind w:firstLine="964" w:firstLineChars="300"/>
        <w:rPr>
          <w:b/>
          <w:bCs/>
          <w:sz w:val="32"/>
          <w:szCs w:val="32"/>
          <w:u w:val="single"/>
        </w:rPr>
      </w:pPr>
      <w:r>
        <w:rPr>
          <w:rFonts w:hAnsi="宋体"/>
          <w:b/>
          <w:bCs/>
          <w:sz w:val="32"/>
          <w:szCs w:val="32"/>
        </w:rPr>
        <w:t>招标代理人：</w:t>
      </w:r>
      <w:r>
        <w:rPr>
          <w:rFonts w:hint="eastAsia" w:hAnsi="宋体"/>
          <w:b/>
          <w:bCs/>
          <w:sz w:val="32"/>
          <w:szCs w:val="32"/>
          <w:u w:val="single"/>
        </w:rPr>
        <w:t>江苏省江豪工程项目管理有限公司</w:t>
      </w:r>
    </w:p>
    <w:p>
      <w:pPr>
        <w:spacing w:line="360" w:lineRule="auto"/>
        <w:ind w:firstLine="964" w:firstLineChars="300"/>
        <w:rPr>
          <w:rFonts w:hint="eastAsia" w:hAnsi="宋体"/>
          <w:b/>
          <w:bCs/>
          <w:sz w:val="32"/>
          <w:szCs w:val="32"/>
          <w:u w:val="single"/>
        </w:rPr>
      </w:pPr>
      <w:r>
        <w:rPr>
          <w:rFonts w:hint="eastAsia" w:hAnsi="宋体"/>
          <w:b/>
          <w:sz w:val="32"/>
          <w:szCs w:val="32"/>
        </w:rPr>
        <w:t>日期：</w:t>
      </w:r>
      <w:r>
        <w:rPr>
          <w:rFonts w:hint="eastAsia" w:hAnsi="宋体"/>
          <w:b/>
          <w:bCs/>
          <w:sz w:val="32"/>
          <w:szCs w:val="32"/>
          <w:u w:val="single"/>
        </w:rPr>
        <w:t xml:space="preserve">   二〇二二年</w:t>
      </w:r>
      <w:r>
        <w:rPr>
          <w:rFonts w:hint="eastAsia" w:hAnsi="宋体"/>
          <w:b/>
          <w:bCs/>
          <w:sz w:val="32"/>
          <w:szCs w:val="32"/>
          <w:u w:val="single"/>
          <w:lang w:eastAsia="zh-CN"/>
        </w:rPr>
        <w:t>二</w:t>
      </w:r>
      <w:r>
        <w:rPr>
          <w:rFonts w:hint="eastAsia" w:hAnsi="宋体"/>
          <w:b/>
          <w:bCs/>
          <w:sz w:val="32"/>
          <w:szCs w:val="32"/>
          <w:u w:val="single"/>
        </w:rPr>
        <w:t>月</w:t>
      </w:r>
      <w:r>
        <w:rPr>
          <w:rFonts w:hint="eastAsia" w:hAnsi="宋体"/>
          <w:b/>
          <w:bCs/>
          <w:sz w:val="32"/>
          <w:szCs w:val="32"/>
          <w:u w:val="single"/>
          <w:lang w:eastAsia="zh-CN"/>
        </w:rPr>
        <w:t>十一</w:t>
      </w:r>
      <w:r>
        <w:rPr>
          <w:rFonts w:hint="eastAsia" w:hAnsi="宋体"/>
          <w:b/>
          <w:bCs/>
          <w:sz w:val="32"/>
          <w:szCs w:val="32"/>
          <w:u w:val="single"/>
        </w:rPr>
        <w:t>日</w:t>
      </w:r>
      <w:bookmarkStart w:id="0" w:name="_Toc380680817"/>
      <w:bookmarkStart w:id="1" w:name="_Toc380681010"/>
      <w:bookmarkStart w:id="2" w:name="_Toc380681229"/>
      <w:bookmarkStart w:id="3" w:name="_Toc380680177"/>
      <w:bookmarkStart w:id="4" w:name="_Toc9194538"/>
      <w:bookmarkStart w:id="5" w:name="_Toc465181333"/>
    </w:p>
    <w:p>
      <w:pPr>
        <w:pStyle w:val="3"/>
        <w:keepNext w:val="0"/>
        <w:keepLines w:val="0"/>
        <w:spacing w:line="360" w:lineRule="auto"/>
        <w:jc w:val="center"/>
        <w:rPr>
          <w:b w:val="0"/>
          <w:sz w:val="36"/>
          <w:szCs w:val="36"/>
        </w:rPr>
      </w:pPr>
      <w:r>
        <w:rPr>
          <w:rFonts w:hAnsi="宋体"/>
          <w:b w:val="0"/>
          <w:sz w:val="36"/>
          <w:szCs w:val="36"/>
        </w:rPr>
        <w:br w:type="page"/>
      </w:r>
      <w:r>
        <w:rPr>
          <w:rFonts w:hAnsi="宋体"/>
          <w:b w:val="0"/>
          <w:sz w:val="36"/>
          <w:szCs w:val="36"/>
        </w:rPr>
        <w:t>招标文件备案表</w:t>
      </w:r>
      <w:bookmarkEnd w:id="0"/>
      <w:bookmarkEnd w:id="1"/>
      <w:bookmarkEnd w:id="2"/>
      <w:bookmarkEnd w:id="3"/>
      <w:bookmarkEnd w:id="4"/>
      <w:bookmarkEnd w:id="5"/>
    </w:p>
    <w:tbl>
      <w:tblPr>
        <w:tblStyle w:val="17"/>
        <w:tblW w:w="0" w:type="auto"/>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2" w:hRule="atLeast"/>
        </w:trPr>
        <w:tc>
          <w:tcPr>
            <w:tcW w:w="8589" w:type="dxa"/>
            <w:tcBorders>
              <w:top w:val="single" w:color="auto" w:sz="4" w:space="0"/>
              <w:left w:val="single" w:color="auto" w:sz="4" w:space="0"/>
              <w:bottom w:val="single" w:color="auto" w:sz="4" w:space="0"/>
              <w:right w:val="single" w:color="auto" w:sz="4" w:space="0"/>
            </w:tcBorders>
          </w:tcPr>
          <w:p>
            <w:pPr>
              <w:spacing w:line="360" w:lineRule="auto"/>
              <w:rPr>
                <w:sz w:val="24"/>
              </w:rPr>
            </w:pPr>
          </w:p>
          <w:p>
            <w:pPr>
              <w:spacing w:line="360" w:lineRule="auto"/>
              <w:rPr>
                <w:sz w:val="24"/>
              </w:rPr>
            </w:pPr>
            <w:r>
              <w:rPr>
                <w:rFonts w:hAnsi="宋体"/>
                <w:sz w:val="24"/>
              </w:rPr>
              <w:t>编制人</w:t>
            </w:r>
            <w:r>
              <w:rPr>
                <w:sz w:val="24"/>
              </w:rPr>
              <w:t>(</w:t>
            </w:r>
            <w:r>
              <w:rPr>
                <w:rFonts w:hAnsi="宋体"/>
                <w:sz w:val="24"/>
              </w:rPr>
              <w:t>组长</w:t>
            </w:r>
            <w:r>
              <w:rPr>
                <w:sz w:val="24"/>
              </w:rPr>
              <w:t>)</w:t>
            </w:r>
            <w:r>
              <w:rPr>
                <w:rFonts w:hAnsi="宋体"/>
                <w:sz w:val="24"/>
              </w:rPr>
              <w:t>：</w:t>
            </w:r>
          </w:p>
          <w:p>
            <w:pPr>
              <w:spacing w:line="360" w:lineRule="auto"/>
              <w:ind w:firstLine="840"/>
              <w:rPr>
                <w:sz w:val="24"/>
              </w:rPr>
            </w:pPr>
            <w:r>
              <w:rPr>
                <w:rFonts w:hAnsi="宋体"/>
                <w:sz w:val="24"/>
              </w:rPr>
              <w:t>　</w:t>
            </w:r>
          </w:p>
          <w:p>
            <w:pPr>
              <w:spacing w:line="360" w:lineRule="auto"/>
              <w:ind w:firstLine="2606" w:firstLineChars="1086"/>
              <w:rPr>
                <w:sz w:val="24"/>
              </w:rPr>
            </w:pPr>
            <w:r>
              <w:rPr>
                <w:rFonts w:hAnsi="宋体"/>
                <w:sz w:val="24"/>
              </w:rPr>
              <w:t>日期：</w:t>
            </w:r>
            <w:r>
              <w:rPr>
                <w:sz w:val="24"/>
              </w:rPr>
              <w:t>20</w:t>
            </w:r>
            <w:r>
              <w:rPr>
                <w:rFonts w:hint="eastAsia"/>
                <w:sz w:val="24"/>
              </w:rPr>
              <w:t>2</w:t>
            </w:r>
            <w:r>
              <w:rPr>
                <w:rFonts w:hint="eastAsia"/>
                <w:sz w:val="24"/>
                <w:highlight w:val="yellow"/>
              </w:rPr>
              <w:t>2</w:t>
            </w:r>
            <w:r>
              <w:rPr>
                <w:rFonts w:hAnsi="宋体"/>
                <w:sz w:val="24"/>
                <w:highlight w:val="yellow"/>
              </w:rPr>
              <w:t>年</w:t>
            </w:r>
            <w:r>
              <w:rPr>
                <w:rFonts w:hint="eastAsia" w:hAnsi="宋体"/>
                <w:sz w:val="24"/>
                <w:highlight w:val="yellow"/>
                <w:lang w:val="en-US" w:eastAsia="zh-CN"/>
              </w:rPr>
              <w:t>2</w:t>
            </w:r>
            <w:r>
              <w:rPr>
                <w:rFonts w:hint="eastAsia"/>
                <w:sz w:val="24"/>
                <w:highlight w:val="yellow"/>
              </w:rPr>
              <w:t>月</w:t>
            </w:r>
            <w:r>
              <w:rPr>
                <w:rFonts w:hint="eastAsia"/>
                <w:sz w:val="24"/>
                <w:highlight w:val="yellow"/>
                <w:lang w:val="en-US" w:eastAsia="zh-CN"/>
              </w:rPr>
              <w:t>11</w:t>
            </w:r>
            <w:r>
              <w:rPr>
                <w:rFonts w:hint="eastAsia"/>
                <w:sz w:val="24"/>
                <w:highlight w:val="yellow"/>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8589" w:type="dxa"/>
            <w:tcBorders>
              <w:top w:val="single" w:color="auto" w:sz="4" w:space="0"/>
              <w:left w:val="single" w:color="auto" w:sz="4" w:space="0"/>
              <w:bottom w:val="single" w:color="auto" w:sz="4" w:space="0"/>
              <w:right w:val="single" w:color="auto" w:sz="4" w:space="0"/>
            </w:tcBorders>
          </w:tcPr>
          <w:p>
            <w:pPr>
              <w:spacing w:line="360" w:lineRule="auto"/>
              <w:rPr>
                <w:sz w:val="24"/>
              </w:rPr>
            </w:pPr>
          </w:p>
          <w:p>
            <w:pPr>
              <w:spacing w:line="360" w:lineRule="auto"/>
              <w:rPr>
                <w:sz w:val="24"/>
              </w:rPr>
            </w:pPr>
            <w:r>
              <w:rPr>
                <w:rFonts w:hAnsi="宋体"/>
                <w:sz w:val="24"/>
              </w:rPr>
              <w:t>招标人</w:t>
            </w:r>
            <w:r>
              <w:rPr>
                <w:sz w:val="24"/>
              </w:rPr>
              <w:t>(</w:t>
            </w:r>
            <w:r>
              <w:rPr>
                <w:rFonts w:hAnsi="宋体"/>
                <w:sz w:val="24"/>
              </w:rPr>
              <w:t>盖章</w:t>
            </w:r>
            <w:r>
              <w:rPr>
                <w:sz w:val="24"/>
              </w:rPr>
              <w:t xml:space="preserve">)             </w:t>
            </w:r>
            <w:r>
              <w:rPr>
                <w:rFonts w:hAnsi="宋体"/>
                <w:sz w:val="24"/>
              </w:rPr>
              <w:t>　法定代表人</w:t>
            </w:r>
            <w:r>
              <w:rPr>
                <w:sz w:val="24"/>
              </w:rPr>
              <w:t>(</w:t>
            </w:r>
            <w:r>
              <w:rPr>
                <w:rFonts w:hAnsi="宋体"/>
                <w:sz w:val="24"/>
              </w:rPr>
              <w:t>签字或盖章</w:t>
            </w:r>
            <w:r>
              <w:rPr>
                <w:sz w:val="24"/>
              </w:rPr>
              <w:t>)</w:t>
            </w:r>
          </w:p>
          <w:p>
            <w:pPr>
              <w:spacing w:line="360" w:lineRule="auto"/>
              <w:rPr>
                <w:sz w:val="24"/>
              </w:rPr>
            </w:pPr>
          </w:p>
          <w:p>
            <w:pPr>
              <w:spacing w:line="360" w:lineRule="auto"/>
              <w:rPr>
                <w:sz w:val="24"/>
              </w:rPr>
            </w:pPr>
          </w:p>
          <w:p>
            <w:pPr>
              <w:pStyle w:val="8"/>
              <w:ind w:firstLine="480"/>
              <w:rPr>
                <w:rFonts w:ascii="Times New Roman" w:hAnsi="Times New Roman" w:eastAsia="宋体"/>
              </w:rPr>
            </w:pPr>
          </w:p>
          <w:p>
            <w:pPr>
              <w:pStyle w:val="9"/>
              <w:rPr>
                <w:rFonts w:ascii="Times New Roman" w:hAnsi="Times New Roman"/>
                <w:sz w:val="24"/>
              </w:rPr>
            </w:pPr>
          </w:p>
          <w:p>
            <w:pPr>
              <w:pStyle w:val="9"/>
              <w:rPr>
                <w:rFonts w:ascii="Times New Roman" w:hAnsi="Times New Roman"/>
                <w:sz w:val="24"/>
              </w:rPr>
            </w:pPr>
          </w:p>
          <w:p>
            <w:pPr>
              <w:spacing w:line="360" w:lineRule="auto"/>
              <w:ind w:firstLine="720" w:firstLineChars="300"/>
              <w:rPr>
                <w:sz w:val="24"/>
              </w:rPr>
            </w:pPr>
            <w:r>
              <w:rPr>
                <w:rFonts w:hAnsi="宋体"/>
                <w:sz w:val="24"/>
              </w:rPr>
              <w:t>招标代理机构</w:t>
            </w:r>
            <w:r>
              <w:rPr>
                <w:sz w:val="24"/>
              </w:rPr>
              <w:t>(</w:t>
            </w:r>
            <w:r>
              <w:rPr>
                <w:rFonts w:hAnsi="宋体"/>
                <w:sz w:val="24"/>
              </w:rPr>
              <w:t>盖章</w:t>
            </w:r>
            <w:r>
              <w:rPr>
                <w:sz w:val="24"/>
              </w:rPr>
              <w:t xml:space="preserve">)         </w:t>
            </w:r>
            <w:r>
              <w:rPr>
                <w:rFonts w:hAnsi="宋体"/>
                <w:sz w:val="24"/>
              </w:rPr>
              <w:t>法定代表人</w:t>
            </w:r>
            <w:r>
              <w:rPr>
                <w:sz w:val="24"/>
              </w:rPr>
              <w:t>(</w:t>
            </w:r>
            <w:r>
              <w:rPr>
                <w:rFonts w:hAnsi="宋体"/>
                <w:sz w:val="24"/>
              </w:rPr>
              <w:t>签字或盖章</w:t>
            </w:r>
            <w:r>
              <w:rPr>
                <w:sz w:val="24"/>
              </w:rPr>
              <w:t>)</w:t>
            </w:r>
          </w:p>
          <w:p>
            <w:pPr>
              <w:spacing w:line="360" w:lineRule="auto"/>
              <w:ind w:right="840" w:firstLine="560"/>
              <w:jc w:val="right"/>
              <w:rPr>
                <w:sz w:val="24"/>
              </w:rPr>
            </w:pPr>
          </w:p>
          <w:p>
            <w:pPr>
              <w:spacing w:line="360" w:lineRule="auto"/>
              <w:ind w:firstLine="2606" w:firstLineChars="1086"/>
              <w:rPr>
                <w:sz w:val="24"/>
              </w:rPr>
            </w:pPr>
            <w:r>
              <w:rPr>
                <w:sz w:val="24"/>
              </w:rPr>
              <w:t xml:space="preserve"> 日  期：2</w:t>
            </w:r>
            <w:r>
              <w:rPr>
                <w:sz w:val="24"/>
                <w:highlight w:val="yellow"/>
              </w:rPr>
              <w:t>0</w:t>
            </w:r>
            <w:r>
              <w:rPr>
                <w:rFonts w:hint="eastAsia"/>
                <w:sz w:val="24"/>
                <w:highlight w:val="yellow"/>
              </w:rPr>
              <w:t>22</w:t>
            </w:r>
            <w:r>
              <w:rPr>
                <w:sz w:val="24"/>
                <w:highlight w:val="yellow"/>
              </w:rPr>
              <w:t>年</w:t>
            </w:r>
            <w:r>
              <w:rPr>
                <w:rFonts w:hint="eastAsia"/>
                <w:sz w:val="24"/>
                <w:highlight w:val="yellow"/>
              </w:rPr>
              <w:t xml:space="preserve"> </w:t>
            </w:r>
            <w:r>
              <w:rPr>
                <w:rFonts w:hint="eastAsia"/>
                <w:sz w:val="24"/>
                <w:highlight w:val="yellow"/>
                <w:lang w:val="en-US" w:eastAsia="zh-CN"/>
              </w:rPr>
              <w:t>2</w:t>
            </w:r>
            <w:r>
              <w:rPr>
                <w:rFonts w:hint="eastAsia"/>
                <w:sz w:val="24"/>
                <w:highlight w:val="yellow"/>
              </w:rPr>
              <w:t>月</w:t>
            </w:r>
            <w:r>
              <w:rPr>
                <w:rFonts w:hint="eastAsia"/>
                <w:sz w:val="24"/>
                <w:highlight w:val="yellow"/>
                <w:lang w:val="en-US" w:eastAsia="zh-CN"/>
              </w:rPr>
              <w:t>11</w:t>
            </w:r>
            <w:r>
              <w:rPr>
                <w:rFonts w:hint="eastAsia"/>
                <w:sz w:val="24"/>
                <w:highlight w:val="yellow"/>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6" w:hRule="atLeast"/>
        </w:trPr>
        <w:tc>
          <w:tcPr>
            <w:tcW w:w="8589" w:type="dxa"/>
            <w:tcBorders>
              <w:top w:val="single" w:color="auto" w:sz="4" w:space="0"/>
              <w:left w:val="single" w:color="auto" w:sz="4" w:space="0"/>
              <w:bottom w:val="single" w:color="auto" w:sz="4" w:space="0"/>
              <w:right w:val="single" w:color="auto" w:sz="4" w:space="0"/>
            </w:tcBorders>
          </w:tcPr>
          <w:p>
            <w:pPr>
              <w:spacing w:line="360" w:lineRule="auto"/>
              <w:rPr>
                <w:sz w:val="24"/>
              </w:rPr>
            </w:pPr>
          </w:p>
          <w:p>
            <w:pPr>
              <w:spacing w:line="360" w:lineRule="auto"/>
              <w:rPr>
                <w:sz w:val="24"/>
              </w:rPr>
            </w:pPr>
          </w:p>
          <w:p>
            <w:pPr>
              <w:spacing w:line="360" w:lineRule="auto"/>
              <w:rPr>
                <w:sz w:val="24"/>
              </w:rPr>
            </w:pPr>
          </w:p>
          <w:p>
            <w:pPr>
              <w:spacing w:line="360" w:lineRule="auto"/>
              <w:jc w:val="center"/>
              <w:rPr>
                <w:sz w:val="24"/>
              </w:rPr>
            </w:pPr>
            <w:r>
              <w:rPr>
                <w:rFonts w:hAnsi="宋体"/>
                <w:sz w:val="24"/>
              </w:rPr>
              <w:t>南通市崇川区公共资源交易管理办公室（备案）</w:t>
            </w:r>
          </w:p>
          <w:p>
            <w:pPr>
              <w:spacing w:line="360" w:lineRule="auto"/>
              <w:jc w:val="center"/>
              <w:rPr>
                <w:sz w:val="24"/>
              </w:rPr>
            </w:pPr>
          </w:p>
          <w:p>
            <w:pPr>
              <w:spacing w:line="360" w:lineRule="auto"/>
              <w:jc w:val="center"/>
              <w:rPr>
                <w:sz w:val="24"/>
              </w:rPr>
            </w:pPr>
            <w:r>
              <w:rPr>
                <w:rFonts w:hAnsi="宋体"/>
                <w:sz w:val="24"/>
              </w:rPr>
              <w:t>日期：</w:t>
            </w:r>
            <w:r>
              <w:rPr>
                <w:sz w:val="24"/>
              </w:rPr>
              <w:t>20</w:t>
            </w:r>
            <w:r>
              <w:rPr>
                <w:rFonts w:hint="eastAsia"/>
                <w:sz w:val="24"/>
              </w:rPr>
              <w:t>2</w:t>
            </w:r>
            <w:r>
              <w:rPr>
                <w:rFonts w:hint="eastAsia"/>
                <w:sz w:val="24"/>
                <w:highlight w:val="yellow"/>
              </w:rPr>
              <w:t>2</w:t>
            </w:r>
            <w:r>
              <w:rPr>
                <w:rFonts w:hAnsi="宋体"/>
                <w:sz w:val="24"/>
                <w:highlight w:val="yellow"/>
              </w:rPr>
              <w:t>年</w:t>
            </w:r>
            <w:r>
              <w:rPr>
                <w:rFonts w:hint="eastAsia" w:hAnsi="宋体"/>
                <w:sz w:val="24"/>
                <w:highlight w:val="yellow"/>
                <w:lang w:val="en-US" w:eastAsia="zh-CN"/>
              </w:rPr>
              <w:t>2</w:t>
            </w:r>
            <w:r>
              <w:rPr>
                <w:rFonts w:hint="eastAsia"/>
                <w:sz w:val="24"/>
                <w:highlight w:val="yellow"/>
              </w:rPr>
              <w:t>月</w:t>
            </w:r>
            <w:r>
              <w:rPr>
                <w:rFonts w:hint="eastAsia"/>
                <w:sz w:val="24"/>
                <w:highlight w:val="yellow"/>
                <w:lang w:val="en-US" w:eastAsia="zh-CN"/>
              </w:rPr>
              <w:t>11</w:t>
            </w:r>
            <w:r>
              <w:rPr>
                <w:rFonts w:hint="eastAsia"/>
                <w:sz w:val="24"/>
                <w:highlight w:val="yellow"/>
              </w:rPr>
              <w:t>日</w:t>
            </w:r>
          </w:p>
        </w:tc>
      </w:tr>
    </w:tbl>
    <w:p>
      <w:pPr>
        <w:spacing w:line="360" w:lineRule="auto"/>
        <w:jc w:val="center"/>
        <w:rPr>
          <w:b/>
          <w:color w:val="000000"/>
          <w:sz w:val="32"/>
          <w:szCs w:val="32"/>
        </w:rPr>
      </w:pPr>
    </w:p>
    <w:p>
      <w:pPr>
        <w:spacing w:line="360" w:lineRule="auto"/>
        <w:jc w:val="center"/>
        <w:rPr>
          <w:b/>
          <w:color w:val="000000"/>
          <w:sz w:val="32"/>
          <w:szCs w:val="32"/>
        </w:rPr>
      </w:pPr>
      <w:r>
        <w:rPr>
          <w:b/>
          <w:color w:val="000000"/>
          <w:sz w:val="32"/>
          <w:szCs w:val="32"/>
        </w:rPr>
        <w:br w:type="page"/>
      </w:r>
      <w:r>
        <w:rPr>
          <w:rFonts w:hint="eastAsia" w:hAnsi="宋体"/>
          <w:b/>
          <w:color w:val="000000"/>
          <w:sz w:val="32"/>
          <w:szCs w:val="32"/>
        </w:rPr>
        <w:t>目录</w:t>
      </w:r>
    </w:p>
    <w:p>
      <w:pPr>
        <w:pStyle w:val="14"/>
        <w:tabs>
          <w:tab w:val="right" w:leader="dot" w:pos="9436"/>
        </w:tabs>
        <w:spacing w:line="480" w:lineRule="auto"/>
        <w:rPr>
          <w:szCs w:val="28"/>
        </w:rPr>
      </w:pPr>
      <w:r>
        <w:rPr>
          <w:color w:val="000000"/>
          <w:sz w:val="24"/>
        </w:rPr>
        <w:fldChar w:fldCharType="begin"/>
      </w:r>
      <w:r>
        <w:rPr>
          <w:color w:val="000000"/>
          <w:sz w:val="24"/>
        </w:rPr>
        <w:instrText xml:space="preserve"> TOC \o "1-3" \h \z \u </w:instrText>
      </w:r>
      <w:r>
        <w:rPr>
          <w:color w:val="000000"/>
          <w:sz w:val="24"/>
        </w:rPr>
        <w:fldChar w:fldCharType="separate"/>
      </w:r>
      <w:r>
        <w:fldChar w:fldCharType="begin"/>
      </w:r>
      <w:r>
        <w:instrText xml:space="preserve"> HYPERLINK \l "_Toc9194539" </w:instrText>
      </w:r>
      <w:r>
        <w:fldChar w:fldCharType="separate"/>
      </w:r>
      <w:r>
        <w:rPr>
          <w:rStyle w:val="21"/>
          <w:rFonts w:hint="eastAsia" w:hAnsi="宋体"/>
          <w:szCs w:val="28"/>
        </w:rPr>
        <w:t>第一章投标人须知及投标人须知前附表</w:t>
      </w:r>
      <w:r>
        <w:rPr>
          <w:szCs w:val="28"/>
        </w:rPr>
        <w:tab/>
      </w:r>
      <w:r>
        <w:rPr>
          <w:szCs w:val="28"/>
        </w:rPr>
        <w:fldChar w:fldCharType="begin"/>
      </w:r>
      <w:r>
        <w:rPr>
          <w:szCs w:val="28"/>
        </w:rPr>
        <w:instrText xml:space="preserve"> PAGEREF _Toc9194539 \h </w:instrText>
      </w:r>
      <w:r>
        <w:rPr>
          <w:szCs w:val="28"/>
        </w:rPr>
        <w:fldChar w:fldCharType="separate"/>
      </w:r>
      <w:r>
        <w:rPr>
          <w:szCs w:val="28"/>
        </w:rPr>
        <w:t>4</w:t>
      </w:r>
      <w:r>
        <w:rPr>
          <w:szCs w:val="28"/>
        </w:rPr>
        <w:fldChar w:fldCharType="end"/>
      </w:r>
      <w:r>
        <w:rPr>
          <w:szCs w:val="28"/>
        </w:rPr>
        <w:fldChar w:fldCharType="end"/>
      </w:r>
    </w:p>
    <w:p>
      <w:pPr>
        <w:pStyle w:val="14"/>
        <w:tabs>
          <w:tab w:val="right" w:leader="dot" w:pos="9436"/>
        </w:tabs>
        <w:spacing w:line="480" w:lineRule="auto"/>
        <w:rPr>
          <w:szCs w:val="28"/>
        </w:rPr>
      </w:pPr>
      <w:r>
        <w:fldChar w:fldCharType="begin"/>
      </w:r>
      <w:r>
        <w:instrText xml:space="preserve"> HYPERLINK \l "_Toc9194585" </w:instrText>
      </w:r>
      <w:r>
        <w:fldChar w:fldCharType="separate"/>
      </w:r>
      <w:r>
        <w:rPr>
          <w:rStyle w:val="21"/>
          <w:rFonts w:hint="eastAsia" w:hAnsi="宋体"/>
          <w:szCs w:val="28"/>
        </w:rPr>
        <w:t>第二章评标办法</w:t>
      </w:r>
      <w:r>
        <w:rPr>
          <w:szCs w:val="28"/>
        </w:rPr>
        <w:tab/>
      </w:r>
      <w:r>
        <w:rPr>
          <w:szCs w:val="28"/>
        </w:rPr>
        <w:fldChar w:fldCharType="begin"/>
      </w:r>
      <w:r>
        <w:rPr>
          <w:szCs w:val="28"/>
        </w:rPr>
        <w:instrText xml:space="preserve"> PAGEREF _Toc9194585 \h </w:instrText>
      </w:r>
      <w:r>
        <w:rPr>
          <w:szCs w:val="28"/>
        </w:rPr>
        <w:fldChar w:fldCharType="separate"/>
      </w:r>
      <w:r>
        <w:rPr>
          <w:szCs w:val="28"/>
        </w:rPr>
        <w:t>13</w:t>
      </w:r>
      <w:r>
        <w:rPr>
          <w:szCs w:val="28"/>
        </w:rPr>
        <w:fldChar w:fldCharType="end"/>
      </w:r>
      <w:r>
        <w:rPr>
          <w:szCs w:val="28"/>
        </w:rPr>
        <w:fldChar w:fldCharType="end"/>
      </w:r>
    </w:p>
    <w:p>
      <w:pPr>
        <w:pStyle w:val="14"/>
        <w:tabs>
          <w:tab w:val="right" w:leader="dot" w:pos="9436"/>
        </w:tabs>
        <w:spacing w:line="480" w:lineRule="auto"/>
        <w:rPr>
          <w:szCs w:val="28"/>
        </w:rPr>
      </w:pPr>
      <w:r>
        <w:fldChar w:fldCharType="begin"/>
      </w:r>
      <w:r>
        <w:instrText xml:space="preserve"> HYPERLINK \l "_Toc9194586" </w:instrText>
      </w:r>
      <w:r>
        <w:fldChar w:fldCharType="separate"/>
      </w:r>
      <w:r>
        <w:rPr>
          <w:rStyle w:val="21"/>
          <w:rFonts w:hint="eastAsia" w:hAnsi="宋体"/>
          <w:szCs w:val="28"/>
        </w:rPr>
        <w:t>第三章合同条款及格式</w:t>
      </w:r>
      <w:r>
        <w:rPr>
          <w:szCs w:val="28"/>
        </w:rPr>
        <w:tab/>
      </w:r>
      <w:r>
        <w:rPr>
          <w:szCs w:val="28"/>
        </w:rPr>
        <w:fldChar w:fldCharType="begin"/>
      </w:r>
      <w:r>
        <w:rPr>
          <w:szCs w:val="28"/>
        </w:rPr>
        <w:instrText xml:space="preserve"> PAGEREF _Toc9194586 \h </w:instrText>
      </w:r>
      <w:r>
        <w:rPr>
          <w:szCs w:val="28"/>
        </w:rPr>
        <w:fldChar w:fldCharType="separate"/>
      </w:r>
      <w:r>
        <w:rPr>
          <w:szCs w:val="28"/>
        </w:rPr>
        <w:t>16</w:t>
      </w:r>
      <w:r>
        <w:rPr>
          <w:szCs w:val="28"/>
        </w:rPr>
        <w:fldChar w:fldCharType="end"/>
      </w:r>
      <w:r>
        <w:rPr>
          <w:szCs w:val="28"/>
        </w:rPr>
        <w:fldChar w:fldCharType="end"/>
      </w:r>
    </w:p>
    <w:p>
      <w:pPr>
        <w:pStyle w:val="14"/>
        <w:tabs>
          <w:tab w:val="right" w:leader="dot" w:pos="9436"/>
        </w:tabs>
        <w:spacing w:line="480" w:lineRule="auto"/>
        <w:rPr>
          <w:szCs w:val="28"/>
        </w:rPr>
      </w:pPr>
      <w:r>
        <w:fldChar w:fldCharType="begin"/>
      </w:r>
      <w:r>
        <w:instrText xml:space="preserve"> HYPERLINK \l "_Toc9194619" </w:instrText>
      </w:r>
      <w:r>
        <w:fldChar w:fldCharType="separate"/>
      </w:r>
      <w:r>
        <w:rPr>
          <w:rStyle w:val="21"/>
          <w:rFonts w:hint="eastAsia" w:hAnsi="宋体"/>
          <w:szCs w:val="28"/>
        </w:rPr>
        <w:t>第四章技术资料和设计文件</w:t>
      </w:r>
      <w:r>
        <w:rPr>
          <w:szCs w:val="28"/>
        </w:rPr>
        <w:tab/>
      </w:r>
      <w:r>
        <w:rPr>
          <w:szCs w:val="28"/>
        </w:rPr>
        <w:fldChar w:fldCharType="begin"/>
      </w:r>
      <w:r>
        <w:rPr>
          <w:szCs w:val="28"/>
        </w:rPr>
        <w:instrText xml:space="preserve"> PAGEREF _Toc9194619 \h </w:instrText>
      </w:r>
      <w:r>
        <w:rPr>
          <w:szCs w:val="28"/>
        </w:rPr>
        <w:fldChar w:fldCharType="separate"/>
      </w:r>
      <w:r>
        <w:rPr>
          <w:szCs w:val="28"/>
        </w:rPr>
        <w:t>4</w:t>
      </w:r>
      <w:r>
        <w:rPr>
          <w:rFonts w:hint="eastAsia"/>
          <w:szCs w:val="28"/>
        </w:rPr>
        <w:t>2</w:t>
      </w:r>
      <w:r>
        <w:rPr>
          <w:szCs w:val="28"/>
        </w:rPr>
        <w:fldChar w:fldCharType="end"/>
      </w:r>
      <w:r>
        <w:rPr>
          <w:szCs w:val="28"/>
        </w:rPr>
        <w:fldChar w:fldCharType="end"/>
      </w:r>
    </w:p>
    <w:p>
      <w:pPr>
        <w:pStyle w:val="14"/>
        <w:tabs>
          <w:tab w:val="right" w:leader="dot" w:pos="9436"/>
        </w:tabs>
        <w:spacing w:line="480" w:lineRule="auto"/>
        <w:rPr>
          <w:sz w:val="16"/>
          <w:szCs w:val="22"/>
        </w:rPr>
      </w:pPr>
      <w:r>
        <w:fldChar w:fldCharType="begin"/>
      </w:r>
      <w:r>
        <w:instrText xml:space="preserve"> HYPERLINK \l "_Toc9194620" </w:instrText>
      </w:r>
      <w:r>
        <w:fldChar w:fldCharType="separate"/>
      </w:r>
      <w:r>
        <w:rPr>
          <w:rStyle w:val="21"/>
          <w:rFonts w:hint="eastAsia" w:hAnsi="宋体"/>
          <w:szCs w:val="28"/>
        </w:rPr>
        <w:t>第五章投标文件格式</w:t>
      </w:r>
      <w:r>
        <w:rPr>
          <w:szCs w:val="28"/>
        </w:rPr>
        <w:tab/>
      </w:r>
      <w:r>
        <w:rPr>
          <w:szCs w:val="28"/>
        </w:rPr>
        <w:fldChar w:fldCharType="begin"/>
      </w:r>
      <w:r>
        <w:rPr>
          <w:szCs w:val="28"/>
        </w:rPr>
        <w:instrText xml:space="preserve"> PAGEREF _Toc9194620 \h </w:instrText>
      </w:r>
      <w:r>
        <w:rPr>
          <w:szCs w:val="28"/>
        </w:rPr>
        <w:fldChar w:fldCharType="separate"/>
      </w:r>
      <w:r>
        <w:rPr>
          <w:szCs w:val="28"/>
        </w:rPr>
        <w:t>43</w:t>
      </w:r>
      <w:r>
        <w:rPr>
          <w:szCs w:val="28"/>
        </w:rPr>
        <w:fldChar w:fldCharType="end"/>
      </w:r>
      <w:r>
        <w:rPr>
          <w:szCs w:val="28"/>
        </w:rPr>
        <w:fldChar w:fldCharType="end"/>
      </w:r>
    </w:p>
    <w:p>
      <w:pPr>
        <w:spacing w:line="480" w:lineRule="auto"/>
      </w:pPr>
      <w:r>
        <w:rPr>
          <w:color w:val="000000"/>
          <w:sz w:val="24"/>
        </w:rPr>
        <w:fldChar w:fldCharType="end"/>
      </w:r>
    </w:p>
    <w:p>
      <w:pPr>
        <w:pStyle w:val="3"/>
        <w:keepNext w:val="0"/>
        <w:keepLines w:val="0"/>
        <w:spacing w:before="0" w:after="0" w:line="360" w:lineRule="auto"/>
        <w:ind w:firstLine="1428" w:firstLineChars="395"/>
        <w:rPr>
          <w:sz w:val="36"/>
        </w:rPr>
      </w:pPr>
      <w:bookmarkStart w:id="6" w:name="_Toc465181334"/>
      <w:bookmarkStart w:id="7" w:name="_Toc380680178"/>
      <w:bookmarkStart w:id="8" w:name="_Toc380680818"/>
      <w:bookmarkStart w:id="9" w:name="_Toc9194539"/>
      <w:bookmarkStart w:id="10" w:name="_Toc380681011"/>
      <w:bookmarkStart w:id="11" w:name="_Toc380681230"/>
      <w:bookmarkStart w:id="12" w:name="_Toc398107836"/>
      <w:r>
        <w:rPr>
          <w:sz w:val="36"/>
        </w:rPr>
        <w:br w:type="page"/>
      </w:r>
      <w:r>
        <w:rPr>
          <w:rFonts w:hAnsi="宋体"/>
          <w:sz w:val="36"/>
        </w:rPr>
        <w:t>第一章投标人须知及投标人须知前附表</w:t>
      </w:r>
      <w:bookmarkEnd w:id="6"/>
      <w:bookmarkEnd w:id="7"/>
      <w:bookmarkEnd w:id="8"/>
      <w:bookmarkEnd w:id="9"/>
      <w:bookmarkEnd w:id="10"/>
      <w:bookmarkEnd w:id="11"/>
    </w:p>
    <w:p>
      <w:pPr>
        <w:pStyle w:val="4"/>
        <w:keepNext w:val="0"/>
        <w:keepLines w:val="0"/>
        <w:spacing w:line="360" w:lineRule="auto"/>
        <w:jc w:val="center"/>
        <w:rPr>
          <w:rFonts w:ascii="Times New Roman" w:hAnsi="Times New Roman" w:eastAsia="宋体"/>
          <w:b/>
          <w:sz w:val="24"/>
          <w:szCs w:val="24"/>
        </w:rPr>
      </w:pPr>
      <w:bookmarkStart w:id="13" w:name="_Toc9194540"/>
      <w:r>
        <w:rPr>
          <w:rFonts w:hint="eastAsia" w:ascii="Times New Roman" w:hAnsi="宋体" w:eastAsia="宋体"/>
          <w:b/>
          <w:color w:val="000000"/>
          <w:sz w:val="24"/>
          <w:szCs w:val="24"/>
        </w:rPr>
        <w:t>投标人须</w:t>
      </w:r>
      <w:r>
        <w:rPr>
          <w:rFonts w:hint="eastAsia" w:ascii="Times New Roman" w:hAnsi="宋体" w:eastAsia="宋体"/>
          <w:b/>
          <w:sz w:val="24"/>
          <w:szCs w:val="24"/>
        </w:rPr>
        <w:t>知前附表</w:t>
      </w:r>
      <w:bookmarkEnd w:id="12"/>
      <w:bookmarkEnd w:id="13"/>
    </w:p>
    <w:tbl>
      <w:tblPr>
        <w:tblStyle w:val="17"/>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93" w:type="dxa"/>
            <w:vAlign w:val="center"/>
          </w:tcPr>
          <w:p>
            <w:pPr>
              <w:spacing w:line="360" w:lineRule="auto"/>
              <w:jc w:val="center"/>
              <w:rPr>
                <w:rFonts w:hint="eastAsia" w:ascii="宋体" w:hAnsi="宋体" w:eastAsia="宋体" w:cs="宋体"/>
                <w:b/>
              </w:rPr>
            </w:pPr>
            <w:r>
              <w:rPr>
                <w:rFonts w:hint="eastAsia" w:ascii="宋体" w:hAnsi="宋体" w:eastAsia="宋体" w:cs="宋体"/>
                <w:b/>
              </w:rPr>
              <w:t>序号</w:t>
            </w:r>
          </w:p>
        </w:tc>
        <w:tc>
          <w:tcPr>
            <w:tcW w:w="1701" w:type="dxa"/>
            <w:vAlign w:val="center"/>
          </w:tcPr>
          <w:p>
            <w:pPr>
              <w:spacing w:line="360" w:lineRule="auto"/>
              <w:jc w:val="center"/>
              <w:rPr>
                <w:rFonts w:hint="eastAsia" w:ascii="宋体" w:hAnsi="宋体" w:eastAsia="宋体" w:cs="宋体"/>
                <w:b/>
              </w:rPr>
            </w:pPr>
            <w:r>
              <w:rPr>
                <w:rFonts w:hint="eastAsia" w:ascii="宋体" w:hAnsi="宋体" w:eastAsia="宋体" w:cs="宋体"/>
                <w:b/>
              </w:rPr>
              <w:t>条款名称</w:t>
            </w:r>
          </w:p>
        </w:tc>
        <w:tc>
          <w:tcPr>
            <w:tcW w:w="6804" w:type="dxa"/>
            <w:vAlign w:val="center"/>
          </w:tcPr>
          <w:p>
            <w:pPr>
              <w:spacing w:line="360" w:lineRule="auto"/>
              <w:jc w:val="center"/>
              <w:rPr>
                <w:rFonts w:hint="eastAsia" w:ascii="宋体" w:hAnsi="宋体" w:eastAsia="宋体" w:cs="宋体"/>
                <w:b/>
              </w:rPr>
            </w:pPr>
            <w:r>
              <w:rPr>
                <w:rFonts w:hint="eastAsia" w:ascii="宋体" w:hAnsi="宋体" w:eastAsia="宋体" w:cs="宋体"/>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1</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招标单位</w:t>
            </w:r>
          </w:p>
        </w:tc>
        <w:tc>
          <w:tcPr>
            <w:tcW w:w="6804" w:type="dxa"/>
          </w:tcPr>
          <w:p>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名称：南通市崇川区虹桥街道办事处、南通市崇川区政府投资项目建设中心</w:t>
            </w:r>
          </w:p>
          <w:p>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联系人：丁工</w:t>
            </w:r>
          </w:p>
          <w:p>
            <w:pPr>
              <w:adjustRightInd w:val="0"/>
              <w:snapToGrid w:val="0"/>
              <w:spacing w:line="320" w:lineRule="exact"/>
              <w:rPr>
                <w:rFonts w:hint="eastAsia" w:ascii="宋体" w:hAnsi="宋体" w:eastAsia="宋体" w:cs="宋体"/>
              </w:rPr>
            </w:pPr>
            <w:r>
              <w:rPr>
                <w:rFonts w:hint="eastAsia" w:ascii="宋体" w:hAnsi="宋体" w:eastAsia="宋体" w:cs="宋体"/>
                <w:szCs w:val="21"/>
              </w:rPr>
              <w:t xml:space="preserve">联系电话：0513-85728081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2</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招标代理机构</w:t>
            </w:r>
          </w:p>
        </w:tc>
        <w:tc>
          <w:tcPr>
            <w:tcW w:w="6804" w:type="dxa"/>
          </w:tcPr>
          <w:p>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单位名称：江苏省江豪工程项目管理有限公司</w:t>
            </w:r>
          </w:p>
          <w:p>
            <w:pPr>
              <w:adjustRightInd w:val="0"/>
              <w:snapToGrid w:val="0"/>
              <w:spacing w:line="340" w:lineRule="exact"/>
              <w:jc w:val="left"/>
              <w:rPr>
                <w:rFonts w:hint="eastAsia" w:ascii="宋体" w:hAnsi="宋体" w:eastAsia="宋体" w:cs="宋体"/>
                <w:kern w:val="0"/>
                <w:szCs w:val="21"/>
              </w:rPr>
            </w:pPr>
            <w:r>
              <w:rPr>
                <w:rFonts w:hint="eastAsia" w:ascii="宋体" w:hAnsi="宋体" w:eastAsia="宋体" w:cs="宋体"/>
                <w:szCs w:val="21"/>
              </w:rPr>
              <w:t>地    址：</w:t>
            </w:r>
            <w:r>
              <w:rPr>
                <w:rFonts w:hint="eastAsia" w:ascii="宋体" w:hAnsi="宋体" w:eastAsia="宋体" w:cs="宋体"/>
                <w:kern w:val="0"/>
                <w:szCs w:val="21"/>
              </w:rPr>
              <w:t>南通市永福路10号江豪大厦10楼</w:t>
            </w:r>
          </w:p>
          <w:p>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联 系 人：孙工</w:t>
            </w:r>
          </w:p>
          <w:p>
            <w:pPr>
              <w:adjustRightInd w:val="0"/>
              <w:snapToGrid w:val="0"/>
              <w:spacing w:line="340" w:lineRule="exact"/>
              <w:jc w:val="left"/>
              <w:rPr>
                <w:rFonts w:hint="eastAsia" w:ascii="宋体" w:hAnsi="宋体" w:eastAsia="宋体" w:cs="宋体"/>
                <w:szCs w:val="21"/>
              </w:rPr>
            </w:pPr>
            <w:r>
              <w:rPr>
                <w:rFonts w:hint="eastAsia" w:ascii="宋体" w:hAnsi="宋体" w:eastAsia="宋体" w:cs="宋体"/>
                <w:szCs w:val="21"/>
              </w:rPr>
              <w:t>联系电话：</w:t>
            </w:r>
            <w:r>
              <w:rPr>
                <w:rFonts w:hint="eastAsia" w:ascii="宋体" w:hAnsi="宋体" w:eastAsia="宋体" w:cs="宋体"/>
                <w:kern w:val="0"/>
                <w:szCs w:val="21"/>
              </w:rPr>
              <w:t>0513-66991037</w:t>
            </w:r>
          </w:p>
          <w:p>
            <w:pPr>
              <w:spacing w:line="360" w:lineRule="auto"/>
              <w:rPr>
                <w:rFonts w:hint="eastAsia" w:ascii="宋体" w:hAnsi="宋体" w:eastAsia="宋体" w:cs="宋体"/>
              </w:rPr>
            </w:pPr>
            <w:r>
              <w:rPr>
                <w:rFonts w:hint="eastAsia" w:ascii="宋体" w:hAnsi="宋体" w:eastAsia="宋体" w:cs="宋体"/>
                <w:szCs w:val="21"/>
              </w:rPr>
              <w:t>邮箱：</w:t>
            </w:r>
            <w:r>
              <w:rPr>
                <w:rFonts w:hint="eastAsia" w:ascii="宋体" w:hAnsi="宋体" w:eastAsia="宋体" w:cs="宋体"/>
                <w:kern w:val="0"/>
                <w:szCs w:val="21"/>
              </w:rPr>
              <w:t>13016797299@163.com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3</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项目名称</w:t>
            </w:r>
          </w:p>
        </w:tc>
        <w:tc>
          <w:tcPr>
            <w:tcW w:w="6804" w:type="dxa"/>
            <w:vAlign w:val="center"/>
          </w:tcPr>
          <w:p>
            <w:pPr>
              <w:spacing w:line="360" w:lineRule="auto"/>
              <w:rPr>
                <w:rFonts w:hint="eastAsia" w:ascii="宋体" w:hAnsi="宋体" w:eastAsia="宋体" w:cs="宋体"/>
              </w:rPr>
            </w:pPr>
            <w:r>
              <w:rPr>
                <w:rFonts w:hint="eastAsia" w:ascii="宋体" w:hAnsi="宋体" w:eastAsia="宋体" w:cs="宋体"/>
                <w:color w:val="000000"/>
                <w:lang w:val="zh-CN"/>
              </w:rPr>
              <w:t>2022年虹桥新村30栋含室外老旧小区综合改造工程监理（二次）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4</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建设地点</w:t>
            </w:r>
          </w:p>
        </w:tc>
        <w:tc>
          <w:tcPr>
            <w:tcW w:w="6804" w:type="dxa"/>
            <w:vAlign w:val="center"/>
          </w:tcPr>
          <w:p>
            <w:pPr>
              <w:spacing w:line="360" w:lineRule="auto"/>
              <w:jc w:val="left"/>
              <w:rPr>
                <w:rFonts w:hint="eastAsia" w:ascii="宋体" w:hAnsi="宋体" w:eastAsia="宋体" w:cs="宋体"/>
              </w:rPr>
            </w:pPr>
            <w:r>
              <w:rPr>
                <w:rFonts w:hint="eastAsia" w:ascii="宋体" w:hAnsi="宋体" w:eastAsia="宋体" w:cs="宋体"/>
                <w:szCs w:val="21"/>
              </w:rPr>
              <w:t>南通市崇川区虹桥街道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5</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工程规模</w:t>
            </w:r>
          </w:p>
        </w:tc>
        <w:tc>
          <w:tcPr>
            <w:tcW w:w="6804" w:type="dxa"/>
            <w:vAlign w:val="center"/>
          </w:tcPr>
          <w:p>
            <w:pPr>
              <w:pStyle w:val="24"/>
              <w:spacing w:line="360" w:lineRule="auto"/>
              <w:ind w:firstLine="0" w:firstLineChars="0"/>
              <w:rPr>
                <w:rFonts w:hint="eastAsia" w:ascii="宋体" w:hAnsi="宋体" w:eastAsia="宋体" w:cs="宋体"/>
                <w:color w:val="000000"/>
                <w:kern w:val="0"/>
              </w:rPr>
            </w:pPr>
            <w:r>
              <w:rPr>
                <w:rFonts w:hint="eastAsia" w:ascii="宋体" w:hAnsi="宋体" w:eastAsia="宋体" w:cs="宋体"/>
                <w:color w:val="000000"/>
                <w:kern w:val="0"/>
              </w:rPr>
              <w:t>虹桥新村30栋（116-119、121-125、127-130、217-226、229-235，另含室外改造部分236、237、238、227、228），工</w:t>
            </w:r>
            <w:r>
              <w:rPr>
                <w:rFonts w:hint="eastAsia" w:ascii="宋体" w:hAnsi="宋体" w:eastAsia="宋体" w:cs="宋体"/>
                <w:color w:val="000000"/>
                <w:kern w:val="0"/>
                <w:highlight w:val="none"/>
              </w:rPr>
              <w:t>程总投资估算约3200万元。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6</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建设资金</w:t>
            </w:r>
          </w:p>
        </w:tc>
        <w:tc>
          <w:tcPr>
            <w:tcW w:w="6804" w:type="dxa"/>
          </w:tcPr>
          <w:p>
            <w:pPr>
              <w:spacing w:line="360" w:lineRule="auto"/>
              <w:jc w:val="left"/>
              <w:rPr>
                <w:rFonts w:hint="eastAsia" w:ascii="宋体" w:hAnsi="宋体" w:eastAsia="宋体" w:cs="宋体"/>
              </w:rPr>
            </w:pPr>
            <w:r>
              <w:rPr>
                <w:rFonts w:hint="eastAsia" w:ascii="宋体" w:hAnsi="宋体" w:eastAsia="宋体" w:cs="宋体"/>
              </w:rPr>
              <w:t>资金来源：区财政</w:t>
            </w:r>
          </w:p>
          <w:p>
            <w:pPr>
              <w:spacing w:line="360" w:lineRule="auto"/>
              <w:jc w:val="left"/>
              <w:rPr>
                <w:rFonts w:hint="eastAsia" w:ascii="宋体" w:hAnsi="宋体" w:eastAsia="宋体" w:cs="宋体"/>
              </w:rPr>
            </w:pPr>
            <w:r>
              <w:rPr>
                <w:rFonts w:hint="eastAsia" w:ascii="宋体" w:hAnsi="宋体" w:eastAsia="宋体" w:cs="宋体"/>
              </w:rPr>
              <w:t>资金落实情况：已落实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7</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招标范围</w:t>
            </w:r>
          </w:p>
        </w:tc>
        <w:tc>
          <w:tcPr>
            <w:tcW w:w="6804" w:type="dxa"/>
          </w:tcPr>
          <w:p>
            <w:pPr>
              <w:rPr>
                <w:rFonts w:hint="eastAsia" w:ascii="宋体" w:hAnsi="宋体" w:eastAsia="宋体" w:cs="宋体"/>
              </w:rPr>
            </w:pPr>
            <w:r>
              <w:rPr>
                <w:rFonts w:hint="eastAsia" w:ascii="宋体" w:hAnsi="宋体" w:eastAsia="宋体" w:cs="宋体"/>
                <w:szCs w:val="21"/>
              </w:rPr>
              <w:t>施工准备阶段、施工阶段、竣工验收和保修阶段全过程监</w:t>
            </w:r>
            <w:r>
              <w:rPr>
                <w:rFonts w:hint="eastAsia" w:ascii="宋体" w:hAnsi="宋体" w:eastAsia="宋体" w:cs="宋体"/>
                <w:szCs w:val="21"/>
                <w:highlight w:val="none"/>
              </w:rPr>
              <w:t>理（包含智能化和绿化）。协助业主办理图纸审查和各项报批工作，对工程</w:t>
            </w:r>
            <w:r>
              <w:rPr>
                <w:rFonts w:hint="eastAsia" w:ascii="宋体" w:hAnsi="宋体" w:eastAsia="宋体" w:cs="宋体"/>
                <w:szCs w:val="21"/>
              </w:rPr>
              <w:t>进行质量、进度、投资、安全四大控制和合同管理、信息管理、安全生产管理、文明施工管理、组织协调施工单位以及水电气等配套单位的施工现场各方关系，配合业主单位协调、落实、跟踪、解决居民的合理诉求，工程竣工资料审核、竣工结算初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8</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监理服务期限</w:t>
            </w:r>
          </w:p>
        </w:tc>
        <w:tc>
          <w:tcPr>
            <w:tcW w:w="6804" w:type="dxa"/>
            <w:vAlign w:val="center"/>
          </w:tcPr>
          <w:p>
            <w:pPr>
              <w:rPr>
                <w:rFonts w:hint="eastAsia" w:ascii="宋体" w:hAnsi="宋体" w:eastAsia="宋体" w:cs="宋体"/>
              </w:rPr>
            </w:pPr>
            <w:r>
              <w:rPr>
                <w:rFonts w:hint="eastAsia" w:ascii="宋体" w:hAnsi="宋体" w:eastAsia="宋体" w:cs="宋体"/>
                <w:kern w:val="0"/>
                <w:szCs w:val="21"/>
              </w:rPr>
              <w:t>自工程施工准备阶段至保修（含缺陷责任期）阶段的监理服务</w:t>
            </w:r>
            <w:r>
              <w:rPr>
                <w:rFonts w:hint="eastAsia" w:ascii="宋体" w:hAnsi="宋体" w:eastAsia="宋体" w:cs="宋体"/>
                <w:szCs w:val="21"/>
              </w:rPr>
              <w:t>。如工期延长，费用不另增加。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9</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质量要求</w:t>
            </w:r>
          </w:p>
        </w:tc>
        <w:tc>
          <w:tcPr>
            <w:tcW w:w="6804" w:type="dxa"/>
            <w:vAlign w:val="center"/>
          </w:tcPr>
          <w:p>
            <w:pPr>
              <w:spacing w:line="360" w:lineRule="auto"/>
              <w:rPr>
                <w:rFonts w:hint="eastAsia" w:ascii="宋体" w:hAnsi="宋体" w:eastAsia="宋体" w:cs="宋体"/>
              </w:rPr>
            </w:pPr>
            <w:r>
              <w:rPr>
                <w:rFonts w:hint="eastAsia" w:ascii="宋体" w:hAnsi="宋体" w:eastAsia="宋体" w:cs="宋体"/>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exac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10</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投标人资格要求</w:t>
            </w:r>
          </w:p>
        </w:tc>
        <w:tc>
          <w:tcPr>
            <w:tcW w:w="6804" w:type="dxa"/>
            <w:vAlign w:val="center"/>
          </w:tcPr>
          <w:p>
            <w:pPr>
              <w:spacing w:line="360" w:lineRule="auto"/>
              <w:rPr>
                <w:rFonts w:hint="eastAsia" w:ascii="宋体" w:hAnsi="宋体" w:eastAsia="宋体" w:cs="宋体"/>
                <w:b/>
                <w:kern w:val="0"/>
              </w:rPr>
            </w:pPr>
            <w:r>
              <w:rPr>
                <w:rFonts w:hint="eastAsia" w:ascii="宋体" w:hAnsi="宋体" w:eastAsia="宋体" w:cs="宋体"/>
                <w:b/>
              </w:rPr>
              <w:t>必须具有行政管理部门核发的有效企业法人营业执照和建设部核发的工程监理综合资质或房屋建筑工程监理乙级及以上资质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11</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是否接受联合体</w:t>
            </w:r>
          </w:p>
        </w:tc>
        <w:tc>
          <w:tcPr>
            <w:tcW w:w="6804" w:type="dxa"/>
            <w:vAlign w:val="center"/>
          </w:tcPr>
          <w:p>
            <w:pPr>
              <w:spacing w:line="360" w:lineRule="auto"/>
              <w:rPr>
                <w:rFonts w:hint="eastAsia" w:ascii="宋体" w:hAnsi="宋体" w:eastAsia="宋体" w:cs="宋体"/>
                <w:b/>
                <w:u w:val="single"/>
              </w:rPr>
            </w:pPr>
            <w:r>
              <w:rPr>
                <w:rFonts w:hint="eastAsia" w:ascii="宋体" w:hAnsi="宋体" w:eastAsia="宋体" w:cs="宋体"/>
                <w:b/>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exact"/>
        </w:trPr>
        <w:tc>
          <w:tcPr>
            <w:tcW w:w="993" w:type="dxa"/>
            <w:vAlign w:val="center"/>
          </w:tcPr>
          <w:p>
            <w:pPr>
              <w:spacing w:line="360" w:lineRule="auto"/>
              <w:jc w:val="center"/>
              <w:rPr>
                <w:rFonts w:hint="eastAsia" w:ascii="宋体" w:hAnsi="宋体" w:eastAsia="宋体" w:cs="宋体"/>
                <w:b/>
              </w:rPr>
            </w:pPr>
            <w:r>
              <w:rPr>
                <w:rFonts w:hint="eastAsia" w:ascii="宋体" w:hAnsi="宋体" w:eastAsia="宋体" w:cs="宋体"/>
              </w:rPr>
              <w:t>12</w:t>
            </w:r>
          </w:p>
        </w:tc>
        <w:tc>
          <w:tcPr>
            <w:tcW w:w="1701" w:type="dxa"/>
            <w:vAlign w:val="center"/>
          </w:tcPr>
          <w:p>
            <w:pPr>
              <w:spacing w:line="360" w:lineRule="auto"/>
              <w:jc w:val="center"/>
              <w:rPr>
                <w:rFonts w:hint="eastAsia" w:ascii="宋体" w:hAnsi="宋体" w:eastAsia="宋体" w:cs="宋体"/>
                <w:b/>
              </w:rPr>
            </w:pPr>
            <w:r>
              <w:rPr>
                <w:rFonts w:hint="eastAsia" w:ascii="宋体" w:hAnsi="宋体" w:eastAsia="宋体" w:cs="宋体"/>
                <w:kern w:val="0"/>
              </w:rPr>
              <w:t>踏勘现场</w:t>
            </w:r>
          </w:p>
        </w:tc>
        <w:tc>
          <w:tcPr>
            <w:tcW w:w="6804" w:type="dxa"/>
            <w:vAlign w:val="center"/>
          </w:tcPr>
          <w:p>
            <w:pPr>
              <w:spacing w:line="360" w:lineRule="auto"/>
              <w:rPr>
                <w:rFonts w:hint="eastAsia" w:ascii="宋体" w:hAnsi="宋体" w:eastAsia="宋体" w:cs="宋体"/>
                <w:b/>
                <w:u w:val="single"/>
              </w:rPr>
            </w:pPr>
            <w:r>
              <w:rPr>
                <w:rFonts w:hint="eastAsia" w:ascii="宋体" w:hAnsi="宋体" w:eastAsia="宋体" w:cs="宋体"/>
                <w:kern w:val="0"/>
              </w:rPr>
              <w:t>招标人不组织投标人踏勘现场，投标人可以自行对工程施工现场和周围环境进行勘察，以获取编制投标文件和签署合同所需的所有资料。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13</w:t>
            </w:r>
          </w:p>
        </w:tc>
        <w:tc>
          <w:tcPr>
            <w:tcW w:w="1701" w:type="dxa"/>
            <w:vAlign w:val="center"/>
          </w:tcPr>
          <w:p>
            <w:pPr>
              <w:spacing w:line="360" w:lineRule="auto"/>
              <w:jc w:val="center"/>
              <w:rPr>
                <w:rFonts w:hint="eastAsia" w:ascii="宋体" w:hAnsi="宋体" w:eastAsia="宋体" w:cs="宋体"/>
                <w:b/>
              </w:rPr>
            </w:pPr>
            <w:r>
              <w:rPr>
                <w:rFonts w:hint="eastAsia" w:ascii="宋体" w:hAnsi="宋体" w:eastAsia="宋体" w:cs="宋体"/>
                <w:kern w:val="0"/>
              </w:rPr>
              <w:t>投标预备会</w:t>
            </w:r>
          </w:p>
        </w:tc>
        <w:tc>
          <w:tcPr>
            <w:tcW w:w="6804" w:type="dxa"/>
            <w:vAlign w:val="center"/>
          </w:tcPr>
          <w:p>
            <w:pPr>
              <w:spacing w:line="360" w:lineRule="auto"/>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exac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14</w:t>
            </w:r>
          </w:p>
        </w:tc>
        <w:tc>
          <w:tcPr>
            <w:tcW w:w="1701" w:type="dxa"/>
            <w:vAlign w:val="center"/>
          </w:tcPr>
          <w:p>
            <w:pPr>
              <w:spacing w:line="360" w:lineRule="auto"/>
              <w:jc w:val="center"/>
              <w:rPr>
                <w:rFonts w:hint="eastAsia" w:ascii="宋体" w:hAnsi="宋体" w:eastAsia="宋体" w:cs="宋体"/>
                <w:kern w:val="0"/>
              </w:rPr>
            </w:pPr>
            <w:r>
              <w:rPr>
                <w:rFonts w:hint="eastAsia" w:ascii="宋体" w:hAnsi="宋体" w:eastAsia="宋体" w:cs="宋体"/>
                <w:kern w:val="0"/>
              </w:rPr>
              <w:t>构成招标文件的其它材料</w:t>
            </w:r>
          </w:p>
        </w:tc>
        <w:tc>
          <w:tcPr>
            <w:tcW w:w="6804" w:type="dxa"/>
            <w:vAlign w:val="center"/>
          </w:tcPr>
          <w:p>
            <w:pPr>
              <w:autoSpaceDE w:val="0"/>
              <w:autoSpaceDN w:val="0"/>
              <w:adjustRightInd w:val="0"/>
              <w:spacing w:line="360" w:lineRule="auto"/>
              <w:jc w:val="left"/>
              <w:rPr>
                <w:rFonts w:hint="eastAsia" w:ascii="宋体" w:hAnsi="宋体" w:eastAsia="宋体" w:cs="宋体"/>
                <w:kern w:val="0"/>
              </w:rPr>
            </w:pPr>
            <w:r>
              <w:rPr>
                <w:rFonts w:hint="eastAsia" w:ascii="宋体" w:hAnsi="宋体" w:eastAsia="宋体" w:cs="宋体"/>
                <w:kern w:val="0"/>
              </w:rPr>
              <w:t>（1）招标文件备案表；（2）投标人须知；（3）评标办法；（4）合同条款及格式；（5）技术资料和设计文件；（6）投标文件格式；（7）投标人须知前附表规定的其他材料。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exac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15</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提交疑问材料</w:t>
            </w:r>
          </w:p>
          <w:p>
            <w:pPr>
              <w:spacing w:line="360" w:lineRule="auto"/>
              <w:jc w:val="center"/>
              <w:rPr>
                <w:rFonts w:hint="eastAsia" w:ascii="宋体" w:hAnsi="宋体" w:eastAsia="宋体" w:cs="宋体"/>
                <w:b/>
              </w:rPr>
            </w:pPr>
            <w:r>
              <w:rPr>
                <w:rFonts w:hint="eastAsia" w:ascii="宋体" w:hAnsi="宋体" w:eastAsia="宋体" w:cs="宋体"/>
              </w:rPr>
              <w:t>时间及方式</w:t>
            </w:r>
          </w:p>
        </w:tc>
        <w:tc>
          <w:tcPr>
            <w:tcW w:w="6804" w:type="dxa"/>
            <w:vAlign w:val="center"/>
          </w:tcPr>
          <w:p>
            <w:pPr>
              <w:spacing w:line="360" w:lineRule="auto"/>
              <w:rPr>
                <w:rFonts w:hint="eastAsia" w:ascii="宋体" w:hAnsi="宋体" w:eastAsia="宋体" w:cs="宋体"/>
                <w:b/>
              </w:rPr>
            </w:pPr>
            <w:r>
              <w:rPr>
                <w:rFonts w:hint="eastAsia" w:ascii="宋体" w:hAnsi="宋体" w:eastAsia="宋体" w:cs="宋体"/>
              </w:rPr>
              <w:t>如有疑问需要招标人澄清应在</w:t>
            </w:r>
            <w:r>
              <w:rPr>
                <w:rFonts w:hint="eastAsia" w:ascii="宋体" w:hAnsi="宋体" w:eastAsia="宋体" w:cs="宋体"/>
                <w:highlight w:val="yellow"/>
              </w:rPr>
              <w:t>2022年</w:t>
            </w:r>
            <w:r>
              <w:rPr>
                <w:rFonts w:hint="eastAsia" w:ascii="宋体" w:hAnsi="宋体" w:eastAsia="宋体" w:cs="宋体"/>
                <w:highlight w:val="yellow"/>
                <w:lang w:val="en-US" w:eastAsia="zh-CN"/>
              </w:rPr>
              <w:t>2</w:t>
            </w:r>
            <w:r>
              <w:rPr>
                <w:rFonts w:hint="eastAsia" w:ascii="宋体" w:hAnsi="宋体" w:eastAsia="宋体" w:cs="宋体"/>
                <w:highlight w:val="yellow"/>
              </w:rPr>
              <w:t>月</w:t>
            </w:r>
            <w:r>
              <w:rPr>
                <w:rFonts w:hint="eastAsia" w:ascii="宋体" w:hAnsi="宋体" w:eastAsia="宋体" w:cs="宋体"/>
                <w:highlight w:val="yellow"/>
                <w:lang w:val="en-US" w:eastAsia="zh-CN"/>
              </w:rPr>
              <w:t>14</w:t>
            </w:r>
            <w:r>
              <w:rPr>
                <w:rFonts w:hint="eastAsia" w:ascii="宋体" w:hAnsi="宋体" w:eastAsia="宋体" w:cs="宋体"/>
                <w:highlight w:val="yellow"/>
              </w:rPr>
              <w:t>日17时</w:t>
            </w:r>
            <w:r>
              <w:rPr>
                <w:rFonts w:hint="eastAsia" w:ascii="宋体" w:hAnsi="宋体" w:eastAsia="宋体" w:cs="宋体"/>
              </w:rPr>
              <w:t>前以电子文件形式（不具单位名称、不加盖单位公章）发送至指定邮箱</w:t>
            </w:r>
            <w:r>
              <w:rPr>
                <w:rFonts w:hint="eastAsia" w:ascii="宋体" w:hAnsi="宋体" w:eastAsia="宋体" w:cs="宋体"/>
                <w:u w:val="thick"/>
              </w:rPr>
              <w:t>（</w:t>
            </w:r>
            <w:r>
              <w:rPr>
                <w:rFonts w:hint="eastAsia" w:ascii="宋体" w:hAnsi="宋体" w:eastAsia="宋体" w:cs="宋体"/>
                <w:color w:val="000000"/>
                <w:u w:val="thick"/>
              </w:rPr>
              <w:t>13016797299@163.com</w:t>
            </w:r>
            <w:r>
              <w:rPr>
                <w:rFonts w:hint="eastAsia" w:ascii="宋体" w:hAnsi="宋体" w:eastAsia="宋体" w:cs="宋体"/>
                <w:u w:val="thick"/>
              </w:rPr>
              <w:t>）</w:t>
            </w:r>
            <w:r>
              <w:rPr>
                <w:rFonts w:hint="eastAsia" w:ascii="宋体" w:hAnsi="宋体" w:eastAsia="宋体" w:cs="宋体"/>
              </w:rPr>
              <w:t>向招标人提出，招标人予以解答，解答的内容报崇川区公共资源交易管理办公室备案后，将在“</w:t>
            </w:r>
            <w:r>
              <w:rPr>
                <w:rFonts w:hint="eastAsia" w:ascii="宋体" w:hAnsi="宋体" w:eastAsia="宋体" w:cs="宋体"/>
                <w:szCs w:val="23"/>
              </w:rPr>
              <w:t>南通市崇川区人民政府网政府采购与工程招标栏”</w:t>
            </w:r>
            <w:r>
              <w:rPr>
                <w:rFonts w:hint="eastAsia" w:ascii="宋体" w:hAnsi="宋体" w:eastAsia="宋体" w:cs="宋体"/>
              </w:rPr>
              <w:t>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exact"/>
        </w:trPr>
        <w:tc>
          <w:tcPr>
            <w:tcW w:w="993" w:type="dxa"/>
            <w:vAlign w:val="center"/>
          </w:tcPr>
          <w:p>
            <w:pPr>
              <w:spacing w:line="360" w:lineRule="auto"/>
              <w:jc w:val="center"/>
              <w:rPr>
                <w:rFonts w:hint="eastAsia" w:ascii="宋体" w:hAnsi="宋体" w:eastAsia="宋体" w:cs="宋体"/>
              </w:rPr>
            </w:pPr>
            <w:r>
              <w:rPr>
                <w:rFonts w:hint="eastAsia" w:ascii="宋体" w:hAnsi="宋体" w:eastAsia="宋体" w:cs="宋体"/>
              </w:rPr>
              <w:t>16</w:t>
            </w:r>
          </w:p>
        </w:tc>
        <w:tc>
          <w:tcPr>
            <w:tcW w:w="1701" w:type="dxa"/>
            <w:vAlign w:val="center"/>
          </w:tcPr>
          <w:p>
            <w:pPr>
              <w:spacing w:line="360" w:lineRule="auto"/>
              <w:jc w:val="center"/>
              <w:rPr>
                <w:rFonts w:hint="eastAsia" w:ascii="宋体" w:hAnsi="宋体" w:eastAsia="宋体" w:cs="宋体"/>
                <w:b/>
              </w:rPr>
            </w:pPr>
            <w:r>
              <w:rPr>
                <w:rFonts w:hint="eastAsia" w:ascii="宋体" w:hAnsi="宋体" w:eastAsia="宋体" w:cs="宋体"/>
                <w:kern w:val="0"/>
              </w:rPr>
              <w:t>投标文件的组成</w:t>
            </w:r>
          </w:p>
        </w:tc>
        <w:tc>
          <w:tcPr>
            <w:tcW w:w="6804" w:type="dxa"/>
            <w:vAlign w:val="center"/>
          </w:tcPr>
          <w:p>
            <w:pPr>
              <w:spacing w:line="360" w:lineRule="auto"/>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投标函；</w:t>
            </w:r>
          </w:p>
          <w:p>
            <w:pPr>
              <w:spacing w:line="360" w:lineRule="auto"/>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法定代表人身份证明或附有法定代表人身份证明的授权委托书；</w:t>
            </w:r>
          </w:p>
          <w:p>
            <w:pPr>
              <w:pStyle w:val="16"/>
              <w:ind w:firstLine="0" w:firstLineChars="0"/>
              <w:rPr>
                <w:rFonts w:hint="eastAsia" w:ascii="宋体" w:hAnsi="宋体" w:eastAsia="宋体" w:cs="宋体"/>
                <w:sz w:val="21"/>
              </w:rPr>
            </w:pPr>
            <w:r>
              <w:rPr>
                <w:rFonts w:hint="eastAsia" w:ascii="宋体" w:hAnsi="宋体" w:eastAsia="宋体" w:cs="宋体"/>
                <w:sz w:val="21"/>
              </w:rPr>
              <w:sym w:font="Wingdings" w:char="00A8"/>
            </w:r>
            <w:r>
              <w:rPr>
                <w:rFonts w:hint="eastAsia" w:ascii="宋体" w:hAnsi="宋体" w:eastAsia="宋体" w:cs="宋体"/>
                <w:sz w:val="21"/>
                <w:szCs w:val="24"/>
              </w:rPr>
              <w:t>企业业绩</w:t>
            </w:r>
          </w:p>
          <w:p>
            <w:pPr>
              <w:spacing w:line="360" w:lineRule="auto"/>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投标人基本情况一览表；</w:t>
            </w:r>
          </w:p>
          <w:p>
            <w:pPr>
              <w:spacing w:line="360" w:lineRule="auto"/>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监理人员一览表；</w:t>
            </w:r>
          </w:p>
          <w:p>
            <w:pPr>
              <w:spacing w:line="360" w:lineRule="auto"/>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拟投入现场的设备、检测仪器一览表；</w:t>
            </w:r>
          </w:p>
          <w:p>
            <w:pPr>
              <w:spacing w:line="360" w:lineRule="auto"/>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承诺书；</w:t>
            </w:r>
          </w:p>
          <w:p>
            <w:pPr>
              <w:spacing w:line="360" w:lineRule="auto"/>
              <w:rPr>
                <w:rFonts w:hint="eastAsia" w:ascii="宋体" w:hAnsi="宋体" w:eastAsia="宋体" w:cs="宋体"/>
              </w:rPr>
            </w:pPr>
            <w:r>
              <w:rPr>
                <w:rFonts w:hint="eastAsia" w:ascii="宋体" w:hAnsi="宋体" w:eastAsia="宋体" w:cs="宋体"/>
              </w:rPr>
              <w:sym w:font="Wingdings" w:char="00FE"/>
            </w:r>
            <w:r>
              <w:rPr>
                <w:rFonts w:hint="eastAsia" w:ascii="宋体" w:hAnsi="宋体" w:eastAsia="宋体" w:cs="宋体"/>
              </w:rPr>
              <w:t>其他（包括招标文件要求的其他内容及第五章投标文件格式中相关内容）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exac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17</w:t>
            </w:r>
          </w:p>
        </w:tc>
        <w:tc>
          <w:tcPr>
            <w:tcW w:w="1701" w:type="dxa"/>
            <w:vAlign w:val="center"/>
          </w:tcPr>
          <w:p>
            <w:pPr>
              <w:spacing w:line="360" w:lineRule="auto"/>
              <w:jc w:val="center"/>
              <w:rPr>
                <w:rFonts w:hint="eastAsia" w:ascii="宋体" w:hAnsi="宋体" w:eastAsia="宋体" w:cs="宋体"/>
                <w:color w:val="000000"/>
                <w:kern w:val="0"/>
              </w:rPr>
            </w:pPr>
            <w:r>
              <w:rPr>
                <w:rFonts w:hint="eastAsia" w:ascii="宋体" w:hAnsi="宋体" w:eastAsia="宋体" w:cs="宋体"/>
                <w:color w:val="000000"/>
                <w:kern w:val="0"/>
              </w:rPr>
              <w:t>投标人须提交</w:t>
            </w:r>
          </w:p>
          <w:p>
            <w:pPr>
              <w:spacing w:line="360" w:lineRule="auto"/>
              <w:jc w:val="center"/>
              <w:rPr>
                <w:rFonts w:hint="eastAsia" w:ascii="宋体" w:hAnsi="宋体" w:eastAsia="宋体" w:cs="宋体"/>
                <w:color w:val="000000"/>
                <w:kern w:val="0"/>
              </w:rPr>
            </w:pPr>
            <w:r>
              <w:rPr>
                <w:rFonts w:hint="eastAsia" w:ascii="宋体" w:hAnsi="宋体" w:eastAsia="宋体" w:cs="宋体"/>
                <w:color w:val="000000"/>
                <w:kern w:val="0"/>
              </w:rPr>
              <w:t>核验的原件材料</w:t>
            </w:r>
          </w:p>
        </w:tc>
        <w:tc>
          <w:tcPr>
            <w:tcW w:w="6804" w:type="dxa"/>
            <w:vAlign w:val="center"/>
          </w:tcPr>
          <w:p>
            <w:pPr>
              <w:spacing w:line="360" w:lineRule="auto"/>
              <w:rPr>
                <w:rFonts w:hint="eastAsia" w:ascii="宋体" w:hAnsi="宋体" w:eastAsia="宋体" w:cs="宋体"/>
                <w:color w:val="000000"/>
              </w:rPr>
            </w:pPr>
            <w:r>
              <w:rPr>
                <w:rFonts w:hint="eastAsia" w:ascii="宋体" w:hAnsi="宋体" w:eastAsia="宋体" w:cs="宋体"/>
                <w:color w:val="000000"/>
              </w:rPr>
              <w:t>详见3.1.3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18</w:t>
            </w:r>
          </w:p>
        </w:tc>
        <w:tc>
          <w:tcPr>
            <w:tcW w:w="1701"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投标有效期</w:t>
            </w:r>
          </w:p>
        </w:tc>
        <w:tc>
          <w:tcPr>
            <w:tcW w:w="6804" w:type="dxa"/>
            <w:vAlign w:val="center"/>
          </w:tcPr>
          <w:p>
            <w:pPr>
              <w:spacing w:line="360" w:lineRule="auto"/>
              <w:rPr>
                <w:rFonts w:hint="eastAsia" w:ascii="宋体" w:hAnsi="宋体" w:eastAsia="宋体" w:cs="宋体"/>
                <w:color w:val="000000"/>
              </w:rPr>
            </w:pPr>
            <w:r>
              <w:rPr>
                <w:rFonts w:hint="eastAsia" w:ascii="宋体" w:hAnsi="宋体" w:eastAsia="宋体" w:cs="宋体"/>
                <w:color w:val="000000"/>
              </w:rPr>
              <w:t>投标截止日后</w:t>
            </w:r>
            <w:r>
              <w:rPr>
                <w:rFonts w:hint="eastAsia" w:ascii="宋体" w:hAnsi="宋体" w:eastAsia="宋体" w:cs="宋体"/>
                <w:b/>
                <w:color w:val="000000"/>
                <w:u w:val="single"/>
              </w:rPr>
              <w:t xml:space="preserve">  60  </w:t>
            </w:r>
            <w:r>
              <w:rPr>
                <w:rFonts w:hint="eastAsia" w:ascii="宋体" w:hAnsi="宋体" w:eastAsia="宋体" w:cs="宋体"/>
                <w:color w:val="000000"/>
              </w:rPr>
              <w:t>日历天内有效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19</w:t>
            </w:r>
          </w:p>
        </w:tc>
        <w:tc>
          <w:tcPr>
            <w:tcW w:w="1701"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投标保证金</w:t>
            </w:r>
          </w:p>
        </w:tc>
        <w:tc>
          <w:tcPr>
            <w:tcW w:w="6804" w:type="dxa"/>
            <w:vAlign w:val="center"/>
          </w:tcPr>
          <w:p>
            <w:pPr>
              <w:spacing w:line="360" w:lineRule="auto"/>
              <w:rPr>
                <w:rFonts w:hint="eastAsia" w:ascii="宋体" w:hAnsi="宋体" w:eastAsia="宋体" w:cs="宋体"/>
              </w:rPr>
            </w:pPr>
            <w:r>
              <w:rPr>
                <w:rFonts w:hint="eastAsia" w:ascii="宋体" w:hAnsi="宋体" w:eastAsia="宋体" w:cs="宋体"/>
              </w:rPr>
              <w:t>投标保证金的形式：银行汇票</w:t>
            </w:r>
          </w:p>
          <w:p>
            <w:pPr>
              <w:spacing w:line="360" w:lineRule="auto"/>
              <w:rPr>
                <w:rFonts w:hint="eastAsia" w:ascii="宋体" w:hAnsi="宋体" w:eastAsia="宋体" w:cs="宋体"/>
              </w:rPr>
            </w:pPr>
            <w:r>
              <w:rPr>
                <w:rFonts w:hint="eastAsia" w:ascii="宋体" w:hAnsi="宋体" w:eastAsia="宋体" w:cs="宋体"/>
              </w:rPr>
              <w:t>投标保证金的金额：人民</w:t>
            </w:r>
            <w:r>
              <w:rPr>
                <w:rFonts w:hint="eastAsia" w:ascii="宋体" w:hAnsi="宋体" w:eastAsia="宋体" w:cs="宋体"/>
                <w:highlight w:val="yellow"/>
              </w:rPr>
              <w:t>币</w:t>
            </w:r>
            <w:r>
              <w:rPr>
                <w:rFonts w:hint="eastAsia" w:ascii="宋体" w:hAnsi="宋体" w:eastAsia="宋体" w:cs="宋体"/>
                <w:highlight w:val="yellow"/>
                <w:lang w:eastAsia="zh-CN"/>
              </w:rPr>
              <w:t>壹万元</w:t>
            </w:r>
            <w:r>
              <w:rPr>
                <w:rFonts w:hint="eastAsia" w:ascii="宋体" w:hAnsi="宋体" w:eastAsia="宋体" w:cs="宋体"/>
                <w:highlight w:val="yellow"/>
              </w:rPr>
              <w:t>整 (¥</w:t>
            </w:r>
            <w:r>
              <w:rPr>
                <w:rFonts w:hint="eastAsia" w:ascii="宋体" w:hAnsi="宋体" w:eastAsia="宋体" w:cs="宋体"/>
                <w:highlight w:val="yellow"/>
                <w:lang w:val="en-US" w:eastAsia="zh-CN"/>
              </w:rPr>
              <w:t>10</w:t>
            </w:r>
            <w:r>
              <w:rPr>
                <w:rFonts w:hint="eastAsia" w:ascii="宋体" w:hAnsi="宋体" w:eastAsia="宋体" w:cs="宋体"/>
                <w:highlight w:val="yellow"/>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20</w:t>
            </w:r>
          </w:p>
        </w:tc>
        <w:tc>
          <w:tcPr>
            <w:tcW w:w="1701"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备选投标方案</w:t>
            </w:r>
          </w:p>
        </w:tc>
        <w:tc>
          <w:tcPr>
            <w:tcW w:w="6804" w:type="dxa"/>
            <w:vAlign w:val="center"/>
          </w:tcPr>
          <w:p>
            <w:pPr>
              <w:autoSpaceDE w:val="0"/>
              <w:autoSpaceDN w:val="0"/>
              <w:adjustRightInd w:val="0"/>
              <w:spacing w:line="360" w:lineRule="auto"/>
              <w:jc w:val="left"/>
              <w:rPr>
                <w:rFonts w:hint="eastAsia" w:ascii="宋体" w:hAnsi="宋体" w:eastAsia="宋体" w:cs="宋体"/>
                <w:color w:val="000000"/>
                <w:kern w:val="0"/>
              </w:rPr>
            </w:pPr>
            <w:r>
              <w:rPr>
                <w:rFonts w:hint="eastAsia" w:ascii="宋体" w:hAnsi="宋体" w:eastAsia="宋体" w:cs="宋体"/>
              </w:rPr>
              <w:sym w:font="Wingdings" w:char="00FE"/>
            </w:r>
            <w:r>
              <w:rPr>
                <w:rFonts w:hint="eastAsia" w:ascii="宋体" w:hAnsi="宋体" w:eastAsia="宋体" w:cs="宋体"/>
                <w:color w:val="000000"/>
                <w:kern w:val="0"/>
              </w:rPr>
              <w:t>不允许递交     □允许递交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21</w:t>
            </w:r>
          </w:p>
        </w:tc>
        <w:tc>
          <w:tcPr>
            <w:tcW w:w="1701"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投标文件的份数</w:t>
            </w:r>
          </w:p>
        </w:tc>
        <w:tc>
          <w:tcPr>
            <w:tcW w:w="6804" w:type="dxa"/>
            <w:vAlign w:val="center"/>
          </w:tcPr>
          <w:p>
            <w:pPr>
              <w:spacing w:line="360" w:lineRule="auto"/>
              <w:rPr>
                <w:rFonts w:hint="eastAsia" w:ascii="宋体" w:hAnsi="宋体" w:eastAsia="宋体" w:cs="宋体"/>
                <w:color w:val="000000"/>
              </w:rPr>
            </w:pPr>
            <w:r>
              <w:rPr>
                <w:rFonts w:hint="eastAsia" w:ascii="宋体" w:hAnsi="宋体" w:eastAsia="宋体" w:cs="宋体"/>
                <w:color w:val="000000"/>
              </w:rPr>
              <w:t>纸质投标文件正本</w:t>
            </w:r>
            <w:r>
              <w:rPr>
                <w:rFonts w:hint="eastAsia" w:ascii="宋体" w:hAnsi="宋体" w:eastAsia="宋体" w:cs="宋体"/>
                <w:b/>
                <w:color w:val="000000"/>
                <w:u w:val="single"/>
              </w:rPr>
              <w:t xml:space="preserve">  1  </w:t>
            </w:r>
            <w:r>
              <w:rPr>
                <w:rFonts w:hint="eastAsia" w:ascii="宋体" w:hAnsi="宋体" w:eastAsia="宋体" w:cs="宋体"/>
                <w:color w:val="000000"/>
              </w:rPr>
              <w:t>份，副本</w:t>
            </w:r>
            <w:r>
              <w:rPr>
                <w:rFonts w:hint="eastAsia" w:ascii="宋体" w:hAnsi="宋体" w:eastAsia="宋体" w:cs="宋体"/>
                <w:b/>
                <w:color w:val="000000"/>
                <w:u w:val="single"/>
              </w:rPr>
              <w:t xml:space="preserve">  3  </w:t>
            </w:r>
            <w:r>
              <w:rPr>
                <w:rFonts w:hint="eastAsia" w:ascii="宋体" w:hAnsi="宋体" w:eastAsia="宋体" w:cs="宋体"/>
                <w:color w:val="000000"/>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22</w:t>
            </w:r>
          </w:p>
        </w:tc>
        <w:tc>
          <w:tcPr>
            <w:tcW w:w="1701" w:type="dxa"/>
            <w:vAlign w:val="center"/>
          </w:tcPr>
          <w:p>
            <w:pPr>
              <w:spacing w:line="360" w:lineRule="auto"/>
              <w:jc w:val="center"/>
              <w:rPr>
                <w:rFonts w:hint="eastAsia" w:ascii="宋体" w:hAnsi="宋体" w:eastAsia="宋体" w:cs="宋体"/>
                <w:color w:val="000000"/>
                <w:kern w:val="0"/>
              </w:rPr>
            </w:pPr>
            <w:r>
              <w:rPr>
                <w:rFonts w:hint="eastAsia" w:ascii="宋体" w:hAnsi="宋体" w:eastAsia="宋体" w:cs="宋体"/>
                <w:color w:val="000000"/>
                <w:kern w:val="0"/>
              </w:rPr>
              <w:t>监理方案是否</w:t>
            </w:r>
          </w:p>
          <w:p>
            <w:pPr>
              <w:spacing w:line="360" w:lineRule="auto"/>
              <w:jc w:val="center"/>
              <w:rPr>
                <w:rFonts w:hint="eastAsia" w:ascii="宋体" w:hAnsi="宋体" w:eastAsia="宋体" w:cs="宋体"/>
                <w:color w:val="000000"/>
                <w:kern w:val="0"/>
              </w:rPr>
            </w:pPr>
            <w:r>
              <w:rPr>
                <w:rFonts w:hint="eastAsia" w:ascii="宋体" w:hAnsi="宋体" w:eastAsia="宋体" w:cs="宋体"/>
                <w:color w:val="000000"/>
                <w:kern w:val="0"/>
              </w:rPr>
              <w:t>采用暗标评审</w:t>
            </w:r>
          </w:p>
        </w:tc>
        <w:tc>
          <w:tcPr>
            <w:tcW w:w="6804" w:type="dxa"/>
            <w:vAlign w:val="center"/>
          </w:tcPr>
          <w:p>
            <w:pPr>
              <w:spacing w:line="360" w:lineRule="auto"/>
              <w:rPr>
                <w:rFonts w:hint="eastAsia" w:ascii="宋体" w:hAnsi="宋体" w:eastAsia="宋体" w:cs="宋体"/>
                <w:color w:val="000000"/>
              </w:rPr>
            </w:pPr>
            <w:r>
              <w:rPr>
                <w:rFonts w:hint="eastAsia" w:ascii="宋体" w:hAnsi="宋体" w:eastAsia="宋体" w:cs="宋体"/>
                <w:color w:val="000000"/>
              </w:rPr>
              <w:sym w:font="Wingdings 2" w:char="0052"/>
            </w:r>
            <w:r>
              <w:rPr>
                <w:rFonts w:hint="eastAsia" w:ascii="宋体" w:hAnsi="宋体" w:eastAsia="宋体" w:cs="宋体"/>
                <w:color w:val="000000"/>
              </w:rPr>
              <w:t>不采用</w:t>
            </w:r>
          </w:p>
          <w:p>
            <w:pPr>
              <w:spacing w:line="360" w:lineRule="auto"/>
              <w:rPr>
                <w:rFonts w:hint="eastAsia" w:ascii="宋体" w:hAnsi="宋体" w:eastAsia="宋体" w:cs="宋体"/>
                <w:color w:val="000000"/>
                <w:u w:val="single"/>
              </w:rPr>
            </w:pPr>
            <w:r>
              <w:rPr>
                <w:rFonts w:hint="eastAsia" w:ascii="宋体" w:hAnsi="宋体" w:eastAsia="宋体" w:cs="宋体"/>
                <w:color w:val="000000"/>
              </w:rPr>
              <w:t>□采用，具体规定：</w:t>
            </w:r>
            <w:r>
              <w:rPr>
                <w:rFonts w:hint="eastAsia" w:ascii="宋体" w:hAnsi="宋体" w:eastAsia="宋体" w:cs="宋体"/>
                <w:color w:val="000000"/>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kern w:val="0"/>
              </w:rPr>
              <w:t>23</w:t>
            </w:r>
          </w:p>
        </w:tc>
        <w:tc>
          <w:tcPr>
            <w:tcW w:w="1701" w:type="dxa"/>
            <w:vAlign w:val="center"/>
          </w:tcPr>
          <w:p>
            <w:pPr>
              <w:spacing w:line="360" w:lineRule="auto"/>
              <w:jc w:val="center"/>
              <w:rPr>
                <w:rFonts w:hint="eastAsia" w:ascii="宋体" w:hAnsi="宋体" w:eastAsia="宋体" w:cs="宋体"/>
                <w:kern w:val="0"/>
              </w:rPr>
            </w:pPr>
            <w:r>
              <w:rPr>
                <w:rFonts w:hint="eastAsia" w:ascii="宋体" w:hAnsi="宋体" w:eastAsia="宋体" w:cs="宋体"/>
                <w:kern w:val="0"/>
              </w:rPr>
              <w:t>投标截止时间</w:t>
            </w:r>
          </w:p>
        </w:tc>
        <w:tc>
          <w:tcPr>
            <w:tcW w:w="6804" w:type="dxa"/>
            <w:vAlign w:val="center"/>
          </w:tcPr>
          <w:p>
            <w:pPr>
              <w:spacing w:line="360" w:lineRule="auto"/>
              <w:rPr>
                <w:rFonts w:hint="eastAsia" w:ascii="宋体" w:hAnsi="宋体" w:eastAsia="宋体" w:cs="宋体"/>
                <w:u w:val="single"/>
              </w:rPr>
            </w:pPr>
            <w:r>
              <w:rPr>
                <w:rFonts w:hint="eastAsia" w:ascii="宋体" w:hAnsi="宋体" w:eastAsia="宋体" w:cs="宋体"/>
                <w:b/>
                <w:bCs/>
                <w:color w:val="FF0000"/>
                <w:u w:val="single"/>
              </w:rPr>
              <w:t>202</w:t>
            </w:r>
            <w:r>
              <w:rPr>
                <w:rFonts w:hint="eastAsia" w:ascii="宋体" w:hAnsi="宋体" w:eastAsia="宋体" w:cs="宋体"/>
                <w:b/>
                <w:bCs/>
                <w:color w:val="FF0000"/>
                <w:highlight w:val="yellow"/>
                <w:u w:val="single"/>
              </w:rPr>
              <w:t>2年</w:t>
            </w:r>
            <w:r>
              <w:rPr>
                <w:rFonts w:hint="eastAsia" w:ascii="宋体" w:hAnsi="宋体" w:eastAsia="宋体" w:cs="宋体"/>
                <w:b/>
                <w:bCs/>
                <w:color w:val="FF0000"/>
                <w:highlight w:val="yellow"/>
                <w:u w:val="single"/>
                <w:lang w:val="en-US" w:eastAsia="zh-CN"/>
              </w:rPr>
              <w:t>2</w:t>
            </w:r>
            <w:r>
              <w:rPr>
                <w:rFonts w:hint="eastAsia" w:ascii="宋体" w:hAnsi="宋体" w:eastAsia="宋体" w:cs="宋体"/>
                <w:b/>
                <w:bCs/>
                <w:color w:val="FF0000"/>
                <w:highlight w:val="yellow"/>
                <w:u w:val="single"/>
              </w:rPr>
              <w:t>月</w:t>
            </w:r>
            <w:r>
              <w:rPr>
                <w:rFonts w:hint="eastAsia" w:ascii="宋体" w:hAnsi="宋体" w:eastAsia="宋体" w:cs="宋体"/>
                <w:b/>
                <w:bCs/>
                <w:color w:val="FF0000"/>
                <w:highlight w:val="yellow"/>
                <w:u w:val="single"/>
                <w:lang w:val="en-US" w:eastAsia="zh-CN"/>
              </w:rPr>
              <w:t>23</w:t>
            </w:r>
            <w:r>
              <w:rPr>
                <w:rFonts w:hint="eastAsia" w:ascii="宋体" w:hAnsi="宋体" w:eastAsia="宋体" w:cs="宋体"/>
                <w:b/>
                <w:bCs/>
                <w:color w:val="FF0000"/>
                <w:highlight w:val="yellow"/>
                <w:u w:val="single"/>
              </w:rPr>
              <w:t>日</w:t>
            </w:r>
            <w:r>
              <w:rPr>
                <w:rFonts w:hint="eastAsia" w:ascii="宋体" w:hAnsi="宋体" w:eastAsia="宋体" w:cs="宋体"/>
                <w:b/>
                <w:bCs/>
                <w:color w:val="FF0000"/>
                <w:u w:val="single"/>
              </w:rPr>
              <w:t xml:space="preserve"> 9时30 分</w:t>
            </w:r>
            <w:r>
              <w:rPr>
                <w:rFonts w:hint="eastAsia" w:ascii="宋体" w:hAnsi="宋体" w:eastAsia="宋体" w:cs="宋体"/>
                <w:color w:val="FF0000"/>
              </w:rPr>
              <w:t>（</w:t>
            </w:r>
            <w:r>
              <w:rPr>
                <w:rFonts w:hint="eastAsia" w:ascii="宋体" w:hAnsi="宋体" w:eastAsia="宋体" w:cs="宋体"/>
                <w:u w:val="single"/>
              </w:rPr>
              <w:t>以开标室电子时钟显示为准）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993" w:type="dxa"/>
            <w:vAlign w:val="center"/>
          </w:tcPr>
          <w:p>
            <w:pPr>
              <w:spacing w:line="360" w:lineRule="auto"/>
              <w:jc w:val="center"/>
              <w:rPr>
                <w:rFonts w:hint="eastAsia" w:ascii="宋体" w:hAnsi="宋体" w:eastAsia="宋体" w:cs="宋体"/>
                <w:color w:val="000000"/>
                <w:kern w:val="0"/>
              </w:rPr>
            </w:pPr>
            <w:r>
              <w:rPr>
                <w:rFonts w:hint="eastAsia" w:ascii="宋体" w:hAnsi="宋体" w:eastAsia="宋体" w:cs="宋体"/>
                <w:color w:val="000000"/>
              </w:rPr>
              <w:t>24</w:t>
            </w:r>
          </w:p>
        </w:tc>
        <w:tc>
          <w:tcPr>
            <w:tcW w:w="1701" w:type="dxa"/>
            <w:vAlign w:val="center"/>
          </w:tcPr>
          <w:p>
            <w:pPr>
              <w:spacing w:line="360" w:lineRule="auto"/>
              <w:jc w:val="center"/>
              <w:rPr>
                <w:rFonts w:hint="eastAsia" w:ascii="宋体" w:hAnsi="宋体" w:eastAsia="宋体" w:cs="宋体"/>
                <w:kern w:val="0"/>
              </w:rPr>
            </w:pPr>
            <w:r>
              <w:rPr>
                <w:rFonts w:hint="eastAsia" w:ascii="宋体" w:hAnsi="宋体" w:eastAsia="宋体" w:cs="宋体"/>
                <w:kern w:val="0"/>
              </w:rPr>
              <w:t>递交投标文件地点</w:t>
            </w:r>
          </w:p>
        </w:tc>
        <w:tc>
          <w:tcPr>
            <w:tcW w:w="6804" w:type="dxa"/>
            <w:vAlign w:val="center"/>
          </w:tcPr>
          <w:p>
            <w:pPr>
              <w:spacing w:line="360" w:lineRule="auto"/>
              <w:jc w:val="left"/>
              <w:rPr>
                <w:rFonts w:hint="eastAsia" w:ascii="宋体" w:hAnsi="宋体" w:eastAsia="宋体" w:cs="宋体"/>
                <w:b/>
                <w:u w:val="single"/>
              </w:rPr>
            </w:pPr>
            <w:r>
              <w:rPr>
                <w:rFonts w:hint="eastAsia" w:ascii="宋体" w:hAnsi="宋体" w:eastAsia="宋体" w:cs="宋体"/>
                <w:b/>
              </w:rPr>
              <w:t>提交地点：南通市崇川区青年中路128号，崇川区便民服务</w:t>
            </w:r>
            <w:r>
              <w:rPr>
                <w:rFonts w:hint="eastAsia" w:ascii="宋体" w:hAnsi="宋体" w:eastAsia="宋体" w:cs="宋体"/>
                <w:b/>
                <w:highlight w:val="yellow"/>
              </w:rPr>
              <w:t>中心</w:t>
            </w:r>
            <w:r>
              <w:rPr>
                <w:rFonts w:hint="eastAsia" w:ascii="宋体" w:hAnsi="宋体" w:eastAsia="宋体" w:cs="宋体"/>
                <w:b/>
                <w:highlight w:val="yellow"/>
                <w:lang w:val="en-US" w:eastAsia="zh-CN"/>
              </w:rPr>
              <w:t>314</w:t>
            </w:r>
            <w:r>
              <w:rPr>
                <w:rFonts w:hint="eastAsia" w:ascii="宋体" w:hAnsi="宋体" w:eastAsia="宋体" w:cs="宋体"/>
                <w:b/>
                <w:highlight w:val="yellow"/>
              </w:rPr>
              <w:t>会议</w:t>
            </w:r>
            <w:r>
              <w:rPr>
                <w:rFonts w:hint="eastAsia" w:ascii="宋体" w:hAnsi="宋体" w:eastAsia="宋体" w:cs="宋体"/>
                <w:b/>
              </w:rPr>
              <w:t>室（东楼）</w:t>
            </w:r>
          </w:p>
          <w:p>
            <w:pPr>
              <w:spacing w:line="360" w:lineRule="auto"/>
              <w:jc w:val="left"/>
              <w:rPr>
                <w:rFonts w:hint="eastAsia" w:ascii="宋体" w:hAnsi="宋体" w:eastAsia="宋体" w:cs="宋体"/>
                <w:b/>
              </w:rPr>
            </w:pPr>
            <w:r>
              <w:rPr>
                <w:rFonts w:hint="eastAsia" w:ascii="宋体" w:hAnsi="宋体" w:eastAsia="宋体" w:cs="宋体"/>
                <w:b/>
              </w:rPr>
              <w:t>特别提醒：崇川区便民服务中心停车位有限，请各潜在投标人合理选择交通工具，或提前到达投标地点。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25</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开标时间、地点和人员</w:t>
            </w:r>
          </w:p>
        </w:tc>
        <w:tc>
          <w:tcPr>
            <w:tcW w:w="6804" w:type="dxa"/>
            <w:vAlign w:val="center"/>
          </w:tcPr>
          <w:p>
            <w:pPr>
              <w:spacing w:line="360" w:lineRule="auto"/>
              <w:rPr>
                <w:rFonts w:hint="eastAsia" w:ascii="宋体" w:hAnsi="宋体" w:eastAsia="宋体" w:cs="宋体"/>
              </w:rPr>
            </w:pPr>
            <w:r>
              <w:rPr>
                <w:rFonts w:hint="eastAsia" w:ascii="宋体" w:hAnsi="宋体" w:eastAsia="宋体" w:cs="宋体"/>
              </w:rPr>
              <w:t>开标时间：同投标截止时间</w:t>
            </w:r>
          </w:p>
          <w:p>
            <w:pPr>
              <w:spacing w:line="360" w:lineRule="auto"/>
              <w:rPr>
                <w:rFonts w:hint="eastAsia" w:ascii="宋体" w:hAnsi="宋体" w:eastAsia="宋体" w:cs="宋体"/>
              </w:rPr>
            </w:pPr>
            <w:r>
              <w:rPr>
                <w:rFonts w:hint="eastAsia" w:ascii="宋体" w:hAnsi="宋体" w:eastAsia="宋体" w:cs="宋体"/>
              </w:rPr>
              <w:t>开标地点：同递交投标文件地点</w:t>
            </w:r>
          </w:p>
          <w:p>
            <w:pPr>
              <w:spacing w:line="360" w:lineRule="auto"/>
              <w:rPr>
                <w:rFonts w:hint="eastAsia" w:ascii="宋体" w:hAnsi="宋体" w:eastAsia="宋体" w:cs="宋体"/>
              </w:rPr>
            </w:pPr>
            <w:r>
              <w:rPr>
                <w:rFonts w:hint="eastAsia" w:ascii="宋体" w:hAnsi="宋体" w:eastAsia="宋体" w:cs="宋体"/>
              </w:rPr>
              <w:t>参加人员及要求：</w:t>
            </w:r>
            <w:r>
              <w:rPr>
                <w:rFonts w:hint="eastAsia" w:ascii="宋体" w:hAnsi="宋体" w:eastAsia="宋体" w:cs="宋体"/>
                <w:b/>
                <w:u w:val="single"/>
              </w:rPr>
              <w:t>法定代表人或授权委托人凭本人身份证原件到场签到参加开标会议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26</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是否授权评标委员会确定中标人</w:t>
            </w:r>
          </w:p>
        </w:tc>
        <w:tc>
          <w:tcPr>
            <w:tcW w:w="6804" w:type="dxa"/>
            <w:vAlign w:val="center"/>
          </w:tcPr>
          <w:p>
            <w:pPr>
              <w:spacing w:line="360" w:lineRule="auto"/>
              <w:rPr>
                <w:rFonts w:hint="eastAsia" w:ascii="宋体" w:hAnsi="宋体" w:eastAsia="宋体" w:cs="宋体"/>
                <w:kern w:val="0"/>
              </w:rPr>
            </w:pPr>
            <w:r>
              <w:rPr>
                <w:rFonts w:hint="eastAsia" w:ascii="宋体" w:hAnsi="宋体" w:eastAsia="宋体" w:cs="宋体"/>
              </w:rPr>
              <w:sym w:font="Wingdings" w:char="00FE"/>
            </w:r>
            <w:r>
              <w:rPr>
                <w:rFonts w:hint="eastAsia" w:ascii="宋体" w:hAnsi="宋体" w:eastAsia="宋体" w:cs="宋体"/>
                <w:kern w:val="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color w:val="000000"/>
              </w:rPr>
              <w:t>27</w:t>
            </w:r>
          </w:p>
        </w:tc>
        <w:tc>
          <w:tcPr>
            <w:tcW w:w="1701" w:type="dxa"/>
            <w:vAlign w:val="center"/>
          </w:tcPr>
          <w:p>
            <w:pPr>
              <w:spacing w:line="360" w:lineRule="auto"/>
              <w:jc w:val="center"/>
              <w:rPr>
                <w:rFonts w:hint="eastAsia" w:ascii="宋体" w:hAnsi="宋体" w:eastAsia="宋体" w:cs="宋体"/>
              </w:rPr>
            </w:pPr>
            <w:r>
              <w:rPr>
                <w:rFonts w:hint="eastAsia" w:ascii="宋体" w:hAnsi="宋体" w:eastAsia="宋体" w:cs="宋体"/>
              </w:rPr>
              <w:t>履约保证金</w:t>
            </w:r>
          </w:p>
        </w:tc>
        <w:tc>
          <w:tcPr>
            <w:tcW w:w="6804" w:type="dxa"/>
            <w:vAlign w:val="center"/>
          </w:tcPr>
          <w:p>
            <w:pPr>
              <w:spacing w:line="360" w:lineRule="auto"/>
              <w:rPr>
                <w:rFonts w:hint="eastAsia" w:ascii="宋体" w:hAnsi="宋体" w:eastAsia="宋体" w:cs="宋体"/>
                <w:b/>
                <w:highlight w:val="none"/>
                <w:lang w:val="en-US" w:eastAsia="zh-CN"/>
              </w:rPr>
            </w:pPr>
            <w:r>
              <w:rPr>
                <w:rFonts w:hint="eastAsia" w:ascii="宋体" w:hAnsi="宋体" w:eastAsia="宋体" w:cs="宋体"/>
              </w:rPr>
              <w:t>履约保证金数额</w:t>
            </w:r>
            <w:r>
              <w:rPr>
                <w:rFonts w:hint="eastAsia" w:ascii="宋体" w:hAnsi="宋体" w:eastAsia="宋体" w:cs="宋体"/>
                <w:highlight w:val="none"/>
                <w:lang w:eastAsia="zh-CN"/>
              </w:rPr>
              <w:t>：</w:t>
            </w:r>
            <w:r>
              <w:rPr>
                <w:rFonts w:hint="eastAsia" w:ascii="宋体" w:hAnsi="宋体" w:eastAsia="宋体" w:cs="宋体"/>
                <w:b/>
                <w:bCs/>
                <w:highlight w:val="none"/>
                <w:lang w:val="en-US" w:eastAsia="zh-CN"/>
              </w:rPr>
              <w:t>45000元。</w:t>
            </w:r>
          </w:p>
          <w:p>
            <w:pPr>
              <w:adjustRightInd w:val="0"/>
              <w:snapToGrid w:val="0"/>
              <w:spacing w:line="340" w:lineRule="exact"/>
              <w:jc w:val="left"/>
              <w:rPr>
                <w:rFonts w:hint="eastAsia" w:ascii="宋体" w:hAnsi="宋体" w:eastAsia="宋体" w:cs="宋体"/>
                <w:highlight w:val="none"/>
              </w:rPr>
            </w:pPr>
            <w:r>
              <w:rPr>
                <w:rFonts w:hint="eastAsia" w:ascii="宋体" w:hAnsi="宋体" w:eastAsia="宋体" w:cs="宋体"/>
                <w:highlight w:val="none"/>
              </w:rPr>
              <w:t>户名：</w:t>
            </w:r>
            <w:r>
              <w:rPr>
                <w:rFonts w:hint="eastAsia" w:ascii="宋体" w:hAnsi="宋体" w:eastAsia="宋体" w:cs="宋体"/>
                <w:szCs w:val="21"/>
                <w:highlight w:val="none"/>
              </w:rPr>
              <w:t>南通市崇川区虹桥街道办事处</w:t>
            </w:r>
          </w:p>
          <w:p>
            <w:pPr>
              <w:spacing w:line="360" w:lineRule="auto"/>
              <w:rPr>
                <w:rFonts w:hint="eastAsia" w:ascii="宋体" w:hAnsi="宋体" w:eastAsia="宋体" w:cs="宋体"/>
                <w:highlight w:val="none"/>
              </w:rPr>
            </w:pPr>
            <w:r>
              <w:rPr>
                <w:rFonts w:hint="eastAsia" w:ascii="宋体" w:hAnsi="宋体" w:eastAsia="宋体" w:cs="宋体"/>
                <w:highlight w:val="none"/>
              </w:rPr>
              <w:t>账号：5003 0188 0000 0329 2096 001</w:t>
            </w:r>
          </w:p>
          <w:p>
            <w:pPr>
              <w:spacing w:line="360" w:lineRule="auto"/>
              <w:rPr>
                <w:rFonts w:hint="eastAsia" w:ascii="宋体" w:hAnsi="宋体" w:eastAsia="宋体" w:cs="宋体"/>
                <w:highlight w:val="none"/>
              </w:rPr>
            </w:pPr>
            <w:r>
              <w:rPr>
                <w:rFonts w:hint="eastAsia" w:ascii="宋体" w:hAnsi="宋体" w:eastAsia="宋体" w:cs="宋体"/>
                <w:highlight w:val="none"/>
              </w:rPr>
              <w:t>开户行：江苏银行股份有限公司南通汇丰支行</w:t>
            </w:r>
          </w:p>
          <w:p>
            <w:pPr>
              <w:adjustRightInd w:val="0"/>
              <w:snapToGrid w:val="0"/>
              <w:spacing w:line="360" w:lineRule="exact"/>
              <w:rPr>
                <w:rFonts w:hint="eastAsia" w:ascii="宋体" w:hAnsi="宋体" w:eastAsia="宋体" w:cs="宋体"/>
              </w:rPr>
            </w:pPr>
            <w:r>
              <w:rPr>
                <w:rFonts w:hint="eastAsia" w:ascii="宋体" w:hAnsi="宋体" w:eastAsia="宋体" w:cs="宋体"/>
                <w:highlight w:val="none"/>
              </w:rPr>
              <w:t>提交时间：中标公示3天后72小时内（公休日顺延），合同签订前足额支付否则招标人可以取消其中标资格。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93" w:type="dxa"/>
            <w:vAlign w:val="center"/>
          </w:tcPr>
          <w:p>
            <w:pPr>
              <w:spacing w:line="360" w:lineRule="auto"/>
              <w:jc w:val="center"/>
              <w:rPr>
                <w:rFonts w:hint="eastAsia" w:ascii="宋体" w:hAnsi="宋体" w:eastAsia="宋体" w:cs="宋体"/>
                <w:color w:val="000000"/>
              </w:rPr>
            </w:pPr>
            <w:r>
              <w:rPr>
                <w:rFonts w:hint="eastAsia" w:ascii="宋体" w:hAnsi="宋体" w:eastAsia="宋体" w:cs="宋体"/>
              </w:rPr>
              <w:t>28</w:t>
            </w:r>
          </w:p>
        </w:tc>
        <w:tc>
          <w:tcPr>
            <w:tcW w:w="8505" w:type="dxa"/>
            <w:gridSpan w:val="2"/>
            <w:vAlign w:val="center"/>
          </w:tcPr>
          <w:p>
            <w:pPr>
              <w:spacing w:line="360" w:lineRule="auto"/>
              <w:rPr>
                <w:rFonts w:hint="eastAsia" w:ascii="宋体" w:hAnsi="宋体" w:eastAsia="宋体" w:cs="宋体"/>
                <w:b/>
              </w:rPr>
            </w:pPr>
            <w:r>
              <w:rPr>
                <w:rFonts w:hint="eastAsia" w:ascii="宋体" w:hAnsi="宋体" w:eastAsia="宋体" w:cs="宋体"/>
                <w:b/>
              </w:rPr>
              <w:t>特别提醒：</w:t>
            </w:r>
          </w:p>
          <w:p>
            <w:pPr>
              <w:spacing w:line="360" w:lineRule="auto"/>
              <w:rPr>
                <w:rFonts w:hint="eastAsia" w:ascii="宋体" w:hAnsi="宋体" w:eastAsia="宋体" w:cs="宋体"/>
                <w:b/>
              </w:rPr>
            </w:pPr>
            <w:r>
              <w:rPr>
                <w:rFonts w:hint="eastAsia" w:ascii="宋体" w:hAnsi="宋体" w:eastAsia="宋体" w:cs="宋体"/>
                <w:b/>
              </w:rPr>
              <w:t>根据《省住房城乡建设厅关于开展建筑业企业资质动态监管工作的公告》要求：资质核查结果为不合格的企业，通过省建筑业监管信息平台2.0自动推送到省建筑市场监管与诚信信息一体化平台，供公开查询；企业即时被锁定并进入整改期，自锁定之日起，不能参加招投标、合同备案等相关活动（仅对企业某项被核查为不达标的资质进行限制）。</w:t>
            </w:r>
          </w:p>
          <w:p>
            <w:pPr>
              <w:spacing w:line="360" w:lineRule="auto"/>
              <w:rPr>
                <w:rFonts w:hint="eastAsia" w:ascii="宋体" w:hAnsi="宋体" w:eastAsia="宋体" w:cs="宋体"/>
                <w:b/>
              </w:rPr>
            </w:pPr>
            <w:r>
              <w:rPr>
                <w:rFonts w:hint="eastAsia" w:ascii="宋体" w:hAnsi="宋体" w:eastAsia="宋体" w:cs="宋体"/>
                <w:b/>
              </w:rPr>
              <w:t>请各潜在投标人引起重视，公告发布之日起自行查询，及时整改，对于在中标通知书发出之前经查实存在投标资质不达标的企业,崇川区公管办将取消其中标资格,并进行相关处罚。</w:t>
            </w:r>
          </w:p>
          <w:p>
            <w:pPr>
              <w:spacing w:line="360" w:lineRule="auto"/>
              <w:rPr>
                <w:rFonts w:hint="eastAsia" w:ascii="宋体" w:hAnsi="宋体" w:eastAsia="宋体" w:cs="宋体"/>
                <w:b/>
              </w:rPr>
            </w:pPr>
            <w:r>
              <w:rPr>
                <w:rFonts w:hint="eastAsia" w:ascii="宋体" w:hAnsi="宋体" w:eastAsia="宋体" w:cs="宋体"/>
                <w:b/>
              </w:rPr>
              <w:t>查询方式：登陆江苏省建筑市场监管与诚信信息一体化平台</w:t>
            </w:r>
          </w:p>
          <w:p>
            <w:pPr>
              <w:spacing w:line="360" w:lineRule="auto"/>
              <w:rPr>
                <w:rFonts w:hint="eastAsia" w:ascii="宋体" w:hAnsi="宋体" w:eastAsia="宋体" w:cs="宋体"/>
                <w:bCs/>
              </w:rPr>
            </w:pPr>
            <w:r>
              <w:rPr>
                <w:rFonts w:hint="eastAsia" w:ascii="宋体" w:hAnsi="宋体" w:eastAsia="宋体" w:cs="宋体"/>
                <w:b/>
              </w:rPr>
              <w:t>（http://58.213.147.230:7001/Jsjzyxyglpt/faces/public/default.jsp）-企业信息-建筑业企业-动态监管不合格资质查询。</w:t>
            </w:r>
          </w:p>
        </w:tc>
      </w:tr>
    </w:tbl>
    <w:p>
      <w:pPr>
        <w:pStyle w:val="4"/>
        <w:keepNext w:val="0"/>
        <w:keepLines w:val="0"/>
        <w:spacing w:line="360" w:lineRule="auto"/>
        <w:rPr>
          <w:rFonts w:ascii="Times New Roman" w:hAnsi="Times New Roman" w:eastAsia="宋体"/>
          <w:b/>
          <w:sz w:val="30"/>
        </w:rPr>
        <w:sectPr>
          <w:headerReference r:id="rId3" w:type="default"/>
          <w:footerReference r:id="rId4" w:type="default"/>
          <w:pgSz w:w="11906" w:h="16838"/>
          <w:pgMar w:top="1440" w:right="1230" w:bottom="1440" w:left="1230" w:header="851" w:footer="992" w:gutter="0"/>
          <w:pgNumType w:start="1"/>
          <w:cols w:space="720" w:num="1"/>
          <w:docGrid w:type="lines" w:linePitch="312" w:charSpace="0"/>
        </w:sectPr>
      </w:pPr>
      <w:bookmarkStart w:id="14" w:name="_Toc4486232"/>
    </w:p>
    <w:p>
      <w:pPr>
        <w:pStyle w:val="4"/>
        <w:keepNext w:val="0"/>
        <w:keepLines w:val="0"/>
        <w:spacing w:line="360" w:lineRule="auto"/>
        <w:jc w:val="center"/>
        <w:rPr>
          <w:rFonts w:ascii="Times New Roman" w:hAnsi="Times New Roman" w:eastAsia="宋体"/>
          <w:b/>
          <w:sz w:val="30"/>
        </w:rPr>
      </w:pPr>
      <w:r>
        <w:rPr>
          <w:rFonts w:ascii="Times New Roman" w:hAnsi="Times New Roman" w:eastAsia="宋体"/>
          <w:b/>
          <w:sz w:val="30"/>
        </w:rPr>
        <w:t>二、投标须知</w:t>
      </w:r>
      <w:bookmarkEnd w:id="14"/>
    </w:p>
    <w:p>
      <w:pPr>
        <w:pStyle w:val="4"/>
        <w:keepNext w:val="0"/>
        <w:keepLines w:val="0"/>
        <w:spacing w:before="0" w:after="0" w:line="360" w:lineRule="auto"/>
        <w:rPr>
          <w:rFonts w:ascii="Times New Roman" w:hAnsi="Times New Roman" w:eastAsia="宋体"/>
          <w:b/>
          <w:color w:val="000000"/>
          <w:sz w:val="21"/>
          <w:szCs w:val="21"/>
        </w:rPr>
      </w:pPr>
      <w:bookmarkStart w:id="15" w:name="_Toc9194541"/>
      <w:bookmarkStart w:id="16" w:name="_Toc398107837"/>
      <w:r>
        <w:rPr>
          <w:rFonts w:hint="eastAsia" w:ascii="Times New Roman" w:hAnsi="Times New Roman" w:eastAsia="宋体"/>
          <w:b/>
          <w:color w:val="000000"/>
          <w:sz w:val="21"/>
          <w:szCs w:val="21"/>
        </w:rPr>
        <w:t xml:space="preserve">1 </w:t>
      </w:r>
      <w:r>
        <w:rPr>
          <w:rFonts w:hint="eastAsia" w:ascii="Times New Roman" w:hAnsi="宋体" w:eastAsia="宋体"/>
          <w:b/>
          <w:color w:val="000000"/>
          <w:sz w:val="21"/>
          <w:szCs w:val="21"/>
        </w:rPr>
        <w:t>总则</w:t>
      </w:r>
      <w:bookmarkEnd w:id="15"/>
      <w:bookmarkEnd w:id="16"/>
      <w:r>
        <w:rPr>
          <w:rFonts w:hint="eastAsia" w:ascii="Times New Roman" w:hAnsi="Times New Roman" w:eastAsia="宋体"/>
          <w:b/>
          <w:color w:val="000000"/>
          <w:sz w:val="21"/>
          <w:szCs w:val="21"/>
        </w:rPr>
        <w:tab/>
      </w:r>
    </w:p>
    <w:p>
      <w:pPr>
        <w:pStyle w:val="5"/>
        <w:keepNext w:val="0"/>
        <w:keepLines w:val="0"/>
        <w:spacing w:before="0" w:after="0" w:line="360" w:lineRule="auto"/>
        <w:rPr>
          <w:rFonts w:eastAsia="宋体"/>
          <w:color w:val="000000"/>
          <w:sz w:val="21"/>
          <w:szCs w:val="21"/>
        </w:rPr>
      </w:pPr>
      <w:bookmarkStart w:id="17" w:name="_Toc9194542"/>
      <w:bookmarkStart w:id="18" w:name="_Toc398107838"/>
      <w:r>
        <w:rPr>
          <w:rFonts w:hint="eastAsia" w:eastAsia="宋体"/>
          <w:color w:val="000000"/>
          <w:sz w:val="21"/>
          <w:szCs w:val="21"/>
        </w:rPr>
        <w:t xml:space="preserve">1.1 </w:t>
      </w:r>
      <w:r>
        <w:rPr>
          <w:rFonts w:hint="eastAsia" w:hAnsi="宋体" w:eastAsia="宋体"/>
          <w:color w:val="000000"/>
          <w:sz w:val="21"/>
          <w:szCs w:val="21"/>
        </w:rPr>
        <w:t>项目概况</w:t>
      </w:r>
      <w:bookmarkEnd w:id="17"/>
      <w:bookmarkEnd w:id="18"/>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1.1.1 </w:t>
      </w:r>
      <w:r>
        <w:rPr>
          <w:rFonts w:hint="eastAsia" w:hAnsi="宋体" w:cs="宋体"/>
          <w:color w:val="000000"/>
          <w:kern w:val="0"/>
          <w:szCs w:val="21"/>
        </w:rPr>
        <w:t>根据《中华人民共和国招标投标法》、《中华人民共和国招标投标法实施条例》等有关法律、法规和规章的规定，本招标项目已具备招标条件，现对本标段监理及相关服务进行招标。</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1.1.2 </w:t>
      </w:r>
      <w:r>
        <w:rPr>
          <w:rFonts w:hint="eastAsia" w:hAnsi="宋体" w:cs="宋体"/>
          <w:color w:val="000000"/>
          <w:kern w:val="0"/>
          <w:szCs w:val="21"/>
        </w:rPr>
        <w:t>本招标项目招标人：见投标人须知前附表。</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1.1.3 </w:t>
      </w:r>
      <w:r>
        <w:rPr>
          <w:rFonts w:hint="eastAsia" w:hAnsi="宋体" w:cs="宋体"/>
          <w:color w:val="000000"/>
          <w:kern w:val="0"/>
          <w:szCs w:val="21"/>
        </w:rPr>
        <w:t>本招标代理机构：见投标人须知前附表。</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1.1.4 </w:t>
      </w:r>
      <w:r>
        <w:rPr>
          <w:rFonts w:hint="eastAsia" w:hAnsi="宋体" w:cs="宋体"/>
          <w:color w:val="000000"/>
          <w:kern w:val="0"/>
          <w:szCs w:val="21"/>
        </w:rPr>
        <w:t>本招标项目名称：见投标人须知前附表。</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1.1.5 </w:t>
      </w:r>
      <w:r>
        <w:rPr>
          <w:rFonts w:hint="eastAsia" w:hAnsi="宋体" w:cs="宋体"/>
          <w:color w:val="000000"/>
          <w:kern w:val="0"/>
          <w:szCs w:val="21"/>
        </w:rPr>
        <w:t>本标段建设地点：见投标人须知前附表。</w:t>
      </w:r>
    </w:p>
    <w:p>
      <w:pPr>
        <w:pStyle w:val="5"/>
        <w:keepNext w:val="0"/>
        <w:keepLines w:val="0"/>
        <w:spacing w:before="0" w:after="0" w:line="360" w:lineRule="auto"/>
        <w:rPr>
          <w:rFonts w:eastAsia="宋体"/>
          <w:color w:val="000000"/>
          <w:sz w:val="21"/>
          <w:szCs w:val="21"/>
        </w:rPr>
      </w:pPr>
      <w:bookmarkStart w:id="19" w:name="_Toc398107839"/>
      <w:bookmarkStart w:id="20" w:name="_Toc9194543"/>
      <w:r>
        <w:rPr>
          <w:rFonts w:hint="eastAsia" w:eastAsia="宋体"/>
          <w:color w:val="000000"/>
          <w:sz w:val="21"/>
          <w:szCs w:val="21"/>
        </w:rPr>
        <w:t xml:space="preserve">1.2 </w:t>
      </w:r>
      <w:r>
        <w:rPr>
          <w:rFonts w:hint="eastAsia" w:hAnsi="宋体" w:eastAsia="宋体"/>
          <w:color w:val="000000"/>
          <w:sz w:val="21"/>
          <w:szCs w:val="21"/>
        </w:rPr>
        <w:t>资金来源和落实情况</w:t>
      </w:r>
      <w:bookmarkEnd w:id="19"/>
      <w:bookmarkEnd w:id="20"/>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1.2.1 </w:t>
      </w:r>
      <w:r>
        <w:rPr>
          <w:rFonts w:hint="eastAsia" w:hAnsi="宋体" w:cs="宋体"/>
          <w:color w:val="000000"/>
          <w:kern w:val="0"/>
          <w:szCs w:val="21"/>
        </w:rPr>
        <w:t>本招标项目的资金来源：见投标人须知前附表。</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1.2.2 </w:t>
      </w:r>
      <w:r>
        <w:rPr>
          <w:rFonts w:hint="eastAsia" w:hAnsi="宋体" w:cs="宋体"/>
          <w:color w:val="000000"/>
          <w:kern w:val="0"/>
          <w:szCs w:val="21"/>
        </w:rPr>
        <w:t>本招标项目的出资比例：见投标人须知前附表。</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1.2.3 </w:t>
      </w:r>
      <w:r>
        <w:rPr>
          <w:rFonts w:hint="eastAsia" w:hAnsi="宋体" w:cs="宋体"/>
          <w:color w:val="000000"/>
          <w:kern w:val="0"/>
          <w:szCs w:val="21"/>
        </w:rPr>
        <w:t>本招标项目的资金落实情况：见投标人须知前附表。</w:t>
      </w:r>
    </w:p>
    <w:p>
      <w:pPr>
        <w:pStyle w:val="5"/>
        <w:keepNext w:val="0"/>
        <w:keepLines w:val="0"/>
        <w:spacing w:before="0" w:after="0" w:line="360" w:lineRule="auto"/>
        <w:rPr>
          <w:rFonts w:eastAsia="宋体"/>
          <w:color w:val="000000"/>
          <w:sz w:val="21"/>
          <w:szCs w:val="21"/>
        </w:rPr>
      </w:pPr>
      <w:bookmarkStart w:id="21" w:name="_Toc398107840"/>
      <w:bookmarkStart w:id="22" w:name="_Toc9194544"/>
      <w:r>
        <w:rPr>
          <w:rFonts w:hint="eastAsia" w:eastAsia="宋体"/>
          <w:color w:val="000000"/>
          <w:sz w:val="21"/>
          <w:szCs w:val="21"/>
        </w:rPr>
        <w:t xml:space="preserve">1.3 </w:t>
      </w:r>
      <w:r>
        <w:rPr>
          <w:rFonts w:hint="eastAsia" w:hAnsi="宋体" w:eastAsia="宋体"/>
          <w:color w:val="000000"/>
          <w:sz w:val="21"/>
          <w:szCs w:val="21"/>
        </w:rPr>
        <w:t>招标范围、监理服务期限及质量要求</w:t>
      </w:r>
      <w:bookmarkEnd w:id="21"/>
      <w:bookmarkEnd w:id="22"/>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1.3.1 </w:t>
      </w:r>
      <w:r>
        <w:rPr>
          <w:rFonts w:hint="eastAsia" w:hAnsi="宋体" w:cs="宋体"/>
          <w:color w:val="000000"/>
          <w:kern w:val="0"/>
          <w:szCs w:val="21"/>
        </w:rPr>
        <w:t>本次招标范围：见投标人须知前附表。</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1.3.2 </w:t>
      </w:r>
      <w:r>
        <w:rPr>
          <w:rFonts w:hint="eastAsia" w:hAnsi="宋体" w:cs="宋体"/>
          <w:color w:val="000000"/>
          <w:kern w:val="0"/>
          <w:szCs w:val="21"/>
        </w:rPr>
        <w:t>本标段的监理服务期限：见投标人须知前附表。</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1.3.3 </w:t>
      </w:r>
      <w:r>
        <w:rPr>
          <w:rFonts w:hint="eastAsia" w:hAnsi="宋体" w:cs="宋体"/>
          <w:color w:val="000000"/>
          <w:kern w:val="0"/>
          <w:szCs w:val="21"/>
        </w:rPr>
        <w:t>本标段的质量要求：见投标人须知前附表。</w:t>
      </w:r>
    </w:p>
    <w:p>
      <w:pPr>
        <w:pStyle w:val="5"/>
        <w:keepNext w:val="0"/>
        <w:keepLines w:val="0"/>
        <w:spacing w:before="0" w:after="0" w:line="360" w:lineRule="auto"/>
        <w:rPr>
          <w:rFonts w:eastAsia="宋体"/>
          <w:color w:val="000000"/>
          <w:sz w:val="21"/>
          <w:szCs w:val="21"/>
        </w:rPr>
      </w:pPr>
      <w:bookmarkStart w:id="23" w:name="_Toc398107841"/>
      <w:bookmarkStart w:id="24" w:name="_Toc9194545"/>
      <w:r>
        <w:rPr>
          <w:rFonts w:hint="eastAsia" w:eastAsia="宋体"/>
          <w:color w:val="000000"/>
          <w:sz w:val="21"/>
          <w:szCs w:val="21"/>
        </w:rPr>
        <w:t xml:space="preserve">1.4 </w:t>
      </w:r>
      <w:r>
        <w:rPr>
          <w:rFonts w:hint="eastAsia" w:hAnsi="宋体" w:eastAsia="宋体"/>
          <w:color w:val="000000"/>
          <w:sz w:val="21"/>
          <w:szCs w:val="21"/>
        </w:rPr>
        <w:t>投标人资格要求</w:t>
      </w:r>
      <w:bookmarkEnd w:id="23"/>
      <w:bookmarkEnd w:id="24"/>
    </w:p>
    <w:p>
      <w:pPr>
        <w:autoSpaceDE w:val="0"/>
        <w:autoSpaceDN w:val="0"/>
        <w:spacing w:line="360" w:lineRule="auto"/>
        <w:ind w:firstLine="420" w:firstLineChars="200"/>
        <w:rPr>
          <w:rFonts w:cs="宋体"/>
          <w:b/>
          <w:bCs/>
          <w:color w:val="000000"/>
          <w:kern w:val="0"/>
          <w:szCs w:val="21"/>
        </w:rPr>
      </w:pPr>
      <w:r>
        <w:rPr>
          <w:rFonts w:hint="eastAsia" w:cs="宋体"/>
          <w:color w:val="000000"/>
          <w:kern w:val="0"/>
          <w:szCs w:val="21"/>
        </w:rPr>
        <w:t>1.4.1</w:t>
      </w:r>
      <w:r>
        <w:rPr>
          <w:rFonts w:hint="eastAsia" w:hAnsi="宋体" w:cs="宋体"/>
          <w:b/>
          <w:bCs/>
          <w:color w:val="000000"/>
          <w:kern w:val="0"/>
          <w:szCs w:val="21"/>
        </w:rPr>
        <w:t>申请人资质类别和等级</w:t>
      </w:r>
      <w:r>
        <w:rPr>
          <w:rFonts w:hint="eastAsia" w:cs="宋体"/>
          <w:b/>
          <w:bCs/>
          <w:color w:val="000000"/>
          <w:kern w:val="0"/>
          <w:szCs w:val="21"/>
        </w:rPr>
        <w:t>：</w:t>
      </w:r>
      <w:r>
        <w:rPr>
          <w:rFonts w:hint="eastAsia" w:hAnsi="宋体" w:cs="宋体"/>
          <w:b/>
          <w:szCs w:val="21"/>
          <w:u w:val="single"/>
        </w:rPr>
        <w:t>必须具有行政管理部门核发的有效企业法人营业执照和建设部核发的工程监理综合资质或房屋建筑工程监理乙级及以上资质；</w:t>
      </w:r>
    </w:p>
    <w:p>
      <w:pPr>
        <w:spacing w:line="400" w:lineRule="exact"/>
        <w:ind w:firstLine="420" w:firstLineChars="200"/>
        <w:rPr>
          <w:rFonts w:ascii="宋体" w:hAnsi="宋体" w:cs="宋体"/>
          <w:b/>
          <w:bCs/>
          <w:kern w:val="0"/>
          <w:szCs w:val="21"/>
        </w:rPr>
      </w:pPr>
      <w:r>
        <w:rPr>
          <w:rFonts w:hint="eastAsia" w:cs="宋体"/>
          <w:color w:val="000000"/>
          <w:kern w:val="0"/>
          <w:szCs w:val="21"/>
        </w:rPr>
        <w:t>1.4.2</w:t>
      </w:r>
      <w:r>
        <w:rPr>
          <w:rFonts w:hint="eastAsia" w:ascii="宋体" w:hAnsi="宋体" w:cs="宋体"/>
          <w:kern w:val="0"/>
          <w:szCs w:val="21"/>
        </w:rPr>
        <w:t>项目总监要求：</w:t>
      </w:r>
      <w:r>
        <w:rPr>
          <w:rFonts w:hint="eastAsia" w:ascii="宋体" w:hAnsi="宋体" w:cs="宋体"/>
          <w:b/>
          <w:bCs/>
          <w:kern w:val="0"/>
          <w:szCs w:val="21"/>
          <w:u w:val="single"/>
        </w:rPr>
        <w:t>国家注册监理工程师，注册专业为房屋建筑工程专业，注册单位必须为投标申请人，男性年龄不得超过55周岁，女性年龄不得超过50周岁，且未退休；</w:t>
      </w:r>
    </w:p>
    <w:p>
      <w:pPr>
        <w:spacing w:line="400" w:lineRule="exact"/>
        <w:ind w:firstLine="422" w:firstLineChars="200"/>
        <w:rPr>
          <w:rFonts w:ascii="宋体" w:hAnsi="宋体" w:cs="宋体"/>
          <w:b/>
          <w:bCs/>
          <w:szCs w:val="21"/>
          <w:u w:val="single"/>
        </w:rPr>
      </w:pPr>
      <w:r>
        <w:rPr>
          <w:rFonts w:hint="eastAsia" w:ascii="宋体" w:hAnsi="宋体" w:cs="宋体"/>
          <w:b/>
          <w:bCs/>
          <w:szCs w:val="21"/>
          <w:u w:val="single"/>
        </w:rPr>
        <w:t>拟派总监理工程师业绩要求：自2018年拟派总监理工程师至少在1个单项合同3万平方米及以上的住宅工程中承担总监职务或自2018年拟派总监理工程师至少在1个工程投资2500万元及以上的老小区改造工程中承担总监职务。</w:t>
      </w:r>
    </w:p>
    <w:p>
      <w:pPr>
        <w:spacing w:line="440" w:lineRule="exact"/>
        <w:ind w:firstLine="211" w:firstLineChars="100"/>
        <w:rPr>
          <w:rFonts w:ascii="宋体" w:hAnsi="宋体" w:cs="宋体"/>
          <w:b/>
          <w:bCs/>
          <w:szCs w:val="21"/>
          <w:highlight w:val="none"/>
        </w:rPr>
      </w:pPr>
      <w:r>
        <w:rPr>
          <w:rFonts w:hint="eastAsia" w:ascii="宋体" w:hAnsi="宋体" w:cs="宋体"/>
          <w:b/>
          <w:color w:val="auto"/>
          <w:kern w:val="0"/>
          <w:szCs w:val="21"/>
        </w:rPr>
        <w:t>提供业绩证明材料：中标通知书、监理合同、竣工验收证明三项证明材料须齐全。中标通知书或监理合同必须经过工程所在地招投标监管部门备案，若未备案，则提供工程所在地建设行政主管部门(县级及以上)出具的业绩确认证明或</w:t>
      </w:r>
      <w:r>
        <w:rPr>
          <w:rFonts w:ascii="宋体" w:hAnsi="宋体" w:cs="宋体"/>
          <w:b/>
          <w:bCs/>
          <w:color w:val="auto"/>
          <w:szCs w:val="21"/>
          <w:highlight w:val="none"/>
        </w:rPr>
        <w:t>该业绩</w:t>
      </w:r>
      <w:r>
        <w:rPr>
          <w:rFonts w:ascii="宋体" w:hAnsi="宋体" w:cs="宋体"/>
          <w:b/>
          <w:bCs/>
          <w:szCs w:val="21"/>
          <w:highlight w:val="none"/>
        </w:rPr>
        <w:t>中标</w:t>
      </w:r>
      <w:r>
        <w:rPr>
          <w:rFonts w:hint="eastAsia" w:ascii="宋体" w:hAnsi="宋体" w:cs="宋体"/>
          <w:b/>
          <w:bCs/>
          <w:szCs w:val="21"/>
          <w:highlight w:val="none"/>
        </w:rPr>
        <w:t>结果公告</w:t>
      </w:r>
      <w:r>
        <w:rPr>
          <w:rFonts w:ascii="宋体" w:hAnsi="宋体" w:cs="宋体"/>
          <w:b/>
          <w:bCs/>
          <w:szCs w:val="21"/>
          <w:highlight w:val="none"/>
        </w:rPr>
        <w:t>的官方链接网址</w:t>
      </w:r>
      <w:r>
        <w:rPr>
          <w:rFonts w:hint="eastAsia" w:ascii="宋体" w:hAnsi="宋体" w:cs="宋体"/>
          <w:b/>
          <w:bCs/>
          <w:szCs w:val="21"/>
          <w:highlight w:val="none"/>
        </w:rPr>
        <w:t>及</w:t>
      </w:r>
      <w:r>
        <w:rPr>
          <w:rFonts w:ascii="宋体" w:hAnsi="宋体" w:cs="宋体"/>
          <w:b/>
          <w:bCs/>
          <w:szCs w:val="21"/>
          <w:highlight w:val="none"/>
        </w:rPr>
        <w:t>完整截图或提供监理合同已按省住房城乡建设厅要求进行信息要素归集及相关截图。</w:t>
      </w:r>
    </w:p>
    <w:p>
      <w:pPr>
        <w:spacing w:line="440" w:lineRule="exact"/>
        <w:ind w:firstLine="420" w:firstLineChars="200"/>
        <w:rPr>
          <w:rFonts w:ascii="宋体" w:hAnsi="宋体" w:cs="宋体"/>
          <w:szCs w:val="21"/>
        </w:rPr>
      </w:pPr>
      <w:r>
        <w:rPr>
          <w:rFonts w:hint="eastAsia" w:ascii="宋体" w:hAnsi="宋体" w:cs="宋体"/>
          <w:szCs w:val="21"/>
        </w:rPr>
        <w:t>备注：（1）总监理工程师业绩不是投标人承担的工程项目，不得作为</w:t>
      </w:r>
      <w:bookmarkStart w:id="25" w:name="OLE_LINK7"/>
      <w:bookmarkStart w:id="26" w:name="OLE_LINK6"/>
      <w:r>
        <w:rPr>
          <w:rFonts w:hint="eastAsia" w:ascii="宋体" w:hAnsi="宋体" w:cs="宋体"/>
          <w:szCs w:val="21"/>
        </w:rPr>
        <w:t>总监理工程师类似工程业绩</w:t>
      </w:r>
      <w:bookmarkEnd w:id="25"/>
      <w:bookmarkEnd w:id="26"/>
      <w:r>
        <w:rPr>
          <w:rFonts w:hint="eastAsia" w:ascii="宋体" w:hAnsi="宋体" w:cs="宋体"/>
          <w:szCs w:val="21"/>
        </w:rPr>
        <w:t>。（2）业绩为工程施工期间发生过总监变更的，中标通知书、监理合同、工程竣工验收证明书非同一人，该业绩不予认可。</w:t>
      </w:r>
    </w:p>
    <w:p>
      <w:pPr>
        <w:spacing w:line="440" w:lineRule="exact"/>
        <w:ind w:firstLine="437"/>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3</w:t>
      </w:r>
      <w:r>
        <w:rPr>
          <w:rFonts w:hint="eastAsia" w:ascii="宋体" w:hAnsi="宋体" w:cs="宋体"/>
          <w:szCs w:val="21"/>
          <w:lang w:eastAsia="zh-CN"/>
        </w:rPr>
        <w:t>）</w:t>
      </w:r>
      <w:r>
        <w:rPr>
          <w:rFonts w:hint="eastAsia" w:ascii="宋体" w:hAnsi="宋体" w:cs="宋体"/>
          <w:szCs w:val="21"/>
        </w:rPr>
        <w:t>拟派总监理工程师为投标企业正式人员（提供与投标单位签订的有效劳动合同），</w:t>
      </w:r>
      <w:r>
        <w:rPr>
          <w:rFonts w:ascii="宋体" w:hAnsi="宋体" w:cs="宋体"/>
          <w:szCs w:val="21"/>
        </w:rPr>
        <w:t>且</w:t>
      </w:r>
      <w:r>
        <w:rPr>
          <w:rFonts w:hint="eastAsia" w:ascii="宋体" w:hAnsi="宋体" w:cs="宋体"/>
          <w:szCs w:val="21"/>
        </w:rPr>
        <w:t>拟派总监不得为企业法定代表人或企业董事长或总经理。；</w:t>
      </w:r>
    </w:p>
    <w:p>
      <w:pPr>
        <w:spacing w:line="440" w:lineRule="exact"/>
        <w:ind w:firstLine="437"/>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拟派总监理工程师必须满足下列条件：</w:t>
      </w:r>
    </w:p>
    <w:p>
      <w:pPr>
        <w:spacing w:line="440" w:lineRule="exact"/>
        <w:ind w:firstLine="437"/>
        <w:rPr>
          <w:rFonts w:ascii="宋体" w:hAnsi="宋体" w:cs="宋体"/>
          <w:szCs w:val="21"/>
        </w:rPr>
      </w:pPr>
      <w:r>
        <w:rPr>
          <w:rFonts w:hint="eastAsia" w:ascii="宋体" w:hAnsi="宋体" w:cs="宋体"/>
          <w:szCs w:val="21"/>
        </w:rPr>
        <w:t>1拟派总监理工程师不得同时在两个或两个以上单位受聘或执业，具体指以下两点：</w:t>
      </w:r>
    </w:p>
    <w:p>
      <w:pPr>
        <w:spacing w:line="440" w:lineRule="exact"/>
        <w:ind w:firstLine="437"/>
        <w:rPr>
          <w:rFonts w:ascii="宋体" w:hAnsi="宋体" w:cs="宋体"/>
          <w:szCs w:val="21"/>
        </w:rPr>
      </w:pPr>
      <w:r>
        <w:rPr>
          <w:rFonts w:hint="eastAsia" w:ascii="宋体" w:hAnsi="宋体" w:cs="宋体"/>
          <w:szCs w:val="21"/>
        </w:rPr>
        <w:t>①未同时在两个及以上单位交纳社会保险；</w:t>
      </w:r>
    </w:p>
    <w:p>
      <w:pPr>
        <w:spacing w:line="440" w:lineRule="exact"/>
        <w:ind w:firstLine="437"/>
        <w:rPr>
          <w:rFonts w:ascii="宋体" w:hAnsi="宋体" w:cs="宋体"/>
          <w:szCs w:val="21"/>
        </w:rPr>
      </w:pPr>
      <w:r>
        <w:rPr>
          <w:rFonts w:hint="eastAsia" w:ascii="宋体" w:hAnsi="宋体" w:cs="宋体"/>
          <w:szCs w:val="21"/>
        </w:rPr>
        <w:t>②未将本人执（职）业资格证书同时注册在两个及以上单位。</w:t>
      </w:r>
    </w:p>
    <w:p>
      <w:pPr>
        <w:spacing w:line="440" w:lineRule="exact"/>
        <w:ind w:firstLine="437"/>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5</w:t>
      </w:r>
      <w:r>
        <w:rPr>
          <w:rFonts w:hint="eastAsia" w:ascii="宋体" w:hAnsi="宋体" w:cs="宋体"/>
          <w:szCs w:val="21"/>
          <w:lang w:eastAsia="zh-CN"/>
        </w:rPr>
        <w:t>）</w:t>
      </w:r>
      <w:r>
        <w:rPr>
          <w:rFonts w:hint="eastAsia" w:ascii="宋体" w:hAnsi="宋体" w:cs="宋体"/>
          <w:szCs w:val="21"/>
        </w:rPr>
        <w:t>满足下列条件之一即可：</w:t>
      </w:r>
    </w:p>
    <w:p>
      <w:pPr>
        <w:spacing w:line="440" w:lineRule="exact"/>
        <w:ind w:firstLine="437"/>
        <w:rPr>
          <w:rFonts w:ascii="宋体" w:hAnsi="宋体" w:cs="宋体"/>
          <w:color w:val="auto"/>
          <w:szCs w:val="21"/>
        </w:rPr>
      </w:pPr>
      <w:r>
        <w:rPr>
          <w:rFonts w:hint="eastAsia" w:ascii="宋体" w:hAnsi="宋体" w:cs="宋体"/>
          <w:color w:val="auto"/>
          <w:szCs w:val="21"/>
        </w:rPr>
        <w:t>①拟派总监理工程师须无在监工程，提供无在监工程承诺。</w:t>
      </w:r>
    </w:p>
    <w:p>
      <w:pPr>
        <w:spacing w:line="440" w:lineRule="exact"/>
        <w:ind w:firstLine="437"/>
        <w:rPr>
          <w:rFonts w:hint="eastAsia" w:ascii="宋体" w:hAnsi="宋体" w:cs="宋体"/>
          <w:color w:val="auto"/>
          <w:szCs w:val="21"/>
        </w:rPr>
      </w:pPr>
      <w:r>
        <w:rPr>
          <w:rFonts w:hint="eastAsia" w:ascii="宋体" w:hAnsi="宋体" w:cs="宋体"/>
          <w:color w:val="auto"/>
          <w:szCs w:val="21"/>
        </w:rPr>
        <w:t xml:space="preserve">②拟派的总监理工程师有在监工程的，虽然未正式竣工验收但主体工程确已完工的，必须提供由原建设单位出具“主体工程已完工，同意总监理工程师参加其他工程招投标活动”的证明。 </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1.4.3</w:t>
      </w:r>
      <w:r>
        <w:rPr>
          <w:rFonts w:hint="eastAsia" w:hAnsi="宋体" w:cs="宋体"/>
          <w:color w:val="000000"/>
          <w:kern w:val="0"/>
          <w:szCs w:val="21"/>
        </w:rPr>
        <w:t>监理机构人员配备要求：</w:t>
      </w:r>
    </w:p>
    <w:p>
      <w:pPr>
        <w:spacing w:line="360" w:lineRule="auto"/>
        <w:ind w:firstLine="382" w:firstLineChars="182"/>
        <w:rPr>
          <w:rFonts w:hAnsi="宋体" w:cs="宋体"/>
          <w:color w:val="000000"/>
          <w:kern w:val="0"/>
          <w:szCs w:val="21"/>
          <w:highlight w:val="yellow"/>
        </w:rPr>
      </w:pPr>
      <w:r>
        <w:rPr>
          <w:rFonts w:hint="eastAsia" w:hAnsi="宋体" w:cs="宋体"/>
          <w:color w:val="000000"/>
          <w:kern w:val="0"/>
          <w:szCs w:val="21"/>
        </w:rPr>
        <w:t>拟选派本项目总监理工程师及专业监理人员最低配备要求（拟派所有监理人员必须身体健康，男性年龄不得超过55周岁，女性年龄不得超过50周岁，且未退休）：</w:t>
      </w:r>
    </w:p>
    <w:p>
      <w:pPr>
        <w:pStyle w:val="2"/>
        <w:rPr>
          <w:highlight w:val="none"/>
        </w:rPr>
      </w:pPr>
      <w:r>
        <w:rPr>
          <w:rFonts w:hint="eastAsia" w:hAnsi="宋体" w:cs="宋体"/>
          <w:color w:val="000000"/>
          <w:kern w:val="0"/>
          <w:szCs w:val="21"/>
          <w:highlight w:val="none"/>
        </w:rPr>
        <w:t>人员配备表</w:t>
      </w: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43"/>
        <w:gridCol w:w="1904"/>
        <w:gridCol w:w="5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2343" w:type="dxa"/>
            <w:vAlign w:val="center"/>
          </w:tcPr>
          <w:p>
            <w:pPr>
              <w:spacing w:line="360" w:lineRule="auto"/>
              <w:jc w:val="center"/>
              <w:rPr>
                <w:rFonts w:cs="宋体"/>
                <w:color w:val="000000"/>
                <w:kern w:val="0"/>
                <w:szCs w:val="21"/>
              </w:rPr>
            </w:pPr>
            <w:r>
              <w:rPr>
                <w:rFonts w:hint="eastAsia" w:hAnsi="宋体" w:cs="宋体"/>
                <w:color w:val="000000"/>
                <w:kern w:val="0"/>
                <w:szCs w:val="21"/>
              </w:rPr>
              <w:t>岗位</w:t>
            </w:r>
          </w:p>
        </w:tc>
        <w:tc>
          <w:tcPr>
            <w:tcW w:w="1904" w:type="dxa"/>
            <w:vAlign w:val="center"/>
          </w:tcPr>
          <w:p>
            <w:pPr>
              <w:spacing w:line="360" w:lineRule="auto"/>
              <w:jc w:val="center"/>
              <w:rPr>
                <w:rFonts w:cs="宋体"/>
                <w:color w:val="000000"/>
                <w:kern w:val="0"/>
                <w:szCs w:val="21"/>
              </w:rPr>
            </w:pPr>
            <w:r>
              <w:rPr>
                <w:rFonts w:hint="eastAsia" w:hAnsi="宋体" w:cs="宋体"/>
                <w:color w:val="000000"/>
                <w:kern w:val="0"/>
                <w:szCs w:val="21"/>
              </w:rPr>
              <w:t>人员要求</w:t>
            </w:r>
          </w:p>
        </w:tc>
        <w:tc>
          <w:tcPr>
            <w:tcW w:w="5293" w:type="dxa"/>
            <w:vAlign w:val="center"/>
          </w:tcPr>
          <w:p>
            <w:pPr>
              <w:spacing w:line="360" w:lineRule="auto"/>
              <w:jc w:val="center"/>
              <w:rPr>
                <w:rFonts w:cs="宋体"/>
                <w:color w:val="000000"/>
                <w:kern w:val="0"/>
                <w:szCs w:val="21"/>
              </w:rPr>
            </w:pPr>
            <w:r>
              <w:rPr>
                <w:rFonts w:hint="eastAsia" w:hAnsi="宋体" w:cs="宋体"/>
                <w:color w:val="000000"/>
                <w:kern w:val="0"/>
                <w:szCs w:val="21"/>
              </w:rPr>
              <w:t>持证上岗要求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343" w:type="dxa"/>
            <w:vAlign w:val="center"/>
          </w:tcPr>
          <w:p>
            <w:pPr>
              <w:spacing w:line="360" w:lineRule="auto"/>
              <w:jc w:val="center"/>
              <w:rPr>
                <w:rFonts w:cs="宋体"/>
                <w:kern w:val="0"/>
                <w:szCs w:val="21"/>
              </w:rPr>
            </w:pPr>
            <w:r>
              <w:rPr>
                <w:rFonts w:hint="eastAsia" w:hAnsi="宋体" w:cs="宋体"/>
                <w:kern w:val="0"/>
                <w:szCs w:val="21"/>
              </w:rPr>
              <w:t>总监理工程师</w:t>
            </w:r>
          </w:p>
        </w:tc>
        <w:tc>
          <w:tcPr>
            <w:tcW w:w="1904" w:type="dxa"/>
            <w:vAlign w:val="center"/>
          </w:tcPr>
          <w:p>
            <w:pPr>
              <w:spacing w:line="360" w:lineRule="auto"/>
              <w:jc w:val="center"/>
              <w:rPr>
                <w:rFonts w:cs="宋体"/>
                <w:kern w:val="0"/>
                <w:szCs w:val="21"/>
              </w:rPr>
            </w:pPr>
            <w:r>
              <w:rPr>
                <w:rFonts w:hint="eastAsia" w:cs="宋体"/>
                <w:kern w:val="0"/>
                <w:szCs w:val="21"/>
              </w:rPr>
              <w:t>1</w:t>
            </w:r>
            <w:r>
              <w:rPr>
                <w:rFonts w:hint="eastAsia" w:hAnsi="宋体" w:cs="宋体"/>
                <w:kern w:val="0"/>
                <w:szCs w:val="21"/>
              </w:rPr>
              <w:t>名</w:t>
            </w:r>
          </w:p>
        </w:tc>
        <w:tc>
          <w:tcPr>
            <w:tcW w:w="5293" w:type="dxa"/>
          </w:tcPr>
          <w:p>
            <w:pPr>
              <w:spacing w:line="360" w:lineRule="auto"/>
              <w:rPr>
                <w:rFonts w:cs="宋体"/>
                <w:kern w:val="0"/>
                <w:szCs w:val="21"/>
              </w:rPr>
            </w:pPr>
            <w:r>
              <w:rPr>
                <w:rFonts w:hint="eastAsia" w:hAnsi="宋体" w:cs="宋体"/>
                <w:kern w:val="0"/>
                <w:szCs w:val="21"/>
              </w:rPr>
              <w:t>国家注册监理工程师，注册专业为房屋建筑工程专业；且不得为企业法定代表人或董事长。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9" w:hRule="atLeast"/>
        </w:trPr>
        <w:tc>
          <w:tcPr>
            <w:tcW w:w="2343" w:type="dxa"/>
            <w:vAlign w:val="center"/>
          </w:tcPr>
          <w:p>
            <w:pPr>
              <w:spacing w:line="360" w:lineRule="auto"/>
              <w:jc w:val="center"/>
              <w:rPr>
                <w:rFonts w:cs="宋体"/>
                <w:kern w:val="0"/>
                <w:szCs w:val="21"/>
              </w:rPr>
            </w:pPr>
            <w:r>
              <w:rPr>
                <w:rFonts w:hint="eastAsia" w:hAnsi="宋体" w:cs="宋体"/>
                <w:kern w:val="0"/>
                <w:szCs w:val="21"/>
              </w:rPr>
              <w:t>专业监理工程师</w:t>
            </w:r>
          </w:p>
        </w:tc>
        <w:tc>
          <w:tcPr>
            <w:tcW w:w="1904" w:type="dxa"/>
            <w:vAlign w:val="center"/>
          </w:tcPr>
          <w:p>
            <w:pPr>
              <w:spacing w:line="360" w:lineRule="auto"/>
              <w:jc w:val="center"/>
              <w:rPr>
                <w:rFonts w:cs="宋体"/>
                <w:kern w:val="0"/>
                <w:szCs w:val="21"/>
                <w:highlight w:val="none"/>
              </w:rPr>
            </w:pPr>
            <w:r>
              <w:rPr>
                <w:rFonts w:hint="eastAsia" w:cs="宋体"/>
                <w:kern w:val="0"/>
                <w:szCs w:val="21"/>
                <w:highlight w:val="none"/>
              </w:rPr>
              <w:t>2</w:t>
            </w:r>
            <w:r>
              <w:rPr>
                <w:rFonts w:hint="eastAsia" w:hAnsi="宋体" w:cs="宋体"/>
                <w:kern w:val="0"/>
                <w:szCs w:val="21"/>
                <w:highlight w:val="none"/>
              </w:rPr>
              <w:t>名</w:t>
            </w:r>
          </w:p>
        </w:tc>
        <w:tc>
          <w:tcPr>
            <w:tcW w:w="5293" w:type="dxa"/>
          </w:tcPr>
          <w:p>
            <w:pPr>
              <w:spacing w:line="360" w:lineRule="auto"/>
              <w:rPr>
                <w:rFonts w:cs="宋体"/>
                <w:kern w:val="0"/>
                <w:szCs w:val="21"/>
                <w:highlight w:val="none"/>
              </w:rPr>
            </w:pPr>
            <w:r>
              <w:rPr>
                <w:rFonts w:hint="eastAsia" w:hAnsi="宋体" w:cs="宋体"/>
                <w:kern w:val="0"/>
                <w:szCs w:val="21"/>
                <w:highlight w:val="none"/>
              </w:rPr>
              <w:t>国家注册或江苏省监理工程师，专业类别：</w:t>
            </w:r>
            <w:r>
              <w:rPr>
                <w:rFonts w:hint="eastAsia" w:cs="宋体"/>
                <w:kern w:val="0"/>
                <w:szCs w:val="21"/>
                <w:highlight w:val="none"/>
              </w:rPr>
              <w:t>1</w:t>
            </w:r>
            <w:r>
              <w:rPr>
                <w:rFonts w:hint="eastAsia" w:hAnsi="宋体" w:cs="宋体"/>
                <w:kern w:val="0"/>
                <w:szCs w:val="21"/>
                <w:highlight w:val="none"/>
              </w:rPr>
              <w:t>名市政公用工程专业、1名房屋建筑工程专业。（其中一名同时</w:t>
            </w:r>
            <w:r>
              <w:rPr>
                <w:rFonts w:hint="eastAsia" w:ascii="宋体" w:hAnsi="宋体" w:cs="宋体"/>
                <w:color w:val="000000"/>
                <w:sz w:val="24"/>
                <w:highlight w:val="none"/>
              </w:rPr>
              <w:t>具备注册安全工程师资格或具备安全员证</w:t>
            </w:r>
            <w:r>
              <w:rPr>
                <w:rFonts w:hint="eastAsia" w:hAnsi="宋体" w:cs="宋体"/>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2343" w:type="dxa"/>
            <w:vAlign w:val="center"/>
          </w:tcPr>
          <w:p>
            <w:pPr>
              <w:spacing w:line="360" w:lineRule="auto"/>
              <w:jc w:val="center"/>
              <w:rPr>
                <w:rFonts w:cs="宋体"/>
                <w:kern w:val="0"/>
                <w:szCs w:val="21"/>
              </w:rPr>
            </w:pPr>
            <w:r>
              <w:rPr>
                <w:rFonts w:hint="eastAsia" w:hAnsi="宋体" w:cs="宋体"/>
                <w:kern w:val="0"/>
                <w:szCs w:val="21"/>
              </w:rPr>
              <w:t>监理员</w:t>
            </w:r>
          </w:p>
        </w:tc>
        <w:tc>
          <w:tcPr>
            <w:tcW w:w="1904" w:type="dxa"/>
            <w:vAlign w:val="center"/>
          </w:tcPr>
          <w:p>
            <w:pPr>
              <w:spacing w:line="360" w:lineRule="auto"/>
              <w:jc w:val="center"/>
              <w:rPr>
                <w:rFonts w:hAnsi="宋体" w:cs="宋体"/>
                <w:kern w:val="0"/>
                <w:szCs w:val="21"/>
                <w:highlight w:val="none"/>
              </w:rPr>
            </w:pPr>
            <w:r>
              <w:rPr>
                <w:rFonts w:hint="eastAsia" w:hAnsi="宋体" w:cs="宋体"/>
                <w:kern w:val="0"/>
                <w:szCs w:val="21"/>
                <w:highlight w:val="none"/>
              </w:rPr>
              <w:t>2名</w:t>
            </w:r>
          </w:p>
        </w:tc>
        <w:tc>
          <w:tcPr>
            <w:tcW w:w="5293" w:type="dxa"/>
            <w:vAlign w:val="center"/>
          </w:tcPr>
          <w:p>
            <w:pPr>
              <w:spacing w:line="360" w:lineRule="auto"/>
              <w:rPr>
                <w:rFonts w:hAnsi="宋体" w:cs="宋体"/>
                <w:kern w:val="0"/>
                <w:szCs w:val="21"/>
                <w:highlight w:val="none"/>
              </w:rPr>
            </w:pPr>
            <w:r>
              <w:rPr>
                <w:rFonts w:hint="eastAsia" w:hAnsi="宋体" w:cs="宋体"/>
                <w:kern w:val="0"/>
                <w:szCs w:val="21"/>
                <w:highlight w:val="none"/>
              </w:rPr>
              <w:t>具有监理员及以上职业资格，专业类别：</w:t>
            </w:r>
            <w:r>
              <w:rPr>
                <w:rFonts w:hint="eastAsia" w:cs="宋体"/>
                <w:kern w:val="0"/>
                <w:szCs w:val="21"/>
                <w:highlight w:val="none"/>
              </w:rPr>
              <w:t>1</w:t>
            </w:r>
            <w:r>
              <w:rPr>
                <w:rFonts w:hint="eastAsia" w:hAnsi="宋体" w:cs="宋体"/>
                <w:kern w:val="0"/>
                <w:szCs w:val="21"/>
                <w:highlight w:val="none"/>
              </w:rPr>
              <w:t>名市政公用工程专业、1名房屋建筑工程专业。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8" w:hRule="atLeast"/>
        </w:trPr>
        <w:tc>
          <w:tcPr>
            <w:tcW w:w="2343" w:type="dxa"/>
            <w:vAlign w:val="center"/>
          </w:tcPr>
          <w:p>
            <w:pPr>
              <w:spacing w:line="400" w:lineRule="exact"/>
              <w:jc w:val="center"/>
              <w:rPr>
                <w:rFonts w:cs="宋体"/>
                <w:kern w:val="0"/>
                <w:szCs w:val="21"/>
              </w:rPr>
            </w:pPr>
            <w:r>
              <w:rPr>
                <w:rFonts w:hint="eastAsia" w:ascii="宋体" w:hAnsi="宋体" w:cs="宋体"/>
                <w:color w:val="000000"/>
                <w:sz w:val="24"/>
              </w:rPr>
              <w:t>拟派造价工程师（可兼职）</w:t>
            </w:r>
          </w:p>
        </w:tc>
        <w:tc>
          <w:tcPr>
            <w:tcW w:w="1904" w:type="dxa"/>
            <w:vAlign w:val="center"/>
          </w:tcPr>
          <w:p>
            <w:pPr>
              <w:spacing w:line="400" w:lineRule="exact"/>
              <w:jc w:val="center"/>
              <w:rPr>
                <w:rFonts w:hAnsi="宋体" w:cs="宋体"/>
                <w:kern w:val="0"/>
                <w:szCs w:val="21"/>
                <w:highlight w:val="none"/>
              </w:rPr>
            </w:pPr>
            <w:r>
              <w:rPr>
                <w:rFonts w:hint="eastAsia" w:ascii="宋体" w:hAnsi="宋体" w:cs="宋体"/>
                <w:color w:val="000000"/>
                <w:sz w:val="24"/>
                <w:highlight w:val="none"/>
              </w:rPr>
              <w:t>1</w:t>
            </w:r>
          </w:p>
        </w:tc>
        <w:tc>
          <w:tcPr>
            <w:tcW w:w="5293" w:type="dxa"/>
            <w:vAlign w:val="center"/>
          </w:tcPr>
          <w:p>
            <w:pPr>
              <w:spacing w:line="400" w:lineRule="exact"/>
              <w:jc w:val="left"/>
              <w:rPr>
                <w:rFonts w:hAnsi="宋体" w:cs="宋体"/>
                <w:kern w:val="0"/>
                <w:szCs w:val="21"/>
                <w:highlight w:val="none"/>
              </w:rPr>
            </w:pPr>
            <w:r>
              <w:rPr>
                <w:rFonts w:hint="eastAsia" w:ascii="宋体" w:hAnsi="宋体" w:cs="宋体"/>
                <w:color w:val="000000"/>
                <w:sz w:val="24"/>
                <w:highlight w:val="none"/>
              </w:rPr>
              <w:t>国家注册造价工程师，保证无条件到岗，及时完成本工程各专业招标、材料采购、询价等交办的协助工作。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2343" w:type="dxa"/>
            <w:vAlign w:val="center"/>
          </w:tcPr>
          <w:p>
            <w:pPr>
              <w:spacing w:line="360" w:lineRule="auto"/>
              <w:jc w:val="center"/>
              <w:rPr>
                <w:rFonts w:cs="宋体"/>
                <w:kern w:val="0"/>
                <w:szCs w:val="21"/>
              </w:rPr>
            </w:pPr>
            <w:r>
              <w:rPr>
                <w:rFonts w:hint="eastAsia" w:hAnsi="宋体" w:cs="宋体"/>
                <w:kern w:val="0"/>
                <w:szCs w:val="21"/>
              </w:rPr>
              <w:t>合计</w:t>
            </w:r>
          </w:p>
        </w:tc>
        <w:tc>
          <w:tcPr>
            <w:tcW w:w="1904" w:type="dxa"/>
            <w:vAlign w:val="center"/>
          </w:tcPr>
          <w:p>
            <w:pPr>
              <w:spacing w:line="360" w:lineRule="auto"/>
              <w:jc w:val="center"/>
              <w:rPr>
                <w:rFonts w:hAnsi="宋体" w:cs="宋体"/>
                <w:kern w:val="0"/>
                <w:szCs w:val="21"/>
              </w:rPr>
            </w:pPr>
            <w:r>
              <w:rPr>
                <w:rFonts w:hint="eastAsia" w:hAnsi="宋体" w:cs="宋体"/>
                <w:kern w:val="0"/>
                <w:szCs w:val="21"/>
              </w:rPr>
              <w:t>6名</w:t>
            </w:r>
          </w:p>
        </w:tc>
        <w:tc>
          <w:tcPr>
            <w:tcW w:w="5293" w:type="dxa"/>
            <w:vAlign w:val="center"/>
          </w:tcPr>
          <w:p>
            <w:pPr>
              <w:spacing w:line="360" w:lineRule="auto"/>
              <w:rPr>
                <w:rFonts w:hAnsi="宋体" w:cs="宋体"/>
                <w:kern w:val="0"/>
                <w:szCs w:val="21"/>
              </w:rPr>
            </w:pPr>
            <w:r>
              <w:rPr>
                <w:rFonts w:hint="eastAsia" w:hAnsi="宋体" w:cs="宋体"/>
                <w:kern w:val="0"/>
                <w:szCs w:val="21"/>
              </w:rPr>
              <w:t>其中一名须</w:t>
            </w:r>
            <w:r>
              <w:rPr>
                <w:rFonts w:hAnsi="宋体" w:cs="宋体"/>
                <w:kern w:val="0"/>
                <w:szCs w:val="21"/>
              </w:rPr>
              <w:t>具有《工程质量检测见证取样人员岗位证书》</w:t>
            </w:r>
            <w:r>
              <w:rPr>
                <w:rFonts w:hint="eastAsia" w:hAnsi="宋体" w:cs="宋体"/>
                <w:kern w:val="0"/>
                <w:szCs w:val="21"/>
              </w:rPr>
              <w:t>，否则另需增加一名见证取样人员。</w:t>
            </w:r>
          </w:p>
        </w:tc>
      </w:tr>
    </w:tbl>
    <w:p>
      <w:pPr>
        <w:autoSpaceDE w:val="0"/>
        <w:autoSpaceDN w:val="0"/>
        <w:spacing w:line="360" w:lineRule="auto"/>
        <w:ind w:firstLine="210" w:firstLineChars="100"/>
        <w:rPr>
          <w:rFonts w:cs="宋体"/>
          <w:b/>
          <w:color w:val="auto"/>
          <w:kern w:val="0"/>
          <w:szCs w:val="21"/>
          <w:highlight w:val="none"/>
        </w:rPr>
      </w:pPr>
      <w:r>
        <w:rPr>
          <w:rFonts w:hint="eastAsia" w:hAnsi="宋体" w:cs="宋体"/>
          <w:kern w:val="0"/>
          <w:szCs w:val="21"/>
        </w:rPr>
        <w:t>注：以上人员配备为最低限度要求，监理单位必须按招标人要求适时配备相应监理人员，并确保人员到位，否则将按照合同相关处罚条例予以处罚。</w:t>
      </w:r>
      <w:r>
        <w:rPr>
          <w:rFonts w:hint="eastAsia" w:hAnsi="宋体" w:cs="宋体"/>
          <w:b/>
          <w:kern w:val="0"/>
          <w:szCs w:val="21"/>
        </w:rPr>
        <w:t>中标后，上述所有人员配置不得随意更换，确需更换须经建设单位或相关主管部门认可后，方可变</w:t>
      </w:r>
      <w:r>
        <w:rPr>
          <w:rFonts w:hint="eastAsia" w:hAnsi="宋体" w:cs="宋体"/>
          <w:b/>
          <w:kern w:val="0"/>
          <w:szCs w:val="21"/>
          <w:highlight w:val="none"/>
        </w:rPr>
        <w:t>更。</w:t>
      </w:r>
      <w:r>
        <w:rPr>
          <w:rFonts w:hint="eastAsia" w:ascii="宋体" w:hAnsi="宋体" w:cs="仿宋"/>
          <w:kern w:val="0"/>
          <w:szCs w:val="21"/>
          <w:highlight w:val="none"/>
        </w:rPr>
        <w:t>中标</w:t>
      </w:r>
      <w:r>
        <w:rPr>
          <w:rFonts w:ascii="宋体" w:hAnsi="宋体" w:cs="仿宋"/>
          <w:kern w:val="0"/>
          <w:szCs w:val="21"/>
          <w:highlight w:val="none"/>
        </w:rPr>
        <w:t>单位</w:t>
      </w:r>
      <w:r>
        <w:rPr>
          <w:rFonts w:hint="eastAsia" w:ascii="宋体" w:hAnsi="宋体" w:cs="仿宋"/>
          <w:kern w:val="0"/>
          <w:szCs w:val="21"/>
          <w:highlight w:val="none"/>
        </w:rPr>
        <w:t>在人员</w:t>
      </w:r>
      <w:r>
        <w:rPr>
          <w:rFonts w:ascii="宋体" w:hAnsi="宋体" w:cs="仿宋"/>
          <w:kern w:val="0"/>
          <w:szCs w:val="21"/>
          <w:highlight w:val="none"/>
        </w:rPr>
        <w:t>进场前必须将所有</w:t>
      </w:r>
      <w:r>
        <w:rPr>
          <w:rFonts w:hint="eastAsia" w:ascii="宋体" w:hAnsi="宋体" w:cs="仿宋"/>
          <w:kern w:val="0"/>
          <w:szCs w:val="21"/>
          <w:highlight w:val="none"/>
        </w:rPr>
        <w:t>监理</w:t>
      </w:r>
      <w:r>
        <w:rPr>
          <w:rFonts w:ascii="宋体" w:hAnsi="宋体" w:cs="仿宋"/>
          <w:kern w:val="0"/>
          <w:szCs w:val="21"/>
          <w:highlight w:val="none"/>
        </w:rPr>
        <w:t>人员</w:t>
      </w:r>
      <w:r>
        <w:rPr>
          <w:rFonts w:ascii="宋体" w:hAnsi="宋体" w:cs="仿宋"/>
          <w:color w:val="auto"/>
          <w:kern w:val="0"/>
          <w:szCs w:val="21"/>
          <w:highlight w:val="none"/>
        </w:rPr>
        <w:t>体检报告送至招标人处审核，并经招标人确认后方可进行监理</w:t>
      </w:r>
      <w:r>
        <w:rPr>
          <w:rFonts w:hint="eastAsia" w:ascii="宋体" w:hAnsi="宋体" w:cs="仿宋"/>
          <w:color w:val="auto"/>
          <w:kern w:val="0"/>
          <w:szCs w:val="21"/>
          <w:highlight w:val="none"/>
        </w:rPr>
        <w:t>工作</w:t>
      </w:r>
      <w:r>
        <w:rPr>
          <w:rFonts w:ascii="宋体" w:hAnsi="宋体" w:cs="仿宋"/>
          <w:color w:val="auto"/>
          <w:kern w:val="0"/>
          <w:szCs w:val="21"/>
          <w:highlight w:val="none"/>
        </w:rPr>
        <w:t>。</w:t>
      </w:r>
    </w:p>
    <w:p>
      <w:pPr>
        <w:autoSpaceDE w:val="0"/>
        <w:autoSpaceDN w:val="0"/>
        <w:spacing w:line="360" w:lineRule="auto"/>
        <w:ind w:firstLine="465"/>
        <w:rPr>
          <w:rFonts w:cs="宋体"/>
          <w:b/>
          <w:szCs w:val="21"/>
          <w:shd w:val="clear" w:color="auto" w:fill="FFFFFF"/>
        </w:rPr>
      </w:pPr>
      <w:r>
        <w:rPr>
          <w:rFonts w:hint="eastAsia" w:hAnsi="宋体" w:cs="宋体"/>
          <w:szCs w:val="21"/>
          <w:highlight w:val="none"/>
          <w:shd w:val="clear" w:color="auto" w:fill="FFFFFF"/>
        </w:rPr>
        <w:t>拟派本项目监理人员专业以国家注册监理工程师证书注册专业或注册证书所载所学</w:t>
      </w:r>
      <w:r>
        <w:rPr>
          <w:rFonts w:hint="eastAsia" w:hAnsi="宋体" w:cs="宋体"/>
          <w:szCs w:val="21"/>
          <w:shd w:val="clear" w:color="auto" w:fill="FFFFFF"/>
        </w:rPr>
        <w:t>专业为准；省级监理工程师证书以所学专业为准；如提供的是新版国家注册监理工程师，则以国家注册监理工程师证书注册专业或毕业证书为准。</w:t>
      </w:r>
      <w:r>
        <w:rPr>
          <w:rFonts w:hint="eastAsia" w:hAnsi="宋体" w:cs="宋体"/>
          <w:b/>
          <w:szCs w:val="21"/>
          <w:shd w:val="clear" w:color="auto" w:fill="FFFFFF"/>
        </w:rPr>
        <w:t>证书上未</w:t>
      </w:r>
      <w:r>
        <w:rPr>
          <w:rFonts w:hAnsi="宋体" w:cs="宋体"/>
          <w:b/>
          <w:szCs w:val="21"/>
          <w:shd w:val="clear" w:color="auto" w:fill="FFFFFF"/>
        </w:rPr>
        <w:t>注明专业的，</w:t>
      </w:r>
      <w:r>
        <w:rPr>
          <w:rFonts w:hint="eastAsia" w:hAnsi="宋体" w:cs="宋体"/>
          <w:b/>
          <w:szCs w:val="21"/>
          <w:shd w:val="clear" w:color="auto" w:fill="FFFFFF"/>
        </w:rPr>
        <w:t>以毕业证书所学专业为准。</w:t>
      </w:r>
    </w:p>
    <w:p>
      <w:pPr>
        <w:autoSpaceDE w:val="0"/>
        <w:autoSpaceDN w:val="0"/>
        <w:spacing w:line="360" w:lineRule="auto"/>
        <w:rPr>
          <w:szCs w:val="21"/>
        </w:rPr>
      </w:pPr>
      <w:r>
        <w:rPr>
          <w:rFonts w:hint="eastAsia" w:cs="宋体"/>
          <w:kern w:val="0"/>
          <w:szCs w:val="21"/>
        </w:rPr>
        <w:t xml:space="preserve">    1.4.4</w:t>
      </w:r>
      <w:r>
        <w:rPr>
          <w:rFonts w:hint="eastAsia" w:hAnsi="宋体" w:cs="宋体"/>
          <w:kern w:val="0"/>
          <w:szCs w:val="21"/>
        </w:rPr>
        <w:t>本工程不接受联合体投标。</w:t>
      </w:r>
    </w:p>
    <w:p>
      <w:pPr>
        <w:pStyle w:val="5"/>
        <w:keepNext w:val="0"/>
        <w:keepLines w:val="0"/>
        <w:spacing w:before="0" w:after="0" w:line="360" w:lineRule="auto"/>
        <w:rPr>
          <w:rFonts w:eastAsia="宋体"/>
          <w:sz w:val="21"/>
          <w:szCs w:val="21"/>
        </w:rPr>
      </w:pPr>
      <w:bookmarkStart w:id="27" w:name="_Toc9194546"/>
      <w:bookmarkStart w:id="28" w:name="_Toc398107842"/>
      <w:r>
        <w:rPr>
          <w:rFonts w:hint="eastAsia" w:eastAsia="宋体"/>
          <w:sz w:val="21"/>
          <w:szCs w:val="21"/>
        </w:rPr>
        <w:t xml:space="preserve">1.5 </w:t>
      </w:r>
      <w:r>
        <w:rPr>
          <w:rFonts w:hint="eastAsia" w:hAnsi="宋体" w:eastAsia="宋体"/>
          <w:sz w:val="21"/>
          <w:szCs w:val="21"/>
        </w:rPr>
        <w:t>费用承担</w:t>
      </w:r>
      <w:bookmarkEnd w:id="27"/>
      <w:bookmarkEnd w:id="28"/>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投标人在提交投标文件的同时提交</w:t>
      </w:r>
      <w:r>
        <w:rPr>
          <w:rFonts w:hint="eastAsia" w:cs="宋体"/>
          <w:b/>
          <w:color w:val="000000"/>
          <w:kern w:val="0"/>
          <w:szCs w:val="21"/>
        </w:rPr>
        <w:t>300</w:t>
      </w:r>
      <w:r>
        <w:rPr>
          <w:rFonts w:hint="eastAsia" w:hAnsi="宋体" w:cs="宋体"/>
          <w:b/>
          <w:color w:val="000000"/>
          <w:kern w:val="0"/>
          <w:szCs w:val="21"/>
        </w:rPr>
        <w:t>元</w:t>
      </w:r>
      <w:r>
        <w:rPr>
          <w:rFonts w:hint="eastAsia" w:hAnsi="宋体" w:cs="宋体"/>
          <w:color w:val="000000"/>
          <w:kern w:val="0"/>
          <w:szCs w:val="21"/>
        </w:rPr>
        <w:t>招标文件相关费用，无论是否中标，该费用不予退还。</w:t>
      </w:r>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投标人应承担其编制投标文件以及递交投标文件所涉及的一切费用。无论投标结果如何，招标人对上述费用不负任何责任。</w:t>
      </w:r>
    </w:p>
    <w:p>
      <w:pPr>
        <w:pStyle w:val="5"/>
        <w:keepNext w:val="0"/>
        <w:keepLines w:val="0"/>
        <w:spacing w:before="0" w:after="0" w:line="360" w:lineRule="auto"/>
        <w:rPr>
          <w:rFonts w:eastAsia="宋体"/>
          <w:color w:val="000000"/>
          <w:sz w:val="21"/>
          <w:szCs w:val="21"/>
        </w:rPr>
      </w:pPr>
      <w:bookmarkStart w:id="29" w:name="_Toc398107843"/>
      <w:bookmarkStart w:id="30" w:name="_Toc9194547"/>
      <w:r>
        <w:rPr>
          <w:rFonts w:hint="eastAsia" w:eastAsia="宋体"/>
          <w:color w:val="000000"/>
          <w:sz w:val="21"/>
          <w:szCs w:val="21"/>
        </w:rPr>
        <w:t xml:space="preserve">1.6 </w:t>
      </w:r>
      <w:r>
        <w:rPr>
          <w:rFonts w:hint="eastAsia" w:hAnsi="宋体" w:eastAsia="宋体"/>
          <w:color w:val="000000"/>
          <w:sz w:val="21"/>
          <w:szCs w:val="21"/>
        </w:rPr>
        <w:t>保密</w:t>
      </w:r>
      <w:bookmarkEnd w:id="29"/>
      <w:bookmarkEnd w:id="30"/>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参与招标投标活动的各方应对招标文件和投标文件中的商业和技术等秘密保密，违者应对由此造成的后果承担法律责任。</w:t>
      </w:r>
    </w:p>
    <w:p>
      <w:pPr>
        <w:pStyle w:val="5"/>
        <w:keepNext w:val="0"/>
        <w:keepLines w:val="0"/>
        <w:spacing w:before="0" w:after="0" w:line="360" w:lineRule="auto"/>
        <w:rPr>
          <w:rFonts w:eastAsia="宋体"/>
          <w:color w:val="000000"/>
          <w:sz w:val="21"/>
          <w:szCs w:val="21"/>
        </w:rPr>
      </w:pPr>
      <w:bookmarkStart w:id="31" w:name="_Toc9194548"/>
      <w:bookmarkStart w:id="32" w:name="_Toc398107844"/>
      <w:r>
        <w:rPr>
          <w:rFonts w:hint="eastAsia" w:eastAsia="宋体"/>
          <w:color w:val="000000"/>
          <w:sz w:val="21"/>
          <w:szCs w:val="21"/>
        </w:rPr>
        <w:t xml:space="preserve">1.7 </w:t>
      </w:r>
      <w:r>
        <w:rPr>
          <w:rFonts w:hint="eastAsia" w:hAnsi="宋体" w:eastAsia="宋体"/>
          <w:color w:val="000000"/>
          <w:sz w:val="21"/>
          <w:szCs w:val="21"/>
        </w:rPr>
        <w:t>语言文字</w:t>
      </w:r>
      <w:bookmarkEnd w:id="31"/>
      <w:bookmarkEnd w:id="32"/>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除专用术语外，与招标投标有关的语言均使用简体中文。必要时专用术语应附有中文注释。</w:t>
      </w:r>
    </w:p>
    <w:p>
      <w:pPr>
        <w:pStyle w:val="5"/>
        <w:keepNext w:val="0"/>
        <w:keepLines w:val="0"/>
        <w:spacing w:before="0" w:after="0" w:line="360" w:lineRule="auto"/>
        <w:rPr>
          <w:rFonts w:eastAsia="宋体"/>
          <w:color w:val="000000"/>
          <w:sz w:val="21"/>
          <w:szCs w:val="21"/>
        </w:rPr>
      </w:pPr>
      <w:bookmarkStart w:id="33" w:name="_Toc9194549"/>
      <w:bookmarkStart w:id="34" w:name="_Toc398107845"/>
      <w:r>
        <w:rPr>
          <w:rFonts w:hint="eastAsia" w:eastAsia="宋体"/>
          <w:color w:val="000000"/>
          <w:sz w:val="21"/>
          <w:szCs w:val="21"/>
        </w:rPr>
        <w:t xml:space="preserve">1.8 </w:t>
      </w:r>
      <w:r>
        <w:rPr>
          <w:rFonts w:hint="eastAsia" w:hAnsi="宋体" w:eastAsia="宋体"/>
          <w:color w:val="000000"/>
          <w:sz w:val="21"/>
          <w:szCs w:val="21"/>
        </w:rPr>
        <w:t>计量单位</w:t>
      </w:r>
      <w:bookmarkEnd w:id="33"/>
      <w:bookmarkEnd w:id="34"/>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所有计量均采用中华人民共和国法定计量单位。</w:t>
      </w:r>
    </w:p>
    <w:p>
      <w:pPr>
        <w:pStyle w:val="5"/>
        <w:keepNext w:val="0"/>
        <w:keepLines w:val="0"/>
        <w:spacing w:before="0" w:after="0" w:line="360" w:lineRule="auto"/>
        <w:rPr>
          <w:rFonts w:eastAsia="宋体"/>
          <w:color w:val="000000"/>
          <w:sz w:val="21"/>
          <w:szCs w:val="21"/>
        </w:rPr>
      </w:pPr>
      <w:bookmarkStart w:id="35" w:name="_Toc9194550"/>
      <w:bookmarkStart w:id="36" w:name="_Toc398107846"/>
      <w:r>
        <w:rPr>
          <w:rFonts w:hint="eastAsia" w:eastAsia="宋体"/>
          <w:color w:val="000000"/>
          <w:sz w:val="21"/>
          <w:szCs w:val="21"/>
        </w:rPr>
        <w:t xml:space="preserve">1.6 </w:t>
      </w:r>
      <w:r>
        <w:rPr>
          <w:rFonts w:hint="eastAsia" w:hAnsi="宋体" w:eastAsia="宋体"/>
          <w:color w:val="000000"/>
          <w:sz w:val="21"/>
          <w:szCs w:val="21"/>
        </w:rPr>
        <w:t>踏勘现场</w:t>
      </w:r>
      <w:bookmarkEnd w:id="35"/>
      <w:bookmarkEnd w:id="36"/>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1.6.1</w:t>
      </w:r>
      <w:r>
        <w:rPr>
          <w:rFonts w:hint="eastAsia" w:hAnsi="宋体" w:cs="宋体"/>
          <w:color w:val="000000"/>
          <w:kern w:val="0"/>
          <w:szCs w:val="21"/>
        </w:rPr>
        <w:t>招标人不组织投标人踏勘现场，投标人可以自行对工程施工现场和周围环境进行勘察，以获取编制投标文件和签署合同所需的所有资料。施工现场的联系方式见须知前附表。</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1.6.2 </w:t>
      </w:r>
      <w:r>
        <w:rPr>
          <w:rFonts w:hint="eastAsia" w:hAnsi="宋体" w:cs="宋体"/>
          <w:color w:val="000000"/>
          <w:kern w:val="0"/>
          <w:szCs w:val="21"/>
        </w:rPr>
        <w:t>投标人踏勘现场发生的费用自理。</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1.6.3 </w:t>
      </w:r>
      <w:r>
        <w:rPr>
          <w:rFonts w:hint="eastAsia" w:hAnsi="宋体" w:cs="宋体"/>
          <w:color w:val="000000"/>
          <w:kern w:val="0"/>
          <w:szCs w:val="21"/>
        </w:rPr>
        <w:t>除招标人的原因外，投标人自行负责在踏勘现场中所发生的人员伤亡和财产损失。</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1.6.4 </w:t>
      </w:r>
      <w:r>
        <w:rPr>
          <w:rFonts w:hint="eastAsia" w:hAnsi="宋体" w:cs="宋体"/>
          <w:color w:val="000000"/>
          <w:kern w:val="0"/>
          <w:szCs w:val="21"/>
        </w:rPr>
        <w:t>招标人向投标人提供的有关施工现场的资料和数据是招标人现有的能使投标人利用的资料。招标人对投标人由此而做出的推论、理解和结论概不负责。</w:t>
      </w:r>
    </w:p>
    <w:p>
      <w:pPr>
        <w:pStyle w:val="5"/>
        <w:keepNext w:val="0"/>
        <w:keepLines w:val="0"/>
        <w:spacing w:before="0" w:after="0" w:line="360" w:lineRule="auto"/>
        <w:rPr>
          <w:rFonts w:eastAsia="宋体"/>
          <w:color w:val="000000"/>
          <w:sz w:val="21"/>
          <w:szCs w:val="21"/>
        </w:rPr>
      </w:pPr>
      <w:bookmarkStart w:id="37" w:name="_Toc398107847"/>
      <w:bookmarkStart w:id="38" w:name="_Toc9194551"/>
      <w:r>
        <w:rPr>
          <w:rFonts w:hint="eastAsia" w:eastAsia="宋体"/>
          <w:color w:val="000000"/>
          <w:sz w:val="21"/>
          <w:szCs w:val="21"/>
        </w:rPr>
        <w:t xml:space="preserve">1.10 </w:t>
      </w:r>
      <w:r>
        <w:rPr>
          <w:rFonts w:hint="eastAsia" w:hAnsi="宋体" w:eastAsia="宋体"/>
          <w:color w:val="000000"/>
          <w:sz w:val="21"/>
          <w:szCs w:val="21"/>
        </w:rPr>
        <w:t>投标预备会</w:t>
      </w:r>
      <w:bookmarkEnd w:id="37"/>
      <w:bookmarkEnd w:id="38"/>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1.10.1 </w:t>
      </w:r>
      <w:r>
        <w:rPr>
          <w:rFonts w:hint="eastAsia" w:hAnsi="宋体" w:cs="宋体"/>
          <w:color w:val="000000"/>
          <w:kern w:val="0"/>
          <w:szCs w:val="21"/>
        </w:rPr>
        <w:t>投标人须知前附表规定召开投标预备会的，招标人按投标人须知前附表规定的时间和地点召开投标预备会，澄清投标人提出的问题。</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1.10.2 </w:t>
      </w:r>
      <w:r>
        <w:rPr>
          <w:rFonts w:hint="eastAsia" w:hAnsi="宋体" w:cs="宋体"/>
          <w:color w:val="000000"/>
          <w:kern w:val="0"/>
          <w:szCs w:val="21"/>
        </w:rPr>
        <w:t>投标人应在投标人须知前附表规定的时间前，以书面形式将提出的问题送达招标人，以便招标人在会议期间澄清。</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1.10.3 </w:t>
      </w:r>
      <w:r>
        <w:rPr>
          <w:rFonts w:hint="eastAsia" w:hAnsi="宋体" w:cs="宋体"/>
          <w:color w:val="000000"/>
          <w:kern w:val="0"/>
          <w:szCs w:val="21"/>
        </w:rPr>
        <w:t>投标预备会后，招标人在投标人须知前附表规定的时间内，将对投标人所提问题的澄清，以书面方式通知所有购买招标文件的投标人。该澄清内容为招标文件的组成部分。</w:t>
      </w:r>
    </w:p>
    <w:p>
      <w:pPr>
        <w:pStyle w:val="4"/>
        <w:keepNext w:val="0"/>
        <w:keepLines w:val="0"/>
        <w:spacing w:before="0" w:after="0" w:line="360" w:lineRule="auto"/>
        <w:rPr>
          <w:rFonts w:ascii="Times New Roman" w:hAnsi="Times New Roman" w:eastAsia="宋体"/>
          <w:color w:val="000000"/>
          <w:sz w:val="21"/>
          <w:szCs w:val="21"/>
        </w:rPr>
      </w:pPr>
      <w:bookmarkStart w:id="39" w:name="_Toc9194552"/>
      <w:bookmarkStart w:id="40" w:name="_Toc398107848"/>
      <w:r>
        <w:rPr>
          <w:rFonts w:hint="eastAsia" w:ascii="Times New Roman" w:hAnsi="Times New Roman" w:eastAsia="宋体"/>
          <w:color w:val="000000"/>
          <w:sz w:val="21"/>
          <w:szCs w:val="21"/>
        </w:rPr>
        <w:t xml:space="preserve">2  </w:t>
      </w:r>
      <w:r>
        <w:rPr>
          <w:rFonts w:hint="eastAsia" w:ascii="Times New Roman" w:hAnsi="宋体" w:eastAsia="宋体"/>
          <w:color w:val="000000"/>
          <w:sz w:val="21"/>
          <w:szCs w:val="21"/>
        </w:rPr>
        <w:t>招标文件</w:t>
      </w:r>
      <w:bookmarkEnd w:id="39"/>
      <w:bookmarkEnd w:id="40"/>
    </w:p>
    <w:p>
      <w:pPr>
        <w:pStyle w:val="5"/>
        <w:keepNext w:val="0"/>
        <w:keepLines w:val="0"/>
        <w:spacing w:before="0" w:after="0" w:line="360" w:lineRule="auto"/>
        <w:rPr>
          <w:rFonts w:eastAsia="宋体"/>
          <w:color w:val="000000"/>
          <w:sz w:val="21"/>
          <w:szCs w:val="21"/>
        </w:rPr>
      </w:pPr>
      <w:bookmarkStart w:id="41" w:name="_Toc9194553"/>
      <w:bookmarkStart w:id="42" w:name="_Toc398107849"/>
      <w:r>
        <w:rPr>
          <w:rFonts w:hint="eastAsia" w:eastAsia="宋体"/>
          <w:color w:val="000000"/>
          <w:sz w:val="21"/>
          <w:szCs w:val="21"/>
        </w:rPr>
        <w:t xml:space="preserve">2.1 </w:t>
      </w:r>
      <w:r>
        <w:rPr>
          <w:rFonts w:hint="eastAsia" w:hAnsi="宋体" w:eastAsia="宋体"/>
          <w:color w:val="000000"/>
          <w:sz w:val="21"/>
          <w:szCs w:val="21"/>
        </w:rPr>
        <w:t>招标文件的组成</w:t>
      </w:r>
      <w:bookmarkEnd w:id="41"/>
      <w:bookmarkEnd w:id="42"/>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2.1.1 </w:t>
      </w:r>
      <w:r>
        <w:rPr>
          <w:rFonts w:hint="eastAsia" w:hAnsi="宋体" w:cs="宋体"/>
          <w:color w:val="000000"/>
          <w:kern w:val="0"/>
          <w:szCs w:val="21"/>
        </w:rPr>
        <w:t>本招标文件包括：</w:t>
      </w:r>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w:t>
      </w:r>
      <w:r>
        <w:rPr>
          <w:rFonts w:hint="eastAsia" w:cs="宋体"/>
          <w:color w:val="000000"/>
          <w:kern w:val="0"/>
          <w:szCs w:val="21"/>
        </w:rPr>
        <w:t>1</w:t>
      </w:r>
      <w:r>
        <w:rPr>
          <w:rFonts w:hint="eastAsia" w:hAnsi="宋体" w:cs="宋体"/>
          <w:color w:val="000000"/>
          <w:kern w:val="0"/>
          <w:szCs w:val="21"/>
        </w:rPr>
        <w:t>）投标人须知；</w:t>
      </w:r>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w:t>
      </w:r>
      <w:r>
        <w:rPr>
          <w:rFonts w:hint="eastAsia" w:cs="宋体"/>
          <w:color w:val="000000"/>
          <w:kern w:val="0"/>
          <w:szCs w:val="21"/>
        </w:rPr>
        <w:t>2</w:t>
      </w:r>
      <w:r>
        <w:rPr>
          <w:rFonts w:hint="eastAsia" w:hAnsi="宋体" w:cs="宋体"/>
          <w:color w:val="000000"/>
          <w:kern w:val="0"/>
          <w:szCs w:val="21"/>
        </w:rPr>
        <w:t>）评标办法；</w:t>
      </w:r>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w:t>
      </w:r>
      <w:r>
        <w:rPr>
          <w:rFonts w:hint="eastAsia" w:cs="宋体"/>
          <w:color w:val="000000"/>
          <w:kern w:val="0"/>
          <w:szCs w:val="21"/>
        </w:rPr>
        <w:t>3</w:t>
      </w:r>
      <w:r>
        <w:rPr>
          <w:rFonts w:hint="eastAsia" w:hAnsi="宋体" w:cs="宋体"/>
          <w:color w:val="000000"/>
          <w:kern w:val="0"/>
          <w:szCs w:val="21"/>
        </w:rPr>
        <w:t>）合同条款及格式；</w:t>
      </w:r>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w:t>
      </w:r>
      <w:r>
        <w:rPr>
          <w:rFonts w:hint="eastAsia" w:cs="宋体"/>
          <w:color w:val="000000"/>
          <w:kern w:val="0"/>
          <w:szCs w:val="21"/>
        </w:rPr>
        <w:t>4</w:t>
      </w:r>
      <w:r>
        <w:rPr>
          <w:rFonts w:hint="eastAsia" w:hAnsi="宋体" w:cs="宋体"/>
          <w:color w:val="000000"/>
          <w:kern w:val="0"/>
          <w:szCs w:val="21"/>
        </w:rPr>
        <w:t>）技术资料和设计文件；</w:t>
      </w:r>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w:t>
      </w:r>
      <w:r>
        <w:rPr>
          <w:rFonts w:hint="eastAsia" w:cs="宋体"/>
          <w:color w:val="000000"/>
          <w:kern w:val="0"/>
          <w:szCs w:val="21"/>
        </w:rPr>
        <w:t>5</w:t>
      </w:r>
      <w:r>
        <w:rPr>
          <w:rFonts w:hint="eastAsia" w:hAnsi="宋体" w:cs="宋体"/>
          <w:color w:val="000000"/>
          <w:kern w:val="0"/>
          <w:szCs w:val="21"/>
        </w:rPr>
        <w:t>）投标文件格式；</w:t>
      </w:r>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w:t>
      </w:r>
      <w:r>
        <w:rPr>
          <w:rFonts w:hint="eastAsia" w:cs="宋体"/>
          <w:color w:val="000000"/>
          <w:kern w:val="0"/>
          <w:szCs w:val="21"/>
        </w:rPr>
        <w:t>6</w:t>
      </w:r>
      <w:r>
        <w:rPr>
          <w:rFonts w:hint="eastAsia" w:hAnsi="宋体" w:cs="宋体"/>
          <w:color w:val="000000"/>
          <w:kern w:val="0"/>
          <w:szCs w:val="21"/>
        </w:rPr>
        <w:t>）投标人须知前附表规定的其他材料。</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2.1.2 </w:t>
      </w:r>
      <w:r>
        <w:rPr>
          <w:rFonts w:hint="eastAsia" w:hAnsi="宋体" w:cs="宋体"/>
          <w:color w:val="000000"/>
          <w:kern w:val="0"/>
          <w:szCs w:val="21"/>
        </w:rPr>
        <w:t>根据本章第</w:t>
      </w:r>
      <w:r>
        <w:rPr>
          <w:rFonts w:hint="eastAsia" w:cs="宋体"/>
          <w:color w:val="000000"/>
          <w:kern w:val="0"/>
          <w:szCs w:val="21"/>
        </w:rPr>
        <w:t>1.10</w:t>
      </w:r>
      <w:r>
        <w:rPr>
          <w:rFonts w:hint="eastAsia" w:hAnsi="宋体" w:cs="宋体"/>
          <w:color w:val="000000"/>
          <w:kern w:val="0"/>
          <w:szCs w:val="21"/>
        </w:rPr>
        <w:t>款、第</w:t>
      </w:r>
      <w:r>
        <w:rPr>
          <w:rFonts w:hint="eastAsia" w:cs="宋体"/>
          <w:color w:val="000000"/>
          <w:kern w:val="0"/>
          <w:szCs w:val="21"/>
        </w:rPr>
        <w:t>2.2</w:t>
      </w:r>
      <w:r>
        <w:rPr>
          <w:rFonts w:hint="eastAsia" w:hAnsi="宋体" w:cs="宋体"/>
          <w:color w:val="000000"/>
          <w:kern w:val="0"/>
          <w:szCs w:val="21"/>
        </w:rPr>
        <w:t>款和第</w:t>
      </w:r>
      <w:r>
        <w:rPr>
          <w:rFonts w:hint="eastAsia" w:cs="宋体"/>
          <w:color w:val="000000"/>
          <w:kern w:val="0"/>
          <w:szCs w:val="21"/>
        </w:rPr>
        <w:t>2.3</w:t>
      </w:r>
      <w:r>
        <w:rPr>
          <w:rFonts w:hint="eastAsia" w:hAnsi="宋体" w:cs="宋体"/>
          <w:color w:val="000000"/>
          <w:kern w:val="0"/>
          <w:szCs w:val="21"/>
        </w:rPr>
        <w:t>款对招标文件所作的澄清、修改，构成招标文件的组成部分。当招标文件相互之间发生矛盾时，以后发出的文件为准。</w:t>
      </w:r>
    </w:p>
    <w:p>
      <w:pPr>
        <w:pStyle w:val="5"/>
        <w:keepNext w:val="0"/>
        <w:keepLines w:val="0"/>
        <w:spacing w:before="0" w:after="0" w:line="360" w:lineRule="auto"/>
        <w:rPr>
          <w:rFonts w:eastAsia="宋体"/>
          <w:color w:val="000000"/>
          <w:sz w:val="21"/>
          <w:szCs w:val="21"/>
        </w:rPr>
      </w:pPr>
      <w:bookmarkStart w:id="43" w:name="_Toc9194554"/>
      <w:bookmarkStart w:id="44" w:name="_Toc398107850"/>
      <w:r>
        <w:rPr>
          <w:rFonts w:hint="eastAsia" w:eastAsia="宋体"/>
          <w:color w:val="000000"/>
          <w:sz w:val="21"/>
          <w:szCs w:val="21"/>
        </w:rPr>
        <w:t xml:space="preserve">2.2 </w:t>
      </w:r>
      <w:r>
        <w:rPr>
          <w:rFonts w:hint="eastAsia" w:hAnsi="宋体" w:eastAsia="宋体"/>
          <w:color w:val="000000"/>
          <w:sz w:val="21"/>
          <w:szCs w:val="21"/>
        </w:rPr>
        <w:t>招标文件的澄清</w:t>
      </w:r>
      <w:bookmarkEnd w:id="43"/>
      <w:bookmarkEnd w:id="44"/>
    </w:p>
    <w:p>
      <w:pPr>
        <w:autoSpaceDE w:val="0"/>
        <w:autoSpaceDN w:val="0"/>
        <w:spacing w:line="360" w:lineRule="auto"/>
        <w:ind w:firstLine="420" w:firstLineChars="200"/>
        <w:rPr>
          <w:rFonts w:cs="宋体"/>
          <w:kern w:val="0"/>
          <w:szCs w:val="21"/>
        </w:rPr>
      </w:pPr>
      <w:r>
        <w:rPr>
          <w:rFonts w:hint="eastAsia" w:cs="宋体"/>
          <w:color w:val="000000"/>
          <w:kern w:val="0"/>
          <w:szCs w:val="21"/>
        </w:rPr>
        <w:t xml:space="preserve">2.2.1 </w:t>
      </w:r>
      <w:r>
        <w:rPr>
          <w:rFonts w:hint="eastAsia" w:hAnsi="宋体" w:cs="宋体"/>
          <w:color w:val="000000"/>
          <w:kern w:val="0"/>
          <w:szCs w:val="21"/>
        </w:rPr>
        <w:t>投标人从</w:t>
      </w:r>
      <w:r>
        <w:rPr>
          <w:rFonts w:hint="eastAsia" w:cs="宋体"/>
          <w:color w:val="000000"/>
          <w:kern w:val="0"/>
          <w:szCs w:val="21"/>
        </w:rPr>
        <w:t>“</w:t>
      </w:r>
      <w:r>
        <w:rPr>
          <w:rFonts w:hint="eastAsia"/>
          <w:szCs w:val="21"/>
        </w:rPr>
        <w:t>南通市崇川区人民政府网政府采购与工程招标栏</w:t>
      </w:r>
      <w:r>
        <w:rPr>
          <w:rFonts w:hint="eastAsia" w:cs="宋体"/>
          <w:color w:val="000000"/>
          <w:kern w:val="0"/>
          <w:szCs w:val="21"/>
        </w:rPr>
        <w:t>”</w:t>
      </w:r>
      <w:r>
        <w:rPr>
          <w:rFonts w:hint="eastAsia" w:hAnsi="宋体" w:cs="宋体"/>
          <w:color w:val="000000"/>
          <w:kern w:val="0"/>
          <w:szCs w:val="21"/>
        </w:rPr>
        <w:t>下载招标文件后应仔细阅读和检查招标文件的全部内容。如发现缺页或附件不全，应及时向招标人提出，以便补齐。如有疑问，</w:t>
      </w:r>
      <w:r>
        <w:rPr>
          <w:rFonts w:hint="eastAsia" w:hAnsi="宋体" w:cs="宋体"/>
          <w:kern w:val="0"/>
          <w:szCs w:val="21"/>
        </w:rPr>
        <w:t>应在投标人须知前附表规定的时间前要求招标人对招标文件予以澄清。</w:t>
      </w:r>
    </w:p>
    <w:p>
      <w:pPr>
        <w:autoSpaceDE w:val="0"/>
        <w:autoSpaceDN w:val="0"/>
        <w:spacing w:line="360" w:lineRule="auto"/>
        <w:ind w:firstLine="420" w:firstLineChars="200"/>
        <w:rPr>
          <w:rFonts w:cs="宋体"/>
          <w:kern w:val="0"/>
          <w:szCs w:val="21"/>
        </w:rPr>
      </w:pPr>
      <w:r>
        <w:rPr>
          <w:rFonts w:hint="eastAsia" w:cs="宋体"/>
          <w:kern w:val="0"/>
          <w:szCs w:val="21"/>
        </w:rPr>
        <w:t>2.2.2</w:t>
      </w:r>
      <w:r>
        <w:rPr>
          <w:rFonts w:hint="eastAsia" w:hAnsi="宋体" w:cs="宋体"/>
          <w:kern w:val="0"/>
          <w:szCs w:val="21"/>
        </w:rPr>
        <w:t>招标人不组织集中答疑，投标人如对招标公告、招标文件等文件存在前后矛盾，部分条款说明不清、存在歧义、违反相关法律法规，存在限制性条款等有疑问的应在</w:t>
      </w:r>
      <w:r>
        <w:rPr>
          <w:rFonts w:hint="eastAsia" w:cs="宋体"/>
          <w:kern w:val="0"/>
          <w:szCs w:val="21"/>
          <w:u w:val="single"/>
        </w:rPr>
        <w:t>2022</w:t>
      </w:r>
      <w:r>
        <w:rPr>
          <w:rFonts w:hint="eastAsia" w:hAnsi="宋体" w:cs="宋体"/>
          <w:kern w:val="0"/>
          <w:szCs w:val="21"/>
          <w:highlight w:val="yellow"/>
          <w:u w:val="single"/>
        </w:rPr>
        <w:t>年</w:t>
      </w:r>
      <w:r>
        <w:rPr>
          <w:rFonts w:hint="eastAsia" w:hAnsi="宋体" w:cs="宋体"/>
          <w:kern w:val="0"/>
          <w:szCs w:val="21"/>
          <w:highlight w:val="yellow"/>
          <w:u w:val="single"/>
          <w:lang w:val="en-US" w:eastAsia="zh-CN"/>
        </w:rPr>
        <w:t>2</w:t>
      </w:r>
      <w:r>
        <w:rPr>
          <w:rFonts w:hint="eastAsia" w:hAnsi="宋体" w:cs="宋体"/>
          <w:kern w:val="0"/>
          <w:szCs w:val="21"/>
          <w:highlight w:val="yellow"/>
          <w:u w:val="single"/>
        </w:rPr>
        <w:t>月</w:t>
      </w:r>
      <w:r>
        <w:rPr>
          <w:rFonts w:hint="eastAsia" w:hAnsi="宋体" w:cs="宋体"/>
          <w:kern w:val="0"/>
          <w:szCs w:val="21"/>
          <w:highlight w:val="yellow"/>
          <w:u w:val="single"/>
          <w:lang w:val="en-US" w:eastAsia="zh-CN"/>
        </w:rPr>
        <w:t>14</w:t>
      </w:r>
      <w:r>
        <w:rPr>
          <w:rFonts w:hint="eastAsia" w:hAnsi="宋体" w:cs="宋体"/>
          <w:kern w:val="0"/>
          <w:szCs w:val="21"/>
          <w:highlight w:val="yellow"/>
          <w:u w:val="single"/>
        </w:rPr>
        <w:t>日</w:t>
      </w:r>
      <w:r>
        <w:rPr>
          <w:rFonts w:hint="eastAsia" w:cs="宋体"/>
          <w:kern w:val="0"/>
          <w:szCs w:val="21"/>
          <w:highlight w:val="yellow"/>
          <w:u w:val="single"/>
        </w:rPr>
        <w:t>17</w:t>
      </w:r>
      <w:r>
        <w:rPr>
          <w:rFonts w:hint="eastAsia" w:hAnsi="宋体" w:cs="宋体"/>
          <w:kern w:val="0"/>
          <w:szCs w:val="21"/>
          <w:u w:val="single"/>
        </w:rPr>
        <w:t>时</w:t>
      </w:r>
      <w:r>
        <w:rPr>
          <w:rFonts w:hint="eastAsia" w:hAnsi="宋体" w:cs="宋体"/>
          <w:kern w:val="0"/>
          <w:szCs w:val="21"/>
        </w:rPr>
        <w:t>前向招标人提出澄清要求，</w:t>
      </w:r>
      <w:r>
        <w:fldChar w:fldCharType="begin"/>
      </w:r>
      <w:r>
        <w:instrText xml:space="preserve"> HYPERLINK "mailto:以电子文件形式发送至550362779@qq.com" </w:instrText>
      </w:r>
      <w:r>
        <w:fldChar w:fldCharType="separate"/>
      </w:r>
      <w:r>
        <w:rPr>
          <w:rFonts w:hint="eastAsia" w:hAnsi="宋体" w:cs="宋体"/>
          <w:kern w:val="0"/>
          <w:szCs w:val="21"/>
        </w:rPr>
        <w:t>以电子文件形式发送至</w:t>
      </w:r>
      <w:r>
        <w:rPr>
          <w:rFonts w:hint="eastAsia" w:hAnsi="宋体" w:cs="宋体"/>
          <w:kern w:val="0"/>
          <w:szCs w:val="21"/>
        </w:rPr>
        <w:fldChar w:fldCharType="end"/>
      </w:r>
      <w:r>
        <w:rPr>
          <w:rFonts w:hint="eastAsia" w:hAnsi="宋体" w:cs="宋体"/>
          <w:kern w:val="0"/>
          <w:szCs w:val="21"/>
        </w:rPr>
        <w:t>指定邮箱</w:t>
      </w:r>
      <w:r>
        <w:fldChar w:fldCharType="begin"/>
      </w:r>
      <w:r>
        <w:instrText xml:space="preserve"> HYPERLINK "mailto:%20ntcjzb@126.com%20(不具单位名称，不加盖单位公章）。招标人在收到疑问材料后予以解答，并于2021年" </w:instrText>
      </w:r>
      <w:r>
        <w:fldChar w:fldCharType="separate"/>
      </w:r>
      <w:r>
        <w:rPr>
          <w:rFonts w:hint="eastAsia" w:cs="宋体"/>
          <w:kern w:val="0"/>
        </w:rPr>
        <w:t>13016797299@163.com</w:t>
      </w:r>
      <w:r>
        <w:rPr>
          <w:rFonts w:hint="eastAsia"/>
        </w:rPr>
        <w:t xml:space="preserve"> (不具单位名称，不加盖单位公章）。招标人在收到疑问材料后予以解答，并</w:t>
      </w:r>
      <w:r>
        <w:rPr>
          <w:rFonts w:hint="eastAsia"/>
          <w:u w:val="single"/>
        </w:rPr>
        <w:t>于2022</w:t>
      </w:r>
      <w:r>
        <w:rPr>
          <w:rFonts w:hint="eastAsia"/>
        </w:rPr>
        <w:t>年</w:t>
      </w:r>
      <w:r>
        <w:rPr>
          <w:rFonts w:hint="eastAsia"/>
        </w:rPr>
        <w:fldChar w:fldCharType="end"/>
      </w:r>
      <w:r>
        <w:rPr>
          <w:rFonts w:hint="eastAsia" w:hAnsi="宋体" w:cs="宋体"/>
          <w:kern w:val="0"/>
          <w:szCs w:val="21"/>
          <w:highlight w:val="yellow"/>
          <w:u w:val="single"/>
          <w:lang w:val="en-US" w:eastAsia="zh-CN"/>
        </w:rPr>
        <w:t>2</w:t>
      </w:r>
      <w:r>
        <w:rPr>
          <w:rFonts w:hint="eastAsia" w:hAnsi="宋体" w:cs="宋体"/>
          <w:kern w:val="0"/>
          <w:szCs w:val="21"/>
          <w:highlight w:val="yellow"/>
          <w:u w:val="single"/>
        </w:rPr>
        <w:t>月</w:t>
      </w:r>
      <w:r>
        <w:rPr>
          <w:rFonts w:hint="eastAsia" w:hAnsi="宋体" w:cs="宋体"/>
          <w:kern w:val="0"/>
          <w:szCs w:val="21"/>
          <w:highlight w:val="yellow"/>
          <w:u w:val="single"/>
          <w:lang w:val="en-US" w:eastAsia="zh-CN"/>
        </w:rPr>
        <w:t>16</w:t>
      </w:r>
      <w:r>
        <w:rPr>
          <w:rFonts w:hint="eastAsia" w:hAnsi="宋体" w:cs="宋体"/>
          <w:kern w:val="0"/>
          <w:szCs w:val="21"/>
          <w:highlight w:val="yellow"/>
          <w:u w:val="single"/>
        </w:rPr>
        <w:t>日</w:t>
      </w:r>
      <w:r>
        <w:rPr>
          <w:rFonts w:hint="eastAsia" w:cs="宋体"/>
          <w:kern w:val="0"/>
          <w:szCs w:val="21"/>
          <w:highlight w:val="yellow"/>
          <w:u w:val="single"/>
        </w:rPr>
        <w:t>1</w:t>
      </w:r>
      <w:r>
        <w:rPr>
          <w:rFonts w:hint="eastAsia" w:cs="宋体"/>
          <w:kern w:val="0"/>
          <w:szCs w:val="21"/>
          <w:u w:val="single"/>
        </w:rPr>
        <w:t>7</w:t>
      </w:r>
      <w:r>
        <w:rPr>
          <w:rFonts w:hint="eastAsia" w:hAnsi="宋体" w:cs="宋体"/>
          <w:kern w:val="0"/>
          <w:szCs w:val="21"/>
          <w:u w:val="single"/>
        </w:rPr>
        <w:t>时</w:t>
      </w:r>
      <w:r>
        <w:rPr>
          <w:rFonts w:hint="eastAsia" w:hAnsi="宋体" w:cs="宋体"/>
          <w:kern w:val="0"/>
          <w:szCs w:val="21"/>
        </w:rPr>
        <w:t>前将解答内容（若有）以电子文档上传至</w:t>
      </w:r>
      <w:r>
        <w:rPr>
          <w:rFonts w:hAnsi="宋体" w:cs="宋体"/>
          <w:kern w:val="0"/>
          <w:szCs w:val="21"/>
        </w:rPr>
        <w:t>南通市崇川区人民政府网</w:t>
      </w:r>
      <w:r>
        <w:rPr>
          <w:rFonts w:hint="eastAsia" w:hAnsi="宋体" w:cs="宋体"/>
          <w:kern w:val="0"/>
          <w:szCs w:val="21"/>
        </w:rPr>
        <w:t>政府采购工程招标板块，请各潜在投标人在</w:t>
      </w:r>
      <w:r>
        <w:rPr>
          <w:rFonts w:hAnsi="宋体" w:cs="宋体"/>
          <w:kern w:val="0"/>
          <w:szCs w:val="21"/>
        </w:rPr>
        <w:t>南通市崇川区人民政府网</w:t>
      </w:r>
      <w:r>
        <w:rPr>
          <w:rFonts w:hint="eastAsia" w:hAnsi="宋体" w:cs="宋体"/>
          <w:kern w:val="0"/>
          <w:szCs w:val="21"/>
        </w:rPr>
        <w:t>政府采购工程招标板块自行下载。</w:t>
      </w:r>
    </w:p>
    <w:p>
      <w:pPr>
        <w:autoSpaceDE w:val="0"/>
        <w:autoSpaceDN w:val="0"/>
        <w:spacing w:line="360" w:lineRule="auto"/>
        <w:ind w:firstLine="422" w:firstLineChars="200"/>
        <w:rPr>
          <w:rFonts w:cs="宋体"/>
          <w:b/>
          <w:color w:val="000000"/>
          <w:kern w:val="0"/>
          <w:szCs w:val="21"/>
        </w:rPr>
      </w:pPr>
      <w:r>
        <w:rPr>
          <w:rFonts w:hint="eastAsia" w:hAnsi="宋体" w:cs="宋体"/>
          <w:b/>
          <w:kern w:val="0"/>
          <w:szCs w:val="21"/>
        </w:rPr>
        <w:t>在开标截止时间前，投标人未以书面、电子文件形式提出疑问（质疑）的，视为投标人接受招标公告、招标文件所注全部条款。开标后</w:t>
      </w:r>
      <w:r>
        <w:rPr>
          <w:rFonts w:hint="eastAsia" w:hAnsi="宋体" w:cs="宋体"/>
          <w:b/>
          <w:color w:val="000000"/>
          <w:kern w:val="0"/>
          <w:szCs w:val="21"/>
        </w:rPr>
        <w:t>投标人再对招标公告、招标文件等提出质疑或投诉的，招标人有理由不予受理，由此引起的损失由投标人自行承担。</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2.2.3</w:t>
      </w:r>
      <w:r>
        <w:rPr>
          <w:rFonts w:hint="eastAsia" w:hAnsi="宋体" w:cs="宋体"/>
          <w:color w:val="000000"/>
          <w:kern w:val="0"/>
          <w:szCs w:val="21"/>
        </w:rPr>
        <w:t>招标文件的澄清答疑将在投标人须知前附表规定的时间前，在</w:t>
      </w:r>
      <w:r>
        <w:rPr>
          <w:rFonts w:hAnsi="宋体" w:cs="宋体"/>
          <w:color w:val="000000"/>
          <w:kern w:val="0"/>
          <w:szCs w:val="21"/>
        </w:rPr>
        <w:t>南通市崇川区人民政府网</w:t>
      </w:r>
      <w:r>
        <w:rPr>
          <w:rFonts w:hint="eastAsia" w:hAnsi="宋体" w:cs="宋体"/>
          <w:color w:val="000000"/>
          <w:kern w:val="0"/>
          <w:szCs w:val="21"/>
        </w:rPr>
        <w:t>政府采购工程招标板块向所有投标人公示，同时报崇川区公共资源交易管理办公室备案，但招标人不指明澄清问题的来源。</w:t>
      </w:r>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投标人对招标人提供的招标文件所做出的推论、解释和结论，招标人概不负责。投标人由于对招标文件的任何推论和误解均由投标人自负。</w:t>
      </w:r>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在投标截止时间</w:t>
      </w:r>
      <w:r>
        <w:rPr>
          <w:rFonts w:hint="eastAsia" w:cs="宋体"/>
          <w:color w:val="000000"/>
          <w:kern w:val="0"/>
          <w:szCs w:val="21"/>
        </w:rPr>
        <w:t>3</w:t>
      </w:r>
      <w:r>
        <w:rPr>
          <w:rFonts w:hint="eastAsia" w:hAnsi="宋体" w:cs="宋体"/>
          <w:color w:val="000000"/>
          <w:kern w:val="0"/>
          <w:szCs w:val="21"/>
        </w:rPr>
        <w:t>天前，招标人可以修改招标文件，并以书面形式经崇川区公共资源交易管理办公室备案后以电子文档形式在</w:t>
      </w:r>
      <w:r>
        <w:rPr>
          <w:rFonts w:hAnsi="宋体" w:cs="宋体"/>
          <w:color w:val="000000"/>
          <w:kern w:val="0"/>
          <w:szCs w:val="21"/>
        </w:rPr>
        <w:t>南通市崇川区人民政府网</w:t>
      </w:r>
      <w:r>
        <w:rPr>
          <w:rFonts w:hint="eastAsia" w:hAnsi="宋体" w:cs="宋体"/>
          <w:color w:val="000000"/>
          <w:kern w:val="0"/>
          <w:szCs w:val="21"/>
        </w:rPr>
        <w:t>政府采购工程招标板块发布。如果修改招标文件的时间距投标截止时间不足</w:t>
      </w:r>
      <w:r>
        <w:rPr>
          <w:rFonts w:hint="eastAsia" w:cs="宋体"/>
          <w:color w:val="000000"/>
          <w:kern w:val="0"/>
          <w:szCs w:val="21"/>
        </w:rPr>
        <w:t>3</w:t>
      </w:r>
      <w:r>
        <w:rPr>
          <w:rFonts w:hint="eastAsia" w:hAnsi="宋体" w:cs="宋体"/>
          <w:color w:val="000000"/>
          <w:kern w:val="0"/>
          <w:szCs w:val="21"/>
        </w:rPr>
        <w:t>天，相应延长投标截止时间。</w:t>
      </w:r>
    </w:p>
    <w:p>
      <w:pPr>
        <w:pStyle w:val="5"/>
        <w:keepNext w:val="0"/>
        <w:keepLines w:val="0"/>
        <w:spacing w:before="0" w:after="0" w:line="360" w:lineRule="auto"/>
        <w:rPr>
          <w:rFonts w:eastAsia="宋体"/>
          <w:color w:val="000000"/>
          <w:sz w:val="21"/>
          <w:szCs w:val="21"/>
        </w:rPr>
      </w:pPr>
      <w:bookmarkStart w:id="45" w:name="_Toc398107851"/>
      <w:bookmarkStart w:id="46" w:name="_Toc9194555"/>
      <w:r>
        <w:rPr>
          <w:rFonts w:hint="eastAsia" w:eastAsia="宋体"/>
          <w:color w:val="000000"/>
          <w:sz w:val="21"/>
          <w:szCs w:val="21"/>
        </w:rPr>
        <w:t xml:space="preserve">2.3 </w:t>
      </w:r>
      <w:r>
        <w:rPr>
          <w:rFonts w:hint="eastAsia" w:hAnsi="宋体" w:eastAsia="宋体"/>
          <w:color w:val="000000"/>
          <w:sz w:val="21"/>
          <w:szCs w:val="21"/>
        </w:rPr>
        <w:t>招标文件的修改和补充</w:t>
      </w:r>
      <w:bookmarkEnd w:id="45"/>
      <w:bookmarkEnd w:id="46"/>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2.3.1</w:t>
      </w:r>
      <w:r>
        <w:rPr>
          <w:rFonts w:hint="eastAsia" w:hAnsi="宋体" w:cs="宋体"/>
          <w:color w:val="000000"/>
          <w:kern w:val="0"/>
          <w:szCs w:val="21"/>
        </w:rPr>
        <w:t>招标文件发布后，在投标截止期前，确需对招标文件进行修改的，招标人以招标文件澄清、答疑方式，经</w:t>
      </w:r>
      <w:r>
        <w:rPr>
          <w:rFonts w:hAnsi="宋体" w:cs="宋体"/>
          <w:color w:val="000000"/>
          <w:kern w:val="0"/>
          <w:szCs w:val="21"/>
        </w:rPr>
        <w:t>南通市崇川区人民政府网</w:t>
      </w:r>
      <w:r>
        <w:rPr>
          <w:rFonts w:hint="eastAsia" w:hAnsi="宋体" w:cs="宋体"/>
          <w:color w:val="000000"/>
          <w:kern w:val="0"/>
          <w:szCs w:val="21"/>
        </w:rPr>
        <w:t>政府采购工程招标板块向所有投标人公示，并报招投标监管部门备案。</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2.3.2</w:t>
      </w:r>
      <w:r>
        <w:rPr>
          <w:rFonts w:hint="eastAsia" w:hAnsi="宋体" w:cs="宋体"/>
          <w:color w:val="000000"/>
          <w:kern w:val="0"/>
          <w:szCs w:val="21"/>
        </w:rPr>
        <w:t>招标人在投标截止期前对招标文件的所作澄清、答疑、修改作为招标文件的组成部分，对招标人、投标人均具有约束力。如果修改招标文件时间距投标截止时间不足</w:t>
      </w:r>
      <w:r>
        <w:rPr>
          <w:rFonts w:hint="eastAsia" w:cs="宋体"/>
          <w:color w:val="000000"/>
          <w:kern w:val="0"/>
          <w:szCs w:val="21"/>
        </w:rPr>
        <w:t>3</w:t>
      </w:r>
      <w:r>
        <w:rPr>
          <w:rFonts w:hint="eastAsia" w:hAnsi="宋体" w:cs="宋体"/>
          <w:color w:val="000000"/>
          <w:kern w:val="0"/>
          <w:szCs w:val="21"/>
        </w:rPr>
        <w:t>天，为保证投标人合理时间编制投标文件，招标人应合理延长递交投标文件的截止日期。</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2.3.3</w:t>
      </w:r>
      <w:r>
        <w:rPr>
          <w:rFonts w:hint="eastAsia" w:hAnsi="宋体" w:cs="宋体"/>
          <w:color w:val="000000"/>
          <w:kern w:val="0"/>
          <w:szCs w:val="21"/>
        </w:rPr>
        <w:t>本工程采用电子答疑，招标人对招标文件的所作澄清、答疑、修改均以</w:t>
      </w:r>
      <w:r>
        <w:rPr>
          <w:rFonts w:hAnsi="宋体" w:cs="宋体"/>
          <w:color w:val="000000"/>
          <w:kern w:val="0"/>
          <w:szCs w:val="21"/>
        </w:rPr>
        <w:t>南通市崇川区人民政府网</w:t>
      </w:r>
      <w:r>
        <w:rPr>
          <w:rFonts w:hint="eastAsia" w:hAnsi="宋体" w:cs="宋体"/>
          <w:color w:val="000000"/>
          <w:kern w:val="0"/>
          <w:szCs w:val="21"/>
        </w:rPr>
        <w:t>政府采购工程招标板块上公布的内容为准。招标文件的答疑内容前后期相互矛盾时，以公示时间在后的文件为准。投标人应在投标截止时间前随时查看</w:t>
      </w:r>
      <w:r>
        <w:rPr>
          <w:rFonts w:hAnsi="宋体" w:cs="宋体"/>
          <w:color w:val="000000"/>
          <w:kern w:val="0"/>
          <w:szCs w:val="21"/>
        </w:rPr>
        <w:t>南通市崇川区人民政府网</w:t>
      </w:r>
      <w:r>
        <w:rPr>
          <w:rFonts w:hint="eastAsia" w:hAnsi="宋体" w:cs="宋体"/>
          <w:color w:val="000000"/>
          <w:kern w:val="0"/>
          <w:szCs w:val="21"/>
        </w:rPr>
        <w:t>政府采购工程招标板块中有关该工程招标文件的答疑内容。投标人因自身原因未能及时掌握上述网上公示信息，由此造成投标损失自负。</w:t>
      </w:r>
    </w:p>
    <w:p>
      <w:pPr>
        <w:pStyle w:val="4"/>
        <w:keepNext w:val="0"/>
        <w:keepLines w:val="0"/>
        <w:spacing w:before="0" w:after="0" w:line="360" w:lineRule="auto"/>
        <w:rPr>
          <w:rFonts w:ascii="Times New Roman" w:hAnsi="Times New Roman" w:eastAsia="宋体"/>
          <w:color w:val="000000"/>
          <w:sz w:val="21"/>
          <w:szCs w:val="21"/>
        </w:rPr>
      </w:pPr>
      <w:bookmarkStart w:id="47" w:name="_Toc9194556"/>
      <w:bookmarkStart w:id="48" w:name="_Toc398107852"/>
      <w:r>
        <w:rPr>
          <w:rFonts w:hint="eastAsia" w:ascii="Times New Roman" w:hAnsi="Times New Roman" w:eastAsia="宋体"/>
          <w:color w:val="000000"/>
          <w:sz w:val="21"/>
          <w:szCs w:val="21"/>
        </w:rPr>
        <w:t xml:space="preserve">3  </w:t>
      </w:r>
      <w:r>
        <w:rPr>
          <w:rFonts w:hint="eastAsia" w:ascii="Times New Roman" w:hAnsi="宋体" w:eastAsia="宋体"/>
          <w:color w:val="000000"/>
          <w:sz w:val="21"/>
          <w:szCs w:val="21"/>
        </w:rPr>
        <w:t>投标文件</w:t>
      </w:r>
      <w:bookmarkEnd w:id="47"/>
      <w:bookmarkEnd w:id="48"/>
    </w:p>
    <w:p>
      <w:pPr>
        <w:pStyle w:val="5"/>
        <w:keepNext w:val="0"/>
        <w:keepLines w:val="0"/>
        <w:spacing w:before="0" w:after="0" w:line="360" w:lineRule="auto"/>
        <w:rPr>
          <w:rFonts w:eastAsia="宋体"/>
          <w:color w:val="000000"/>
          <w:sz w:val="21"/>
          <w:szCs w:val="21"/>
        </w:rPr>
      </w:pPr>
      <w:bookmarkStart w:id="49" w:name="_Toc9194557"/>
      <w:bookmarkStart w:id="50" w:name="_Toc398107853"/>
      <w:r>
        <w:rPr>
          <w:rFonts w:hint="eastAsia" w:eastAsia="宋体"/>
          <w:color w:val="000000"/>
          <w:sz w:val="21"/>
          <w:szCs w:val="21"/>
        </w:rPr>
        <w:t xml:space="preserve">3.1 </w:t>
      </w:r>
      <w:r>
        <w:rPr>
          <w:rFonts w:hint="eastAsia" w:hAnsi="宋体" w:eastAsia="宋体"/>
          <w:color w:val="000000"/>
          <w:sz w:val="21"/>
          <w:szCs w:val="21"/>
        </w:rPr>
        <w:t>投标文件的组成</w:t>
      </w:r>
      <w:bookmarkEnd w:id="49"/>
      <w:bookmarkEnd w:id="50"/>
    </w:p>
    <w:p>
      <w:pPr>
        <w:spacing w:line="360" w:lineRule="auto"/>
        <w:ind w:firstLine="420" w:firstLineChars="200"/>
        <w:rPr>
          <w:szCs w:val="21"/>
        </w:rPr>
      </w:pPr>
      <w:r>
        <w:rPr>
          <w:rFonts w:hint="eastAsia" w:hAnsi="宋体"/>
          <w:szCs w:val="21"/>
        </w:rPr>
        <w:t>本工程投标文件由</w:t>
      </w:r>
      <w:r>
        <w:rPr>
          <w:rFonts w:hint="eastAsia" w:hAnsi="宋体"/>
          <w:b/>
          <w:szCs w:val="21"/>
          <w:u w:val="single"/>
        </w:rPr>
        <w:t>资格审查资料包、商务标、资格审查资料原件包</w:t>
      </w:r>
      <w:r>
        <w:rPr>
          <w:rFonts w:hint="eastAsia" w:hAnsi="宋体"/>
          <w:szCs w:val="21"/>
        </w:rPr>
        <w:t>三部分组成，具体应包括以下内容：</w:t>
      </w:r>
    </w:p>
    <w:p>
      <w:pPr>
        <w:spacing w:line="360" w:lineRule="auto"/>
        <w:ind w:firstLine="422" w:firstLineChars="200"/>
        <w:rPr>
          <w:b/>
          <w:szCs w:val="21"/>
        </w:rPr>
      </w:pPr>
      <w:r>
        <w:rPr>
          <w:rFonts w:hint="eastAsia"/>
          <w:b/>
          <w:szCs w:val="21"/>
        </w:rPr>
        <w:t>3.1.1.</w:t>
      </w:r>
      <w:r>
        <w:rPr>
          <w:rFonts w:hint="eastAsia" w:hAnsi="宋体"/>
          <w:b/>
          <w:szCs w:val="21"/>
        </w:rPr>
        <w:t>资格审查资料包包括内容：</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1</w:t>
      </w:r>
      <w:r>
        <w:rPr>
          <w:rFonts w:hint="eastAsia" w:hAnsi="宋体"/>
          <w:color w:val="000000"/>
          <w:szCs w:val="21"/>
        </w:rPr>
        <w:t>）法定代表人证明书或法人授权委托书</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2</w:t>
      </w:r>
      <w:r>
        <w:rPr>
          <w:rFonts w:hint="eastAsia" w:hAnsi="宋体"/>
          <w:color w:val="000000"/>
          <w:szCs w:val="21"/>
        </w:rPr>
        <w:t>）有效的企业法人营业执照（副本）；</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3</w:t>
      </w:r>
      <w:r>
        <w:rPr>
          <w:rFonts w:hint="eastAsia" w:hAnsi="宋体"/>
          <w:color w:val="000000"/>
          <w:szCs w:val="21"/>
        </w:rPr>
        <w:t>）有效的企业资质证书（副本）；</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4</w:t>
      </w:r>
      <w:r>
        <w:rPr>
          <w:rFonts w:hint="eastAsia" w:hAnsi="宋体"/>
          <w:color w:val="000000"/>
          <w:szCs w:val="21"/>
        </w:rPr>
        <w:t>）拟派项目总监理工程师的注册证书，业绩证明材料；</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5</w:t>
      </w:r>
      <w:r>
        <w:rPr>
          <w:rFonts w:hint="eastAsia" w:hAnsi="宋体"/>
          <w:color w:val="000000"/>
          <w:szCs w:val="21"/>
        </w:rPr>
        <w:t>）专业监理工程师的资格证书；</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6</w:t>
      </w:r>
      <w:r>
        <w:rPr>
          <w:rFonts w:hint="eastAsia" w:hAnsi="宋体"/>
          <w:color w:val="000000"/>
          <w:szCs w:val="21"/>
        </w:rPr>
        <w:t>）监理员的资格证书；</w:t>
      </w:r>
    </w:p>
    <w:p>
      <w:pPr>
        <w:spacing w:line="360" w:lineRule="auto"/>
        <w:ind w:firstLine="420" w:firstLineChars="200"/>
        <w:rPr>
          <w:rFonts w:hAnsi="宋体"/>
          <w:color w:val="000000"/>
          <w:szCs w:val="21"/>
        </w:rPr>
      </w:pPr>
      <w:r>
        <w:rPr>
          <w:rFonts w:hint="eastAsia" w:hAnsi="宋体"/>
          <w:color w:val="000000"/>
          <w:szCs w:val="21"/>
        </w:rPr>
        <w:t>（</w:t>
      </w:r>
      <w:r>
        <w:rPr>
          <w:rFonts w:hint="eastAsia"/>
          <w:color w:val="000000"/>
          <w:szCs w:val="21"/>
        </w:rPr>
        <w:t>7</w:t>
      </w:r>
      <w:r>
        <w:rPr>
          <w:rFonts w:hint="eastAsia" w:hAnsi="宋体"/>
          <w:color w:val="000000"/>
          <w:szCs w:val="21"/>
        </w:rPr>
        <w:t>）见证取样人员的岗位证书，拟派造价工程师证书；</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8</w:t>
      </w:r>
      <w:r>
        <w:rPr>
          <w:rFonts w:hint="eastAsia" w:hAnsi="宋体"/>
          <w:color w:val="000000"/>
          <w:szCs w:val="21"/>
        </w:rPr>
        <w:t>）项目总监无在监工程的承诺原件（格式见第五章）；</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9</w:t>
      </w:r>
      <w:r>
        <w:rPr>
          <w:rFonts w:hint="eastAsia" w:hAnsi="宋体"/>
          <w:color w:val="000000"/>
          <w:szCs w:val="21"/>
        </w:rPr>
        <w:t>）投标单位拟派本项目所有监理人员必须为投标单位正式人员的证明材料（有效劳动合同和社保机构出具并盖章的本投标企业为本项目拟派本项目所有监理人员缴纳的</w:t>
      </w:r>
      <w:r>
        <w:rPr>
          <w:rFonts w:hint="eastAsia"/>
          <w:b/>
          <w:color w:val="000000"/>
          <w:szCs w:val="21"/>
        </w:rPr>
        <w:t>2</w:t>
      </w:r>
      <w:r>
        <w:rPr>
          <w:rFonts w:hint="eastAsia"/>
          <w:b/>
          <w:color w:val="000000"/>
          <w:szCs w:val="21"/>
          <w:highlight w:val="none"/>
        </w:rPr>
        <w:t>021年07月至2021年12月</w:t>
      </w:r>
      <w:r>
        <w:rPr>
          <w:rFonts w:hint="eastAsia" w:hAnsi="宋体"/>
          <w:color w:val="000000"/>
          <w:szCs w:val="21"/>
        </w:rPr>
        <w:t>连续</w:t>
      </w:r>
      <w:r>
        <w:rPr>
          <w:rFonts w:hint="eastAsia"/>
          <w:color w:val="000000"/>
          <w:szCs w:val="21"/>
        </w:rPr>
        <w:t>6</w:t>
      </w:r>
      <w:r>
        <w:rPr>
          <w:rFonts w:hint="eastAsia" w:hAnsi="宋体"/>
          <w:color w:val="000000"/>
          <w:szCs w:val="21"/>
        </w:rPr>
        <w:t>个月的养老保险缴费证明）；</w:t>
      </w:r>
    </w:p>
    <w:p>
      <w:pPr>
        <w:pStyle w:val="8"/>
        <w:ind w:firstLine="420"/>
        <w:rPr>
          <w:rFonts w:ascii="Times New Roman" w:hAnsi="Times New Roman" w:eastAsia="宋体"/>
          <w:sz w:val="21"/>
          <w:szCs w:val="21"/>
        </w:rPr>
      </w:pPr>
      <w:r>
        <w:rPr>
          <w:rFonts w:hint="eastAsia" w:ascii="Times New Roman" w:hAnsi="宋体" w:eastAsia="宋体"/>
          <w:color w:val="000000"/>
          <w:sz w:val="21"/>
          <w:szCs w:val="21"/>
        </w:rPr>
        <w:t>（</w:t>
      </w:r>
      <w:r>
        <w:rPr>
          <w:rFonts w:hint="eastAsia" w:ascii="Times New Roman" w:hAnsi="Times New Roman" w:eastAsia="宋体"/>
          <w:color w:val="000000"/>
          <w:sz w:val="21"/>
          <w:szCs w:val="21"/>
        </w:rPr>
        <w:t>10</w:t>
      </w:r>
      <w:r>
        <w:rPr>
          <w:rFonts w:hint="eastAsia" w:ascii="Times New Roman" w:hAnsi="宋体" w:eastAsia="宋体"/>
          <w:color w:val="000000"/>
          <w:sz w:val="21"/>
          <w:szCs w:val="21"/>
        </w:rPr>
        <w:t>）诚信承诺书（格式见第五章）</w:t>
      </w:r>
    </w:p>
    <w:p>
      <w:pPr>
        <w:spacing w:line="360" w:lineRule="auto"/>
        <w:ind w:firstLine="527" w:firstLineChars="250"/>
        <w:rPr>
          <w:szCs w:val="21"/>
        </w:rPr>
      </w:pPr>
      <w:r>
        <w:rPr>
          <w:rFonts w:hAnsi="宋体"/>
          <w:b/>
          <w:szCs w:val="21"/>
          <w:u w:val="single"/>
        </w:rPr>
        <w:t>具体要求详见本招标文件第二章中附件《资格审查标准汇总表》。提供的资格审查材料及审查标准，前后矛盾的以《资格审查标准汇总表》为准。</w:t>
      </w:r>
    </w:p>
    <w:p>
      <w:pPr>
        <w:spacing w:line="360" w:lineRule="auto"/>
        <w:ind w:firstLine="422" w:firstLineChars="200"/>
        <w:rPr>
          <w:b/>
          <w:szCs w:val="21"/>
          <w:u w:val="single"/>
        </w:rPr>
      </w:pPr>
      <w:r>
        <w:rPr>
          <w:rFonts w:hAnsi="宋体"/>
          <w:b/>
          <w:szCs w:val="21"/>
          <w:u w:val="single"/>
        </w:rPr>
        <w:t>以上复印件须加盖投标单位公章，所有材料须统一密封在一个封袋中并编写材料目录，以便在开标时核查，并在封袋上加盖投标人单位公章和法定代表人印章。</w:t>
      </w:r>
    </w:p>
    <w:p>
      <w:pPr>
        <w:spacing w:line="360" w:lineRule="auto"/>
        <w:ind w:firstLine="420" w:firstLineChars="200"/>
        <w:rPr>
          <w:szCs w:val="21"/>
        </w:rPr>
      </w:pPr>
      <w:r>
        <w:rPr>
          <w:rFonts w:hint="eastAsia"/>
          <w:szCs w:val="21"/>
        </w:rPr>
        <w:t>3.1.2</w:t>
      </w:r>
      <w:r>
        <w:rPr>
          <w:rFonts w:hint="eastAsia" w:hAnsi="宋体"/>
          <w:szCs w:val="21"/>
        </w:rPr>
        <w:t>商务标</w:t>
      </w:r>
    </w:p>
    <w:p>
      <w:pPr>
        <w:numPr>
          <w:ilvl w:val="0"/>
          <w:numId w:val="1"/>
        </w:numPr>
        <w:spacing w:line="360" w:lineRule="auto"/>
        <w:ind w:firstLine="420" w:firstLineChars="200"/>
        <w:rPr>
          <w:szCs w:val="21"/>
        </w:rPr>
      </w:pPr>
      <w:r>
        <w:rPr>
          <w:rFonts w:hint="eastAsia" w:hAnsi="宋体"/>
          <w:szCs w:val="21"/>
        </w:rPr>
        <w:t>投标函（格式详见第五章）；</w:t>
      </w:r>
    </w:p>
    <w:p>
      <w:pPr>
        <w:numPr>
          <w:ilvl w:val="0"/>
          <w:numId w:val="1"/>
        </w:numPr>
        <w:spacing w:line="360" w:lineRule="auto"/>
        <w:ind w:firstLine="420" w:firstLineChars="200"/>
        <w:rPr>
          <w:szCs w:val="21"/>
        </w:rPr>
      </w:pPr>
      <w:r>
        <w:rPr>
          <w:rFonts w:hint="eastAsia" w:hAnsi="宋体"/>
          <w:szCs w:val="21"/>
        </w:rPr>
        <w:t>投标人基本情况一览表（格式详见第五章）；</w:t>
      </w:r>
    </w:p>
    <w:p>
      <w:pPr>
        <w:numPr>
          <w:ilvl w:val="0"/>
          <w:numId w:val="1"/>
        </w:numPr>
        <w:spacing w:line="360" w:lineRule="auto"/>
        <w:ind w:firstLine="420" w:firstLineChars="200"/>
        <w:rPr>
          <w:szCs w:val="21"/>
        </w:rPr>
      </w:pPr>
      <w:r>
        <w:rPr>
          <w:rFonts w:hint="eastAsia" w:hAnsi="宋体"/>
          <w:szCs w:val="21"/>
        </w:rPr>
        <w:t>用于本工程的检测设备、仪器及交通工具一览表（格式详见第五章）或委托有关单位进行检测的协议等；</w:t>
      </w:r>
    </w:p>
    <w:p>
      <w:pPr>
        <w:spacing w:line="360" w:lineRule="auto"/>
        <w:ind w:firstLine="420" w:firstLineChars="200"/>
        <w:rPr>
          <w:b/>
          <w:szCs w:val="21"/>
        </w:rPr>
      </w:pPr>
      <w:r>
        <w:rPr>
          <w:rFonts w:hint="eastAsia"/>
          <w:szCs w:val="21"/>
        </w:rPr>
        <w:t>3.1.3</w:t>
      </w:r>
      <w:r>
        <w:rPr>
          <w:rFonts w:hint="eastAsia" w:hAnsi="宋体"/>
          <w:b/>
          <w:szCs w:val="21"/>
        </w:rPr>
        <w:t>资格审查资料原件包包括以下内容：</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1</w:t>
      </w:r>
      <w:r>
        <w:rPr>
          <w:rFonts w:hint="eastAsia" w:hAnsi="宋体"/>
          <w:color w:val="000000"/>
          <w:szCs w:val="21"/>
        </w:rPr>
        <w:t>）有效的企业法人营业执照（副本）；</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2</w:t>
      </w:r>
      <w:r>
        <w:rPr>
          <w:rFonts w:hint="eastAsia" w:hAnsi="宋体"/>
          <w:color w:val="000000"/>
          <w:szCs w:val="21"/>
        </w:rPr>
        <w:t>）有效的企业资质证书（副本）；</w:t>
      </w:r>
    </w:p>
    <w:p>
      <w:pPr>
        <w:spacing w:line="360" w:lineRule="auto"/>
        <w:ind w:firstLine="420" w:firstLineChars="200"/>
        <w:rPr>
          <w:color w:val="000000"/>
          <w:szCs w:val="21"/>
        </w:rPr>
      </w:pPr>
      <w:r>
        <w:rPr>
          <w:rFonts w:hint="eastAsia" w:hAnsi="宋体"/>
          <w:color w:val="000000"/>
          <w:szCs w:val="21"/>
        </w:rPr>
        <w:t>（</w:t>
      </w:r>
      <w:r>
        <w:rPr>
          <w:rFonts w:hint="eastAsia"/>
          <w:color w:val="000000"/>
          <w:szCs w:val="21"/>
        </w:rPr>
        <w:t>3</w:t>
      </w:r>
      <w:r>
        <w:rPr>
          <w:rFonts w:hint="eastAsia" w:hAnsi="宋体"/>
          <w:color w:val="000000"/>
          <w:szCs w:val="21"/>
        </w:rPr>
        <w:t>）拟派项目总监理工程师的注册证书，业绩证明材料；</w:t>
      </w:r>
    </w:p>
    <w:p>
      <w:pPr>
        <w:spacing w:line="360" w:lineRule="auto"/>
        <w:ind w:firstLine="420" w:firstLineChars="200"/>
        <w:rPr>
          <w:rFonts w:hint="eastAsia" w:hAnsi="宋体"/>
          <w:color w:val="000000"/>
          <w:szCs w:val="21"/>
        </w:rPr>
      </w:pPr>
      <w:r>
        <w:rPr>
          <w:rFonts w:hint="eastAsia" w:hAnsi="宋体"/>
          <w:color w:val="000000"/>
          <w:szCs w:val="21"/>
        </w:rPr>
        <w:t>（</w:t>
      </w:r>
      <w:r>
        <w:rPr>
          <w:rFonts w:hint="eastAsia"/>
          <w:color w:val="000000"/>
          <w:szCs w:val="21"/>
          <w:lang w:val="en-US" w:eastAsia="zh-CN"/>
        </w:rPr>
        <w:t>4</w:t>
      </w:r>
      <w:r>
        <w:rPr>
          <w:rFonts w:hint="eastAsia" w:hAnsi="宋体"/>
          <w:color w:val="000000"/>
          <w:szCs w:val="21"/>
        </w:rPr>
        <w:t>）投标单位拟派总监理工程师必须为投标单位正式人员的证明材料（有效劳动合同和社保机构出具并盖章的本投标企业为本项目拟派总监理工程师缴纳</w:t>
      </w:r>
      <w:r>
        <w:rPr>
          <w:rFonts w:hint="eastAsia" w:hAnsi="宋体"/>
          <w:color w:val="000000"/>
          <w:szCs w:val="21"/>
          <w:highlight w:val="none"/>
        </w:rPr>
        <w:t>的</w:t>
      </w:r>
      <w:r>
        <w:rPr>
          <w:rFonts w:hint="eastAsia"/>
          <w:b/>
          <w:color w:val="000000"/>
          <w:szCs w:val="21"/>
          <w:highlight w:val="none"/>
        </w:rPr>
        <w:t>2021年07月至2021年12月</w:t>
      </w:r>
      <w:r>
        <w:rPr>
          <w:rFonts w:hint="eastAsia" w:hAnsi="宋体"/>
          <w:color w:val="000000"/>
          <w:szCs w:val="21"/>
          <w:highlight w:val="none"/>
        </w:rPr>
        <w:t>连续</w:t>
      </w:r>
      <w:r>
        <w:rPr>
          <w:rFonts w:hint="eastAsia"/>
          <w:color w:val="000000"/>
          <w:szCs w:val="21"/>
          <w:highlight w:val="none"/>
        </w:rPr>
        <w:t>6</w:t>
      </w:r>
      <w:r>
        <w:rPr>
          <w:rFonts w:hint="eastAsia" w:hAnsi="宋体"/>
          <w:color w:val="000000"/>
          <w:szCs w:val="21"/>
        </w:rPr>
        <w:t>个月的养老保险缴费证明）；</w:t>
      </w:r>
    </w:p>
    <w:p>
      <w:pPr>
        <w:spacing w:line="360" w:lineRule="auto"/>
        <w:ind w:firstLine="420" w:firstLineChars="200"/>
        <w:rPr>
          <w:rFonts w:hint="default" w:hAnsi="宋体"/>
          <w:color w:val="000000"/>
          <w:szCs w:val="21"/>
          <w:highlight w:val="none"/>
          <w:lang w:val="en-US" w:eastAsia="zh-CN"/>
        </w:rPr>
      </w:pPr>
      <w:r>
        <w:rPr>
          <w:rFonts w:hint="eastAsia" w:hAnsi="宋体"/>
          <w:color w:val="000000"/>
          <w:szCs w:val="21"/>
          <w:highlight w:val="none"/>
          <w:lang w:eastAsia="zh-CN"/>
        </w:rPr>
        <w:t>（</w:t>
      </w:r>
      <w:r>
        <w:rPr>
          <w:rFonts w:hint="eastAsia" w:hAnsi="宋体"/>
          <w:color w:val="000000"/>
          <w:szCs w:val="21"/>
          <w:highlight w:val="none"/>
          <w:lang w:val="en-US" w:eastAsia="zh-CN"/>
        </w:rPr>
        <w:t>5</w:t>
      </w:r>
      <w:r>
        <w:rPr>
          <w:rFonts w:hint="eastAsia" w:hAnsi="宋体"/>
          <w:color w:val="000000"/>
          <w:szCs w:val="21"/>
          <w:highlight w:val="none"/>
          <w:lang w:eastAsia="zh-CN"/>
        </w:rPr>
        <w:t>）</w:t>
      </w:r>
      <w:r>
        <w:rPr>
          <w:rFonts w:hint="eastAsia" w:hAnsi="宋体"/>
          <w:color w:val="000000"/>
          <w:szCs w:val="21"/>
          <w:highlight w:val="none"/>
        </w:rPr>
        <w:t>拟派项目总监理工程师无在监工程承诺书</w:t>
      </w:r>
      <w:r>
        <w:rPr>
          <w:rFonts w:hint="eastAsia" w:hAnsi="宋体"/>
          <w:color w:val="000000"/>
          <w:szCs w:val="21"/>
          <w:highlight w:val="none"/>
          <w:lang w:eastAsia="zh-CN"/>
        </w:rPr>
        <w:t>或原业主证明。</w:t>
      </w:r>
    </w:p>
    <w:p>
      <w:pPr>
        <w:spacing w:line="360" w:lineRule="auto"/>
        <w:ind w:firstLine="527" w:firstLineChars="250"/>
        <w:rPr>
          <w:szCs w:val="21"/>
        </w:rPr>
      </w:pPr>
      <w:r>
        <w:rPr>
          <w:rFonts w:hAnsi="宋体"/>
          <w:b/>
          <w:szCs w:val="21"/>
          <w:u w:val="single"/>
        </w:rPr>
        <w:t>未尽之处具体详见第二章</w:t>
      </w:r>
      <w:r>
        <w:rPr>
          <w:b/>
          <w:szCs w:val="21"/>
          <w:u w:val="single"/>
        </w:rPr>
        <w:t>“</w:t>
      </w:r>
      <w:r>
        <w:rPr>
          <w:rFonts w:hAnsi="宋体"/>
          <w:b/>
          <w:szCs w:val="21"/>
          <w:u w:val="single"/>
        </w:rPr>
        <w:t>评标办法</w:t>
      </w:r>
      <w:r>
        <w:rPr>
          <w:b/>
          <w:szCs w:val="21"/>
          <w:u w:val="single"/>
        </w:rPr>
        <w:t>”</w:t>
      </w:r>
      <w:r>
        <w:rPr>
          <w:rFonts w:hAnsi="宋体"/>
          <w:b/>
          <w:szCs w:val="21"/>
          <w:u w:val="single"/>
        </w:rPr>
        <w:t>中的</w:t>
      </w:r>
      <w:r>
        <w:rPr>
          <w:b/>
          <w:szCs w:val="21"/>
          <w:u w:val="single"/>
        </w:rPr>
        <w:t>“</w:t>
      </w:r>
      <w:r>
        <w:rPr>
          <w:rFonts w:hAnsi="宋体"/>
          <w:b/>
          <w:szCs w:val="21"/>
          <w:u w:val="single"/>
        </w:rPr>
        <w:t>资格审查标准汇总表</w:t>
      </w:r>
      <w:r>
        <w:rPr>
          <w:b/>
          <w:szCs w:val="21"/>
          <w:u w:val="single"/>
        </w:rPr>
        <w:t>”</w:t>
      </w:r>
      <w:r>
        <w:rPr>
          <w:rFonts w:hAnsi="宋体"/>
          <w:b/>
          <w:szCs w:val="21"/>
          <w:u w:val="single"/>
        </w:rPr>
        <w:t>提供的资格审查材料及审查标准，前后矛盾的以《资格审查标准汇总表》为准。</w:t>
      </w:r>
    </w:p>
    <w:p>
      <w:pPr>
        <w:spacing w:line="360" w:lineRule="auto"/>
        <w:ind w:firstLine="527" w:firstLineChars="250"/>
        <w:rPr>
          <w:b/>
          <w:szCs w:val="21"/>
        </w:rPr>
      </w:pPr>
      <w:r>
        <w:rPr>
          <w:rFonts w:hAnsi="宋体"/>
          <w:b/>
          <w:szCs w:val="21"/>
        </w:rPr>
        <w:t>以上原件密封在一个封袋中（以便在开标时核查），并在封袋上加盖投标人单位公章和法定代表人印章。</w:t>
      </w:r>
    </w:p>
    <w:p>
      <w:pPr>
        <w:spacing w:line="360" w:lineRule="auto"/>
        <w:ind w:firstLine="527" w:firstLineChars="250"/>
        <w:rPr>
          <w:b/>
          <w:szCs w:val="21"/>
        </w:rPr>
      </w:pPr>
      <w:r>
        <w:rPr>
          <w:rFonts w:hint="eastAsia" w:hAnsi="宋体" w:cs="宋体"/>
          <w:b/>
          <w:szCs w:val="21"/>
        </w:rPr>
        <w:t>本项目资格审查以资格审查资料包的内容为准，招标文件中要求提交的资料请各投标人务必提供齐全，资格审查资料原件包仅做备查，仅在资料包内容存在字迹模糊、分辨不清等情形时予以查验。</w:t>
      </w:r>
    </w:p>
    <w:p>
      <w:pPr>
        <w:spacing w:line="360" w:lineRule="auto"/>
        <w:ind w:firstLine="420" w:firstLineChars="200"/>
        <w:rPr>
          <w:szCs w:val="21"/>
        </w:rPr>
      </w:pPr>
      <w:r>
        <w:rPr>
          <w:rFonts w:hint="eastAsia"/>
          <w:szCs w:val="21"/>
        </w:rPr>
        <w:t xml:space="preserve">3.1.4 </w:t>
      </w:r>
      <w:r>
        <w:rPr>
          <w:rFonts w:hint="eastAsia" w:hAnsi="宋体"/>
          <w:szCs w:val="21"/>
        </w:rPr>
        <w:t>招标文件提供的文件格式</w:t>
      </w:r>
      <w:r>
        <w:rPr>
          <w:rFonts w:hint="eastAsia"/>
          <w:szCs w:val="21"/>
        </w:rPr>
        <w:t>（</w:t>
      </w:r>
      <w:r>
        <w:rPr>
          <w:rFonts w:hint="eastAsia" w:hAnsi="宋体"/>
          <w:szCs w:val="21"/>
        </w:rPr>
        <w:t>第五章</w:t>
      </w:r>
      <w:r>
        <w:rPr>
          <w:rFonts w:hint="eastAsia"/>
          <w:szCs w:val="21"/>
        </w:rPr>
        <w:t>）</w:t>
      </w:r>
      <w:r>
        <w:rPr>
          <w:rFonts w:hint="eastAsia" w:hAnsi="宋体"/>
          <w:szCs w:val="21"/>
        </w:rPr>
        <w:t>投标人必须使用。但表式可以按同样格式进行扩展。</w:t>
      </w:r>
    </w:p>
    <w:p>
      <w:pPr>
        <w:spacing w:line="360" w:lineRule="auto"/>
        <w:ind w:firstLine="420" w:firstLineChars="200"/>
        <w:rPr>
          <w:szCs w:val="21"/>
        </w:rPr>
      </w:pPr>
      <w:r>
        <w:rPr>
          <w:rFonts w:hint="eastAsia"/>
          <w:szCs w:val="21"/>
        </w:rPr>
        <w:t xml:space="preserve">3.1.5 </w:t>
      </w:r>
      <w:r>
        <w:rPr>
          <w:rFonts w:hint="eastAsia" w:hAnsi="宋体"/>
          <w:szCs w:val="21"/>
        </w:rPr>
        <w:t>纸质投标文件正本须用不能擦去的墨水书写或打印，投标文件副本可以复印，其正、副本都应装订成册，并在封面上正确标明</w:t>
      </w:r>
      <w:r>
        <w:rPr>
          <w:rFonts w:hint="eastAsia"/>
          <w:szCs w:val="21"/>
        </w:rPr>
        <w:t>“</w:t>
      </w:r>
      <w:r>
        <w:rPr>
          <w:rFonts w:hint="eastAsia" w:hAnsi="宋体"/>
          <w:szCs w:val="21"/>
        </w:rPr>
        <w:t>正本</w:t>
      </w:r>
      <w:r>
        <w:rPr>
          <w:rFonts w:hint="eastAsia"/>
          <w:szCs w:val="21"/>
        </w:rPr>
        <w:t>”</w:t>
      </w:r>
      <w:r>
        <w:rPr>
          <w:rFonts w:hint="eastAsia" w:hAnsi="宋体"/>
          <w:szCs w:val="21"/>
        </w:rPr>
        <w:t>、</w:t>
      </w:r>
      <w:r>
        <w:rPr>
          <w:rFonts w:hint="eastAsia"/>
          <w:szCs w:val="21"/>
        </w:rPr>
        <w:t>“</w:t>
      </w:r>
      <w:r>
        <w:rPr>
          <w:rFonts w:hint="eastAsia" w:hAnsi="宋体"/>
          <w:szCs w:val="21"/>
        </w:rPr>
        <w:t>副本</w:t>
      </w:r>
      <w:r>
        <w:rPr>
          <w:rFonts w:hint="eastAsia"/>
          <w:szCs w:val="21"/>
        </w:rPr>
        <w:t>”</w:t>
      </w:r>
      <w:r>
        <w:rPr>
          <w:rFonts w:hint="eastAsia" w:hAnsi="宋体"/>
          <w:szCs w:val="21"/>
        </w:rPr>
        <w:t>字样。资格审查资料原件包、资格审查资料包、商务标分开装袋密封。</w:t>
      </w:r>
    </w:p>
    <w:p>
      <w:pPr>
        <w:spacing w:line="360" w:lineRule="auto"/>
        <w:ind w:firstLine="420" w:firstLineChars="200"/>
        <w:rPr>
          <w:szCs w:val="21"/>
        </w:rPr>
      </w:pPr>
      <w:r>
        <w:rPr>
          <w:rFonts w:hint="eastAsia" w:hAnsi="宋体"/>
          <w:szCs w:val="21"/>
        </w:rPr>
        <w:t>全套投标文件应无修改和行间插字。如有修改，须在修改处加盖投标人法定代表人或其代理人的印鉴。</w:t>
      </w:r>
    </w:p>
    <w:p>
      <w:pPr>
        <w:pStyle w:val="5"/>
        <w:keepNext w:val="0"/>
        <w:keepLines w:val="0"/>
        <w:spacing w:before="0" w:after="0" w:line="360" w:lineRule="auto"/>
        <w:rPr>
          <w:rFonts w:eastAsia="宋体"/>
          <w:color w:val="000000"/>
          <w:sz w:val="21"/>
          <w:szCs w:val="21"/>
        </w:rPr>
      </w:pPr>
      <w:bookmarkStart w:id="51" w:name="_Toc24988"/>
      <w:bookmarkStart w:id="52" w:name="_Toc13714"/>
      <w:bookmarkStart w:id="53" w:name="_Toc398107854"/>
      <w:bookmarkStart w:id="54" w:name="_Toc9194558"/>
      <w:r>
        <w:rPr>
          <w:rFonts w:hint="eastAsia" w:eastAsia="宋体"/>
          <w:color w:val="000000"/>
          <w:sz w:val="21"/>
          <w:szCs w:val="21"/>
        </w:rPr>
        <w:t xml:space="preserve">3.2 </w:t>
      </w:r>
      <w:r>
        <w:rPr>
          <w:rFonts w:hint="eastAsia" w:hAnsi="宋体" w:eastAsia="宋体"/>
          <w:color w:val="000000"/>
          <w:sz w:val="21"/>
          <w:szCs w:val="21"/>
        </w:rPr>
        <w:t>投标报价</w:t>
      </w:r>
      <w:bookmarkEnd w:id="51"/>
      <w:bookmarkEnd w:id="52"/>
      <w:bookmarkEnd w:id="53"/>
      <w:bookmarkEnd w:id="54"/>
    </w:p>
    <w:p>
      <w:pPr>
        <w:autoSpaceDE w:val="0"/>
        <w:autoSpaceDN w:val="0"/>
        <w:spacing w:line="360" w:lineRule="auto"/>
        <w:ind w:firstLine="420" w:firstLineChars="200"/>
        <w:rPr>
          <w:rFonts w:cs="宋体"/>
          <w:kern w:val="0"/>
          <w:szCs w:val="21"/>
        </w:rPr>
      </w:pPr>
      <w:r>
        <w:rPr>
          <w:rFonts w:hint="eastAsia" w:cs="宋体"/>
          <w:color w:val="000000"/>
          <w:kern w:val="0"/>
          <w:szCs w:val="21"/>
        </w:rPr>
        <w:t>3.2.1</w:t>
      </w:r>
      <w:r>
        <w:rPr>
          <w:rFonts w:hint="eastAsia" w:hAnsi="宋体" w:cs="宋体"/>
          <w:color w:val="000000"/>
          <w:kern w:val="0"/>
          <w:szCs w:val="21"/>
        </w:rPr>
        <w:t>投标报价应包括完成招标文件所确定的委托监理的范围和监理业务的整个招标范围进行投标</w:t>
      </w:r>
      <w:r>
        <w:rPr>
          <w:rFonts w:hint="eastAsia" w:hAnsi="宋体" w:cs="宋体"/>
          <w:kern w:val="0"/>
          <w:szCs w:val="21"/>
        </w:rPr>
        <w:t>报价，包括全部的工期内为完成全部监理工作任务所需要的全部监理服务费。</w:t>
      </w:r>
    </w:p>
    <w:p>
      <w:pPr>
        <w:autoSpaceDE w:val="0"/>
        <w:autoSpaceDN w:val="0"/>
        <w:spacing w:line="360" w:lineRule="auto"/>
        <w:ind w:firstLine="420" w:firstLineChars="200"/>
        <w:rPr>
          <w:rFonts w:cs="宋体"/>
          <w:kern w:val="0"/>
          <w:szCs w:val="21"/>
        </w:rPr>
      </w:pPr>
      <w:r>
        <w:rPr>
          <w:rFonts w:hint="eastAsia" w:cs="宋体"/>
          <w:kern w:val="0"/>
          <w:szCs w:val="21"/>
        </w:rPr>
        <w:t xml:space="preserve">3.2.2 </w:t>
      </w:r>
      <w:r>
        <w:rPr>
          <w:rFonts w:hint="eastAsia" w:hAnsi="宋体" w:cs="宋体"/>
          <w:kern w:val="0"/>
          <w:szCs w:val="21"/>
        </w:rPr>
        <w:t>监理收费公式：</w:t>
      </w:r>
    </w:p>
    <w:p>
      <w:pPr>
        <w:autoSpaceDE w:val="0"/>
        <w:autoSpaceDN w:val="0"/>
        <w:spacing w:line="360" w:lineRule="auto"/>
        <w:ind w:firstLine="422" w:firstLineChars="200"/>
        <w:rPr>
          <w:rFonts w:ascii="宋体" w:hAnsi="宋体" w:cs="宋体"/>
          <w:sz w:val="24"/>
        </w:rPr>
      </w:pPr>
      <w:r>
        <w:rPr>
          <w:rFonts w:hint="eastAsia" w:hAnsi="宋体" w:cs="宋体"/>
          <w:b/>
          <w:bCs/>
          <w:kern w:val="0"/>
          <w:szCs w:val="21"/>
        </w:rPr>
        <w:t>本工程监理费取费具体计算过程及公式：</w:t>
      </w:r>
      <w:r>
        <w:rPr>
          <w:rFonts w:hint="eastAsia" w:ascii="宋体" w:hAnsi="宋体" w:cs="宋体"/>
          <w:kern w:val="0"/>
          <w:sz w:val="24"/>
        </w:rPr>
        <w:t>本工程结算审计后的总造价</w:t>
      </w:r>
      <w:r>
        <w:rPr>
          <w:rFonts w:hint="eastAsia" w:ascii="宋体" w:hAnsi="宋体" w:cs="宋体"/>
          <w:sz w:val="24"/>
        </w:rPr>
        <w:t>×施工监理服务收费基准价×(1+中标浮动幅度值)</w:t>
      </w:r>
    </w:p>
    <w:p>
      <w:pPr>
        <w:autoSpaceDE w:val="0"/>
        <w:autoSpaceDN w:val="0"/>
        <w:adjustRightInd w:val="0"/>
        <w:spacing w:line="360" w:lineRule="auto"/>
        <w:ind w:firstLine="480" w:firstLineChars="200"/>
        <w:jc w:val="left"/>
      </w:pPr>
      <w:r>
        <w:rPr>
          <w:rFonts w:hint="eastAsia" w:ascii="宋体" w:hAnsi="宋体" w:cs="宋体"/>
          <w:sz w:val="24"/>
        </w:rPr>
        <w:t>施工监理服务收费基准价=施工监理服务收费基价×专业调整系数（1.0）×工程复杂程度调整系数（1.0）×高程调整系数（1.0）。</w:t>
      </w:r>
    </w:p>
    <w:p>
      <w:pPr>
        <w:pStyle w:val="5"/>
        <w:keepNext w:val="0"/>
        <w:keepLines w:val="0"/>
        <w:spacing w:before="0" w:after="0" w:line="360" w:lineRule="auto"/>
        <w:rPr>
          <w:rFonts w:eastAsia="宋体"/>
          <w:sz w:val="21"/>
          <w:szCs w:val="21"/>
        </w:rPr>
      </w:pPr>
      <w:bookmarkStart w:id="55" w:name="_Toc398107855"/>
      <w:bookmarkStart w:id="56" w:name="_Toc9194559"/>
      <w:r>
        <w:rPr>
          <w:rFonts w:hint="eastAsia" w:eastAsia="宋体"/>
          <w:sz w:val="21"/>
          <w:szCs w:val="21"/>
        </w:rPr>
        <w:t xml:space="preserve">3.3 </w:t>
      </w:r>
      <w:r>
        <w:rPr>
          <w:rFonts w:hint="eastAsia" w:hAnsi="宋体" w:eastAsia="宋体"/>
          <w:sz w:val="21"/>
          <w:szCs w:val="21"/>
        </w:rPr>
        <w:t>投标有效期</w:t>
      </w:r>
      <w:bookmarkEnd w:id="55"/>
      <w:bookmarkEnd w:id="56"/>
    </w:p>
    <w:p>
      <w:pPr>
        <w:autoSpaceDE w:val="0"/>
        <w:autoSpaceDN w:val="0"/>
        <w:spacing w:line="360" w:lineRule="auto"/>
        <w:ind w:firstLine="420" w:firstLineChars="200"/>
        <w:rPr>
          <w:rFonts w:cs="宋体"/>
          <w:color w:val="000000"/>
          <w:kern w:val="0"/>
          <w:szCs w:val="21"/>
        </w:rPr>
      </w:pPr>
      <w:r>
        <w:rPr>
          <w:rFonts w:hint="eastAsia" w:cs="宋体"/>
          <w:kern w:val="0"/>
          <w:szCs w:val="21"/>
        </w:rPr>
        <w:t xml:space="preserve">3.3.1 </w:t>
      </w:r>
      <w:r>
        <w:rPr>
          <w:rFonts w:hint="eastAsia" w:hAnsi="宋体" w:cs="宋体"/>
          <w:kern w:val="0"/>
          <w:szCs w:val="21"/>
        </w:rPr>
        <w:t>投标有效期从投标人提交投标文件截止之日起计算。在投标人须知前附表规定的投标有效期内，投标人不得要求</w:t>
      </w:r>
      <w:r>
        <w:rPr>
          <w:rFonts w:hint="eastAsia" w:hAnsi="宋体" w:cs="宋体"/>
          <w:color w:val="000000"/>
          <w:kern w:val="0"/>
          <w:szCs w:val="21"/>
        </w:rPr>
        <w:t>撤销或修改其投标文件。</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3.3.2 </w:t>
      </w:r>
      <w:r>
        <w:rPr>
          <w:rFonts w:hint="eastAsia" w:hAnsi="宋体" w:cs="宋体"/>
          <w:color w:val="000000"/>
          <w:kern w:val="0"/>
          <w:szCs w:val="21"/>
        </w:rPr>
        <w:t>在本招标文件规定的投标有效期结束前，出现特殊情况的，招标人可以书面形式通知所有投标人延长投标有效期。投标人同意延长的，应相应延长其投标保证金的有效期，但不得要求或被允许修改或撤销其投标文件；投标人拒绝延长的，其投标在投标有效期结束后失效，但投标人有权收回其投标保证金。</w:t>
      </w:r>
    </w:p>
    <w:p>
      <w:pPr>
        <w:pStyle w:val="5"/>
        <w:keepNext w:val="0"/>
        <w:keepLines w:val="0"/>
        <w:spacing w:before="0" w:after="0" w:line="360" w:lineRule="auto"/>
        <w:rPr>
          <w:rFonts w:eastAsia="宋体"/>
          <w:color w:val="000000"/>
          <w:sz w:val="21"/>
          <w:szCs w:val="21"/>
        </w:rPr>
      </w:pPr>
      <w:bookmarkStart w:id="57" w:name="_Toc9194560"/>
      <w:bookmarkStart w:id="58" w:name="_Toc398107857"/>
      <w:r>
        <w:rPr>
          <w:rFonts w:hint="eastAsia" w:eastAsia="宋体"/>
          <w:color w:val="000000"/>
          <w:sz w:val="21"/>
          <w:szCs w:val="21"/>
        </w:rPr>
        <w:t>3.4</w:t>
      </w:r>
      <w:r>
        <w:rPr>
          <w:rFonts w:eastAsia="宋体"/>
          <w:color w:val="000000"/>
          <w:sz w:val="21"/>
          <w:szCs w:val="21"/>
        </w:rPr>
        <w:t>.</w:t>
      </w:r>
      <w:r>
        <w:rPr>
          <w:rFonts w:hAnsi="宋体" w:eastAsia="宋体"/>
          <w:color w:val="000000"/>
          <w:sz w:val="21"/>
          <w:szCs w:val="21"/>
        </w:rPr>
        <w:t>投标保证金</w:t>
      </w:r>
      <w:bookmarkEnd w:id="57"/>
    </w:p>
    <w:p>
      <w:pPr>
        <w:spacing w:line="360" w:lineRule="auto"/>
        <w:ind w:firstLine="422" w:firstLineChars="200"/>
        <w:rPr>
          <w:rFonts w:cs="宋体"/>
          <w:b/>
          <w:kern w:val="0"/>
          <w:szCs w:val="21"/>
        </w:rPr>
      </w:pPr>
      <w:r>
        <w:rPr>
          <w:rFonts w:hint="eastAsia" w:cs="宋体"/>
          <w:b/>
          <w:kern w:val="0"/>
          <w:szCs w:val="21"/>
        </w:rPr>
        <w:t>3.4</w:t>
      </w:r>
      <w:r>
        <w:rPr>
          <w:rFonts w:cs="宋体"/>
          <w:b/>
          <w:kern w:val="0"/>
          <w:szCs w:val="21"/>
        </w:rPr>
        <w:t>.1</w:t>
      </w:r>
      <w:r>
        <w:rPr>
          <w:rFonts w:hAnsi="宋体" w:cs="宋体"/>
          <w:b/>
          <w:kern w:val="0"/>
          <w:szCs w:val="21"/>
        </w:rPr>
        <w:t>投标人必须按照前附表规定于投标文件提交截止时间前将投标保证金汇票和基本账户开户许可证复印件（加盖单位公章）递交给招标代理查验；投标保证金（银行汇票形式）上必须注明收款人：南通市崇川区</w:t>
      </w:r>
      <w:r>
        <w:rPr>
          <w:rFonts w:hint="eastAsia" w:hAnsi="宋体" w:cs="宋体"/>
          <w:b/>
          <w:kern w:val="0"/>
          <w:szCs w:val="21"/>
        </w:rPr>
        <w:t>财政</w:t>
      </w:r>
      <w:r>
        <w:rPr>
          <w:rFonts w:hAnsi="宋体" w:cs="宋体"/>
          <w:b/>
          <w:kern w:val="0"/>
          <w:szCs w:val="21"/>
        </w:rPr>
        <w:t>局，用</w:t>
      </w:r>
      <w:r>
        <w:rPr>
          <w:rFonts w:hAnsi="宋体" w:cs="宋体"/>
          <w:b/>
          <w:kern w:val="0"/>
          <w:szCs w:val="21"/>
          <w:highlight w:val="yellow"/>
        </w:rPr>
        <w:t>途：</w:t>
      </w:r>
      <w:r>
        <w:rPr>
          <w:rFonts w:hint="eastAsia" w:hAnsi="宋体" w:cs="宋体"/>
          <w:b/>
          <w:kern w:val="0"/>
          <w:szCs w:val="21"/>
          <w:highlight w:val="yellow"/>
          <w:u w:val="single"/>
          <w:lang w:val="en-US" w:eastAsia="zh-CN"/>
        </w:rPr>
        <w:t>8</w:t>
      </w:r>
      <w:r>
        <w:rPr>
          <w:rFonts w:hint="eastAsia" w:hAnsi="宋体" w:cs="宋体"/>
          <w:b/>
          <w:kern w:val="0"/>
          <w:szCs w:val="21"/>
          <w:highlight w:val="yellow"/>
          <w:u w:val="single"/>
        </w:rPr>
        <w:t>号</w:t>
      </w:r>
      <w:r>
        <w:rPr>
          <w:rFonts w:hAnsi="宋体"/>
          <w:b/>
          <w:kern w:val="0"/>
          <w:szCs w:val="21"/>
          <w:highlight w:val="yellow"/>
          <w:u w:val="single"/>
        </w:rPr>
        <w:t>投</w:t>
      </w:r>
      <w:r>
        <w:rPr>
          <w:rFonts w:hAnsi="宋体"/>
          <w:b/>
          <w:kern w:val="0"/>
          <w:szCs w:val="21"/>
          <w:u w:val="single"/>
        </w:rPr>
        <w:t>标保证金</w:t>
      </w:r>
      <w:r>
        <w:rPr>
          <w:rFonts w:hAnsi="宋体" w:cs="宋体"/>
          <w:b/>
          <w:kern w:val="0"/>
          <w:szCs w:val="21"/>
        </w:rPr>
        <w:t>；汇款人：</w:t>
      </w:r>
      <w:r>
        <w:rPr>
          <w:rFonts w:hAnsi="宋体" w:cs="宋体"/>
          <w:b/>
          <w:kern w:val="0"/>
          <w:szCs w:val="21"/>
          <w:u w:val="single"/>
        </w:rPr>
        <w:t>投标单位名称</w:t>
      </w:r>
      <w:r>
        <w:rPr>
          <w:rFonts w:hAnsi="宋体" w:cs="宋体"/>
          <w:b/>
          <w:kern w:val="0"/>
          <w:szCs w:val="21"/>
        </w:rPr>
        <w:t>。（</w:t>
      </w:r>
      <w:r>
        <w:rPr>
          <w:rFonts w:hint="eastAsia" w:hAnsi="宋体"/>
          <w:b/>
          <w:szCs w:val="21"/>
        </w:rPr>
        <w:t>帐户名：南通市崇川区财政局，开户行：江苏银行南通汇丰支行，账号：</w:t>
      </w:r>
      <w:r>
        <w:rPr>
          <w:rFonts w:hint="eastAsia"/>
          <w:b/>
          <w:szCs w:val="21"/>
        </w:rPr>
        <w:t>50030188000003292</w:t>
      </w:r>
      <w:r>
        <w:rPr>
          <w:rFonts w:hAnsi="宋体" w:cs="宋体"/>
          <w:b/>
          <w:kern w:val="0"/>
          <w:szCs w:val="21"/>
        </w:rPr>
        <w:t>）。中标单位的投标保证金有效期在投标截止日后</w:t>
      </w:r>
      <w:r>
        <w:rPr>
          <w:rFonts w:cs="宋体"/>
          <w:b/>
          <w:kern w:val="0"/>
          <w:szCs w:val="21"/>
        </w:rPr>
        <w:t>45</w:t>
      </w:r>
      <w:r>
        <w:rPr>
          <w:rFonts w:hAnsi="宋体" w:cs="宋体"/>
          <w:b/>
          <w:kern w:val="0"/>
          <w:szCs w:val="21"/>
        </w:rPr>
        <w:t>天内有效；特别提醒：</w:t>
      </w:r>
    </w:p>
    <w:p>
      <w:pPr>
        <w:spacing w:line="360" w:lineRule="auto"/>
        <w:ind w:firstLine="422" w:firstLineChars="200"/>
        <w:rPr>
          <w:rFonts w:cs="宋体"/>
          <w:b/>
          <w:kern w:val="0"/>
          <w:szCs w:val="21"/>
        </w:rPr>
      </w:pPr>
      <w:r>
        <w:rPr>
          <w:rFonts w:hAnsi="宋体" w:cs="宋体"/>
          <w:b/>
          <w:kern w:val="0"/>
          <w:szCs w:val="21"/>
        </w:rPr>
        <w:t>（</w:t>
      </w:r>
      <w:r>
        <w:rPr>
          <w:rFonts w:cs="宋体"/>
          <w:b/>
          <w:kern w:val="0"/>
          <w:szCs w:val="21"/>
        </w:rPr>
        <w:t>1</w:t>
      </w:r>
      <w:r>
        <w:rPr>
          <w:rFonts w:hAnsi="宋体" w:cs="宋体"/>
          <w:b/>
          <w:kern w:val="0"/>
          <w:szCs w:val="21"/>
        </w:rPr>
        <w:t>）本工程投标保证金的形式必须为银行汇票（并非将保证金款打入指定账户）。若投标人以其他形式提交投标保证金的，其投标文件不予接收。</w:t>
      </w:r>
    </w:p>
    <w:p>
      <w:pPr>
        <w:spacing w:line="360" w:lineRule="auto"/>
        <w:ind w:firstLine="422" w:firstLineChars="200"/>
        <w:rPr>
          <w:rFonts w:cs="宋体"/>
          <w:b/>
          <w:kern w:val="0"/>
          <w:szCs w:val="21"/>
        </w:rPr>
      </w:pPr>
      <w:r>
        <w:rPr>
          <w:rFonts w:hAnsi="宋体" w:cs="宋体"/>
          <w:b/>
          <w:kern w:val="0"/>
          <w:szCs w:val="21"/>
        </w:rPr>
        <w:t>（</w:t>
      </w:r>
      <w:r>
        <w:rPr>
          <w:rFonts w:cs="宋体"/>
          <w:b/>
          <w:kern w:val="0"/>
          <w:szCs w:val="21"/>
        </w:rPr>
        <w:t>2</w:t>
      </w:r>
      <w:r>
        <w:rPr>
          <w:rFonts w:hAnsi="宋体" w:cs="宋体"/>
          <w:b/>
          <w:kern w:val="0"/>
          <w:szCs w:val="21"/>
        </w:rPr>
        <w:t>）保证金形式，收款人、用途、汇款人等必须符合招标文件规定，否则其投标文件不予接收。</w:t>
      </w:r>
    </w:p>
    <w:p>
      <w:pPr>
        <w:spacing w:line="360" w:lineRule="auto"/>
        <w:ind w:firstLine="422" w:firstLineChars="200"/>
        <w:rPr>
          <w:rFonts w:cs="宋体"/>
          <w:b/>
          <w:kern w:val="0"/>
          <w:szCs w:val="21"/>
        </w:rPr>
      </w:pPr>
      <w:r>
        <w:rPr>
          <w:rFonts w:hAnsi="宋体" w:cs="宋体"/>
          <w:b/>
          <w:kern w:val="0"/>
          <w:szCs w:val="21"/>
        </w:rPr>
        <w:t>（</w:t>
      </w:r>
      <w:r>
        <w:rPr>
          <w:rFonts w:cs="宋体"/>
          <w:b/>
          <w:kern w:val="0"/>
          <w:szCs w:val="21"/>
        </w:rPr>
        <w:t>3</w:t>
      </w:r>
      <w:r>
        <w:rPr>
          <w:rFonts w:hAnsi="宋体" w:cs="宋体"/>
          <w:b/>
          <w:kern w:val="0"/>
          <w:szCs w:val="21"/>
        </w:rPr>
        <w:t>）投标保证金必须由企业法人基本存款帐户汇出，否则不予接受。</w:t>
      </w:r>
    </w:p>
    <w:p>
      <w:pPr>
        <w:spacing w:line="360" w:lineRule="auto"/>
        <w:ind w:firstLine="422" w:firstLineChars="200"/>
        <w:rPr>
          <w:rFonts w:cs="宋体"/>
          <w:b/>
          <w:kern w:val="0"/>
          <w:szCs w:val="21"/>
        </w:rPr>
      </w:pPr>
      <w:r>
        <w:rPr>
          <w:rFonts w:hAnsi="宋体" w:cs="宋体"/>
          <w:b/>
          <w:kern w:val="0"/>
          <w:szCs w:val="21"/>
        </w:rPr>
        <w:t>（</w:t>
      </w:r>
      <w:r>
        <w:rPr>
          <w:rFonts w:cs="宋体"/>
          <w:b/>
          <w:kern w:val="0"/>
          <w:szCs w:val="21"/>
        </w:rPr>
        <w:t>4</w:t>
      </w:r>
      <w:r>
        <w:rPr>
          <w:rFonts w:hAnsi="宋体" w:cs="宋体"/>
          <w:b/>
          <w:kern w:val="0"/>
          <w:szCs w:val="21"/>
        </w:rPr>
        <w:t>）各投标人在递交投标文件的同时需递交投标保证金银行汇票原件（无须密封）和基本账户开户许可证复印件（复印件须加盖单位公章，无须密封）供招标人代表查验，否则其投标文件不予接收。</w:t>
      </w:r>
    </w:p>
    <w:p>
      <w:pPr>
        <w:spacing w:line="360" w:lineRule="auto"/>
        <w:ind w:firstLine="422" w:firstLineChars="200"/>
        <w:rPr>
          <w:rFonts w:cs="宋体"/>
          <w:b/>
          <w:color w:val="000000"/>
          <w:kern w:val="0"/>
          <w:szCs w:val="21"/>
        </w:rPr>
      </w:pPr>
      <w:r>
        <w:rPr>
          <w:rFonts w:hint="eastAsia" w:cs="宋体"/>
          <w:b/>
          <w:color w:val="000000"/>
          <w:kern w:val="0"/>
          <w:szCs w:val="21"/>
        </w:rPr>
        <w:t>3.4.2</w:t>
      </w:r>
      <w:r>
        <w:rPr>
          <w:rFonts w:hAnsi="宋体" w:cs="宋体"/>
          <w:b/>
          <w:color w:val="000000"/>
          <w:kern w:val="0"/>
          <w:szCs w:val="21"/>
        </w:rPr>
        <w:t>投标保证金退还</w:t>
      </w:r>
    </w:p>
    <w:p>
      <w:pPr>
        <w:spacing w:line="360" w:lineRule="auto"/>
        <w:ind w:firstLine="422" w:firstLineChars="200"/>
        <w:rPr>
          <w:rFonts w:cs="宋体"/>
          <w:b/>
          <w:color w:val="000000"/>
          <w:kern w:val="0"/>
          <w:szCs w:val="21"/>
        </w:rPr>
      </w:pPr>
      <w:r>
        <w:rPr>
          <w:rFonts w:hint="eastAsia" w:cs="宋体"/>
          <w:b/>
          <w:color w:val="000000"/>
          <w:kern w:val="0"/>
          <w:szCs w:val="21"/>
        </w:rPr>
        <w:t>3.4.2</w:t>
      </w:r>
      <w:r>
        <w:rPr>
          <w:rFonts w:cs="宋体"/>
          <w:b/>
          <w:color w:val="000000"/>
          <w:kern w:val="0"/>
          <w:szCs w:val="21"/>
        </w:rPr>
        <w:t>.</w:t>
      </w:r>
      <w:r>
        <w:rPr>
          <w:rFonts w:hint="eastAsia" w:cs="宋体"/>
          <w:b/>
          <w:color w:val="000000"/>
          <w:kern w:val="0"/>
          <w:szCs w:val="21"/>
        </w:rPr>
        <w:t>1</w:t>
      </w:r>
      <w:r>
        <w:rPr>
          <w:rFonts w:hAnsi="宋体" w:cs="宋体"/>
          <w:b/>
          <w:color w:val="000000"/>
          <w:kern w:val="0"/>
          <w:szCs w:val="21"/>
        </w:rPr>
        <w:t>未中标单位的投标保证金在其定标后予以退还。</w:t>
      </w:r>
    </w:p>
    <w:p>
      <w:pPr>
        <w:spacing w:line="360" w:lineRule="auto"/>
        <w:ind w:firstLine="422" w:firstLineChars="200"/>
        <w:rPr>
          <w:rFonts w:cs="宋体"/>
          <w:b/>
          <w:color w:val="000000"/>
          <w:kern w:val="0"/>
          <w:szCs w:val="21"/>
        </w:rPr>
      </w:pPr>
      <w:r>
        <w:rPr>
          <w:rFonts w:hint="eastAsia" w:cs="宋体"/>
          <w:b/>
          <w:color w:val="000000"/>
          <w:kern w:val="0"/>
          <w:szCs w:val="21"/>
        </w:rPr>
        <w:t>3.4.2</w:t>
      </w:r>
      <w:r>
        <w:rPr>
          <w:rFonts w:cs="宋体"/>
          <w:b/>
          <w:color w:val="000000"/>
          <w:kern w:val="0"/>
          <w:szCs w:val="21"/>
        </w:rPr>
        <w:t>.</w:t>
      </w:r>
      <w:r>
        <w:rPr>
          <w:rFonts w:hint="eastAsia" w:cs="宋体"/>
          <w:b/>
          <w:color w:val="000000"/>
          <w:kern w:val="0"/>
          <w:szCs w:val="21"/>
        </w:rPr>
        <w:t>2</w:t>
      </w:r>
      <w:r>
        <w:rPr>
          <w:rFonts w:hAnsi="宋体" w:cs="宋体"/>
          <w:b/>
          <w:color w:val="000000"/>
          <w:kern w:val="0"/>
          <w:szCs w:val="21"/>
        </w:rPr>
        <w:t>中标单位的投标保证金在施工合同生效后一周内予以退还。</w:t>
      </w:r>
    </w:p>
    <w:p>
      <w:pPr>
        <w:spacing w:line="360" w:lineRule="auto"/>
        <w:ind w:firstLine="422" w:firstLineChars="200"/>
        <w:rPr>
          <w:rFonts w:cs="宋体"/>
          <w:b/>
          <w:color w:val="000000"/>
          <w:kern w:val="0"/>
          <w:szCs w:val="21"/>
        </w:rPr>
      </w:pPr>
      <w:r>
        <w:rPr>
          <w:rFonts w:hint="eastAsia" w:cs="宋体"/>
          <w:b/>
          <w:color w:val="000000"/>
          <w:kern w:val="0"/>
          <w:szCs w:val="21"/>
        </w:rPr>
        <w:t>3.4.3</w:t>
      </w:r>
      <w:r>
        <w:rPr>
          <w:rFonts w:hAnsi="宋体" w:cs="宋体"/>
          <w:b/>
          <w:color w:val="000000"/>
          <w:kern w:val="0"/>
          <w:szCs w:val="21"/>
        </w:rPr>
        <w:t>投标人出现下列情况，其投标保证金一律不予退还。</w:t>
      </w:r>
    </w:p>
    <w:p>
      <w:pPr>
        <w:spacing w:line="360" w:lineRule="auto"/>
        <w:ind w:firstLine="422" w:firstLineChars="200"/>
        <w:rPr>
          <w:rFonts w:cs="宋体"/>
          <w:b/>
          <w:color w:val="000000"/>
          <w:kern w:val="0"/>
          <w:szCs w:val="21"/>
        </w:rPr>
      </w:pPr>
      <w:r>
        <w:rPr>
          <w:rFonts w:hint="eastAsia" w:cs="宋体"/>
          <w:b/>
          <w:color w:val="000000"/>
          <w:kern w:val="0"/>
          <w:szCs w:val="21"/>
        </w:rPr>
        <w:t>3.4.3.1</w:t>
      </w:r>
      <w:r>
        <w:rPr>
          <w:rFonts w:hAnsi="宋体" w:cs="宋体"/>
          <w:b/>
          <w:color w:val="000000"/>
          <w:kern w:val="0"/>
          <w:szCs w:val="21"/>
        </w:rPr>
        <w:t>投标人在投标有效期内撤回其投标文件；</w:t>
      </w:r>
    </w:p>
    <w:p>
      <w:pPr>
        <w:spacing w:line="360" w:lineRule="auto"/>
        <w:ind w:firstLine="422" w:firstLineChars="200"/>
        <w:rPr>
          <w:rFonts w:cs="宋体"/>
          <w:b/>
          <w:color w:val="000000"/>
          <w:kern w:val="0"/>
          <w:szCs w:val="21"/>
        </w:rPr>
      </w:pPr>
      <w:r>
        <w:rPr>
          <w:rFonts w:hint="eastAsia" w:cs="宋体"/>
          <w:b/>
          <w:color w:val="000000"/>
          <w:kern w:val="0"/>
          <w:szCs w:val="21"/>
        </w:rPr>
        <w:t>3.4.3.2</w:t>
      </w:r>
      <w:r>
        <w:rPr>
          <w:rFonts w:hAnsi="宋体" w:cs="宋体"/>
          <w:b/>
          <w:color w:val="000000"/>
          <w:kern w:val="0"/>
          <w:szCs w:val="21"/>
        </w:rPr>
        <w:t>投标人存在《江苏省房屋建筑和市政基础设施工程招标投标中串通投标和弄虚作假行为认定处理办法（试行）》（苏建规字〔</w:t>
      </w:r>
      <w:r>
        <w:rPr>
          <w:rFonts w:cs="宋体"/>
          <w:b/>
          <w:color w:val="000000"/>
          <w:kern w:val="0"/>
          <w:szCs w:val="21"/>
        </w:rPr>
        <w:t>2014</w:t>
      </w:r>
      <w:r>
        <w:rPr>
          <w:rFonts w:hAnsi="宋体" w:cs="宋体"/>
          <w:b/>
          <w:color w:val="000000"/>
          <w:kern w:val="0"/>
          <w:szCs w:val="21"/>
        </w:rPr>
        <w:t>〕</w:t>
      </w:r>
      <w:r>
        <w:rPr>
          <w:rFonts w:cs="宋体"/>
          <w:b/>
          <w:color w:val="000000"/>
          <w:kern w:val="0"/>
          <w:szCs w:val="21"/>
        </w:rPr>
        <w:t>2</w:t>
      </w:r>
      <w:r>
        <w:rPr>
          <w:rFonts w:hAnsi="宋体" w:cs="宋体"/>
          <w:b/>
          <w:color w:val="000000"/>
          <w:kern w:val="0"/>
          <w:szCs w:val="21"/>
        </w:rPr>
        <w:t>号）第四条、第五条、第六条、第七条规定的串通投标、弄虚作假等行为的；</w:t>
      </w:r>
    </w:p>
    <w:p>
      <w:pPr>
        <w:spacing w:line="360" w:lineRule="auto"/>
        <w:ind w:firstLine="422" w:firstLineChars="200"/>
        <w:rPr>
          <w:rFonts w:cs="宋体"/>
          <w:b/>
          <w:color w:val="000000"/>
          <w:kern w:val="0"/>
          <w:szCs w:val="21"/>
        </w:rPr>
      </w:pPr>
      <w:r>
        <w:rPr>
          <w:rFonts w:hint="eastAsia" w:cs="宋体"/>
          <w:b/>
          <w:color w:val="000000"/>
          <w:kern w:val="0"/>
          <w:szCs w:val="21"/>
        </w:rPr>
        <w:t>3.4.3.3</w:t>
      </w:r>
      <w:r>
        <w:rPr>
          <w:rFonts w:hAnsi="宋体" w:cs="宋体"/>
          <w:b/>
          <w:color w:val="000000"/>
          <w:kern w:val="0"/>
          <w:szCs w:val="21"/>
        </w:rPr>
        <w:t>不同投标人的投标文件，出现了评标委员会认为不应当雷同的情况（相同错误）的，且被评委认定为串标的。</w:t>
      </w:r>
    </w:p>
    <w:p>
      <w:pPr>
        <w:spacing w:line="360" w:lineRule="auto"/>
        <w:ind w:firstLine="422" w:firstLineChars="200"/>
        <w:rPr>
          <w:rFonts w:cs="宋体"/>
          <w:b/>
          <w:color w:val="000000"/>
          <w:kern w:val="0"/>
          <w:szCs w:val="21"/>
        </w:rPr>
      </w:pPr>
      <w:r>
        <w:rPr>
          <w:rFonts w:hint="eastAsia" w:cs="宋体"/>
          <w:b/>
          <w:color w:val="000000"/>
          <w:kern w:val="0"/>
          <w:szCs w:val="21"/>
        </w:rPr>
        <w:t>3.4.3.4</w:t>
      </w:r>
      <w:r>
        <w:rPr>
          <w:rFonts w:hAnsi="宋体" w:cs="宋体"/>
          <w:b/>
          <w:color w:val="000000"/>
          <w:kern w:val="0"/>
          <w:szCs w:val="21"/>
        </w:rPr>
        <w:t>投标人已签订《诚信承诺书》（详见招标文件标准格式）的，自投标之日起，中标公示结束之日止，经举报或区招标监管机构（评标委员会）复核，有悖于《诚信承诺书》相关承诺的，且查证属实的。</w:t>
      </w:r>
    </w:p>
    <w:p>
      <w:pPr>
        <w:spacing w:line="360" w:lineRule="auto"/>
        <w:ind w:firstLine="422" w:firstLineChars="200"/>
        <w:rPr>
          <w:rFonts w:cs="宋体"/>
          <w:b/>
          <w:color w:val="000000"/>
          <w:kern w:val="0"/>
          <w:szCs w:val="21"/>
        </w:rPr>
      </w:pPr>
      <w:r>
        <w:rPr>
          <w:rFonts w:hint="eastAsia" w:cs="宋体"/>
          <w:b/>
          <w:color w:val="000000"/>
          <w:kern w:val="0"/>
          <w:szCs w:val="21"/>
        </w:rPr>
        <w:t>3.4.4</w:t>
      </w:r>
      <w:r>
        <w:rPr>
          <w:rFonts w:hAnsi="宋体" w:cs="宋体"/>
          <w:b/>
          <w:color w:val="000000"/>
          <w:kern w:val="0"/>
          <w:szCs w:val="21"/>
        </w:rPr>
        <w:t>中标通知书发出后，除不可抗力情况外，中标人出现下列情形之一的，招标人必须取消其中标资格，并不予退还其投标保证金：</w:t>
      </w:r>
    </w:p>
    <w:p>
      <w:pPr>
        <w:spacing w:line="360" w:lineRule="auto"/>
        <w:ind w:firstLine="422" w:firstLineChars="200"/>
        <w:rPr>
          <w:rFonts w:cs="宋体"/>
          <w:b/>
          <w:color w:val="000000"/>
          <w:kern w:val="0"/>
          <w:szCs w:val="21"/>
        </w:rPr>
      </w:pPr>
      <w:r>
        <w:rPr>
          <w:rFonts w:hint="eastAsia" w:cs="宋体"/>
          <w:b/>
          <w:color w:val="000000"/>
          <w:kern w:val="0"/>
          <w:szCs w:val="21"/>
        </w:rPr>
        <w:t>3.4.4.1</w:t>
      </w:r>
      <w:r>
        <w:rPr>
          <w:rFonts w:hAnsi="宋体" w:cs="宋体"/>
          <w:b/>
          <w:color w:val="000000"/>
          <w:kern w:val="0"/>
          <w:szCs w:val="21"/>
        </w:rPr>
        <w:t>放弃中标项目的；</w:t>
      </w:r>
    </w:p>
    <w:p>
      <w:pPr>
        <w:spacing w:line="360" w:lineRule="auto"/>
        <w:ind w:firstLine="422" w:firstLineChars="200"/>
        <w:rPr>
          <w:rFonts w:cs="宋体"/>
          <w:b/>
          <w:color w:val="000000"/>
          <w:kern w:val="0"/>
          <w:szCs w:val="21"/>
        </w:rPr>
      </w:pPr>
      <w:r>
        <w:rPr>
          <w:rFonts w:hint="eastAsia" w:cs="宋体"/>
          <w:b/>
          <w:color w:val="000000"/>
          <w:kern w:val="0"/>
          <w:szCs w:val="21"/>
        </w:rPr>
        <w:t>3.4.4.2</w:t>
      </w:r>
      <w:r>
        <w:rPr>
          <w:rFonts w:hAnsi="宋体" w:cs="宋体"/>
          <w:b/>
          <w:color w:val="000000"/>
          <w:kern w:val="0"/>
          <w:szCs w:val="21"/>
        </w:rPr>
        <w:t>拒不按照招标文件的要求提交履约保证金的；</w:t>
      </w:r>
    </w:p>
    <w:p>
      <w:pPr>
        <w:spacing w:line="360" w:lineRule="auto"/>
        <w:ind w:firstLine="422" w:firstLineChars="200"/>
        <w:rPr>
          <w:rFonts w:cs="宋体"/>
          <w:b/>
          <w:color w:val="000000"/>
          <w:kern w:val="0"/>
          <w:szCs w:val="21"/>
        </w:rPr>
      </w:pPr>
      <w:r>
        <w:rPr>
          <w:rFonts w:hint="eastAsia" w:cs="宋体"/>
          <w:b/>
          <w:color w:val="000000"/>
          <w:kern w:val="0"/>
          <w:szCs w:val="21"/>
        </w:rPr>
        <w:t>3.4.4.3</w:t>
      </w:r>
      <w:r>
        <w:rPr>
          <w:rFonts w:hAnsi="宋体" w:cs="宋体"/>
          <w:b/>
          <w:color w:val="000000"/>
          <w:kern w:val="0"/>
          <w:szCs w:val="21"/>
        </w:rPr>
        <w:t>不与招标人签订合同的，或者在签订合同时向招标人提出附加条件或者更改合同实质性内容的。</w:t>
      </w:r>
    </w:p>
    <w:p>
      <w:pPr>
        <w:spacing w:line="360" w:lineRule="auto"/>
        <w:ind w:firstLine="422" w:firstLineChars="200"/>
        <w:rPr>
          <w:b/>
          <w:szCs w:val="21"/>
        </w:rPr>
      </w:pPr>
      <w:r>
        <w:rPr>
          <w:rFonts w:hAnsi="宋体" w:cs="宋体"/>
          <w:b/>
          <w:kern w:val="0"/>
          <w:szCs w:val="21"/>
        </w:rPr>
        <w:t>存在上述</w:t>
      </w:r>
      <w:r>
        <w:rPr>
          <w:rFonts w:hint="eastAsia" w:cs="宋体"/>
          <w:b/>
          <w:kern w:val="0"/>
          <w:szCs w:val="21"/>
        </w:rPr>
        <w:t>3.4.3</w:t>
      </w:r>
      <w:r>
        <w:rPr>
          <w:rFonts w:hint="eastAsia" w:hAnsi="宋体" w:cs="宋体"/>
          <w:b/>
          <w:kern w:val="0"/>
          <w:szCs w:val="21"/>
        </w:rPr>
        <w:t>、</w:t>
      </w:r>
      <w:r>
        <w:rPr>
          <w:rFonts w:hint="eastAsia" w:cs="宋体"/>
          <w:b/>
          <w:kern w:val="0"/>
          <w:szCs w:val="21"/>
        </w:rPr>
        <w:t>3.4.4.</w:t>
      </w:r>
      <w:r>
        <w:rPr>
          <w:rFonts w:hAnsi="宋体" w:cs="宋体"/>
          <w:b/>
          <w:kern w:val="0"/>
          <w:szCs w:val="21"/>
        </w:rPr>
        <w:t>行为的，</w:t>
      </w:r>
      <w:r>
        <w:rPr>
          <w:rFonts w:hAnsi="宋体"/>
          <w:b/>
          <w:szCs w:val="21"/>
        </w:rPr>
        <w:t>招标人不退还投标保证金并上交国库，并自认定之日起一年内不得参与崇川区任何招投标活动，并在</w:t>
      </w:r>
      <w:r>
        <w:rPr>
          <w:rFonts w:hint="eastAsia"/>
          <w:b/>
          <w:szCs w:val="21"/>
        </w:rPr>
        <w:t>“</w:t>
      </w:r>
      <w:r>
        <w:rPr>
          <w:rFonts w:hint="eastAsia" w:hAnsi="宋体"/>
          <w:b/>
          <w:szCs w:val="21"/>
        </w:rPr>
        <w:t>南通市崇川区人民政府网</w:t>
      </w:r>
      <w:r>
        <w:rPr>
          <w:rFonts w:hint="eastAsia"/>
          <w:b/>
          <w:szCs w:val="21"/>
        </w:rPr>
        <w:t>”</w:t>
      </w:r>
      <w:r>
        <w:rPr>
          <w:rFonts w:hAnsi="宋体"/>
          <w:b/>
          <w:szCs w:val="21"/>
        </w:rPr>
        <w:t>滚动公示直至解禁。参与投标的企业将视为遵守以上处理条款。</w:t>
      </w:r>
    </w:p>
    <w:p>
      <w:pPr>
        <w:pStyle w:val="5"/>
        <w:keepNext w:val="0"/>
        <w:keepLines w:val="0"/>
        <w:spacing w:before="0" w:after="0" w:line="360" w:lineRule="auto"/>
        <w:rPr>
          <w:rFonts w:eastAsia="宋体"/>
          <w:color w:val="000000"/>
          <w:sz w:val="21"/>
          <w:szCs w:val="21"/>
        </w:rPr>
      </w:pPr>
      <w:bookmarkStart w:id="59" w:name="_Toc9194561"/>
      <w:r>
        <w:rPr>
          <w:rFonts w:hint="eastAsia" w:eastAsia="宋体"/>
          <w:color w:val="000000"/>
          <w:sz w:val="21"/>
          <w:szCs w:val="21"/>
        </w:rPr>
        <w:t xml:space="preserve">3.5 </w:t>
      </w:r>
      <w:r>
        <w:rPr>
          <w:rFonts w:hint="eastAsia" w:hAnsi="宋体" w:eastAsia="宋体"/>
          <w:color w:val="000000"/>
          <w:sz w:val="21"/>
          <w:szCs w:val="21"/>
        </w:rPr>
        <w:t>备选投标方案</w:t>
      </w:r>
      <w:bookmarkEnd w:id="58"/>
      <w:bookmarkEnd w:id="59"/>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5"/>
        <w:keepNext w:val="0"/>
        <w:keepLines w:val="0"/>
        <w:spacing w:before="0" w:after="0" w:line="360" w:lineRule="auto"/>
        <w:rPr>
          <w:rFonts w:eastAsia="宋体"/>
          <w:color w:val="000000"/>
          <w:sz w:val="21"/>
          <w:szCs w:val="21"/>
        </w:rPr>
      </w:pPr>
      <w:bookmarkStart w:id="60" w:name="_Toc9194562"/>
      <w:bookmarkStart w:id="61" w:name="_Toc398107858"/>
      <w:r>
        <w:rPr>
          <w:rFonts w:hint="eastAsia" w:eastAsia="宋体"/>
          <w:color w:val="000000"/>
          <w:sz w:val="21"/>
          <w:szCs w:val="21"/>
        </w:rPr>
        <w:t xml:space="preserve">3.6 </w:t>
      </w:r>
      <w:r>
        <w:rPr>
          <w:rFonts w:hint="eastAsia" w:hAnsi="宋体" w:eastAsia="宋体"/>
          <w:color w:val="000000"/>
          <w:sz w:val="21"/>
          <w:szCs w:val="21"/>
        </w:rPr>
        <w:t>投标文件的编制</w:t>
      </w:r>
      <w:bookmarkEnd w:id="60"/>
      <w:bookmarkEnd w:id="61"/>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3.6.1 </w:t>
      </w:r>
      <w:r>
        <w:rPr>
          <w:rFonts w:hint="eastAsia" w:hAnsi="宋体" w:cs="宋体"/>
          <w:color w:val="000000"/>
          <w:kern w:val="0"/>
          <w:szCs w:val="21"/>
        </w:rPr>
        <w:t>投标文件应按第五章</w:t>
      </w:r>
      <w:r>
        <w:rPr>
          <w:rFonts w:hint="eastAsia" w:cs="宋体"/>
          <w:color w:val="000000"/>
          <w:kern w:val="0"/>
          <w:szCs w:val="21"/>
        </w:rPr>
        <w:t>“</w:t>
      </w:r>
      <w:r>
        <w:rPr>
          <w:rFonts w:hint="eastAsia" w:hAnsi="宋体" w:cs="宋体"/>
          <w:color w:val="000000"/>
          <w:kern w:val="0"/>
          <w:szCs w:val="21"/>
        </w:rPr>
        <w:t>投标文件格式</w:t>
      </w:r>
      <w:r>
        <w:rPr>
          <w:rFonts w:hint="eastAsia" w:cs="宋体"/>
          <w:color w:val="000000"/>
          <w:kern w:val="0"/>
          <w:szCs w:val="21"/>
        </w:rPr>
        <w:t>”</w:t>
      </w:r>
      <w:r>
        <w:rPr>
          <w:rFonts w:hint="eastAsia" w:hAnsi="宋体" w:cs="宋体"/>
          <w:color w:val="000000"/>
          <w:kern w:val="0"/>
          <w:szCs w:val="21"/>
        </w:rPr>
        <w:t>的要求进行编写，如有必要，可以增加附页，作为投标文件的组成部分。</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3.6.2 </w:t>
      </w:r>
      <w:r>
        <w:rPr>
          <w:rFonts w:hint="eastAsia" w:hAnsi="宋体" w:cs="宋体"/>
          <w:color w:val="000000"/>
          <w:kern w:val="0"/>
          <w:szCs w:val="21"/>
        </w:rPr>
        <w:t>投标文件应用不褪色的材料书写或打印，投标文件应当对招标文件有关监理服务期限、投标有效期、质量要求、技术标准和要求、招标范围等实质性内容作出响应。</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3.6.3 </w:t>
      </w:r>
      <w:r>
        <w:rPr>
          <w:rFonts w:hint="eastAsia" w:hAnsi="宋体" w:cs="宋体"/>
          <w:color w:val="000000"/>
          <w:kern w:val="0"/>
          <w:szCs w:val="21"/>
        </w:rPr>
        <w:t>投标文件必须按照招标文件的规定进行签署（加盖投标人公章、投标人法定代表人或其授权委托代理人签字或印章）。投标文件应尽量避免涂改、行间插字或删除。如果出现上述情况，改动之处应加盖投标人公章或由投标人的法定代表人（或其授权的代理人）签字（或印章）确认。</w:t>
      </w:r>
    </w:p>
    <w:p>
      <w:pPr>
        <w:pStyle w:val="5"/>
        <w:keepNext w:val="0"/>
        <w:keepLines w:val="0"/>
        <w:spacing w:before="0" w:after="0" w:line="360" w:lineRule="auto"/>
        <w:rPr>
          <w:rFonts w:eastAsia="宋体"/>
          <w:color w:val="000000"/>
          <w:sz w:val="21"/>
          <w:szCs w:val="21"/>
        </w:rPr>
      </w:pPr>
      <w:bookmarkStart w:id="62" w:name="_Toc398107859"/>
      <w:bookmarkStart w:id="63" w:name="_Toc9194563"/>
      <w:r>
        <w:rPr>
          <w:rFonts w:hint="eastAsia" w:eastAsia="宋体"/>
          <w:color w:val="000000"/>
          <w:sz w:val="21"/>
          <w:szCs w:val="21"/>
        </w:rPr>
        <w:t xml:space="preserve">3.7 </w:t>
      </w:r>
      <w:r>
        <w:rPr>
          <w:rFonts w:hint="eastAsia" w:hAnsi="宋体" w:eastAsia="宋体"/>
          <w:color w:val="000000"/>
          <w:sz w:val="21"/>
          <w:szCs w:val="21"/>
        </w:rPr>
        <w:t>投标文件的份数和装订</w:t>
      </w:r>
      <w:bookmarkEnd w:id="62"/>
      <w:bookmarkEnd w:id="63"/>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3.7.1 </w:t>
      </w:r>
      <w:r>
        <w:rPr>
          <w:rFonts w:hint="eastAsia" w:hAnsi="宋体" w:cs="宋体"/>
          <w:color w:val="000000"/>
          <w:kern w:val="0"/>
          <w:szCs w:val="21"/>
        </w:rPr>
        <w:t>投标文件正本一份</w:t>
      </w:r>
      <w:r>
        <w:rPr>
          <w:rFonts w:hint="eastAsia" w:cs="宋体"/>
          <w:color w:val="000000"/>
          <w:kern w:val="0"/>
          <w:szCs w:val="21"/>
        </w:rPr>
        <w:t xml:space="preserve">, </w:t>
      </w:r>
      <w:r>
        <w:rPr>
          <w:rFonts w:hint="eastAsia" w:hAnsi="宋体" w:cs="宋体"/>
          <w:color w:val="000000"/>
          <w:kern w:val="0"/>
          <w:szCs w:val="21"/>
        </w:rPr>
        <w:t>副本份数见投标人须知前附表。正本和副本的封面上应清楚地标记</w:t>
      </w:r>
      <w:r>
        <w:rPr>
          <w:rFonts w:hint="eastAsia" w:cs="宋体"/>
          <w:color w:val="000000"/>
          <w:kern w:val="0"/>
          <w:szCs w:val="21"/>
        </w:rPr>
        <w:t>“</w:t>
      </w:r>
      <w:r>
        <w:rPr>
          <w:rFonts w:hint="eastAsia" w:hAnsi="宋体" w:cs="宋体"/>
          <w:color w:val="000000"/>
          <w:kern w:val="0"/>
          <w:szCs w:val="21"/>
        </w:rPr>
        <w:t>正本</w:t>
      </w:r>
      <w:r>
        <w:rPr>
          <w:rFonts w:hint="eastAsia" w:cs="宋体"/>
          <w:color w:val="000000"/>
          <w:kern w:val="0"/>
          <w:szCs w:val="21"/>
        </w:rPr>
        <w:t>”</w:t>
      </w:r>
      <w:r>
        <w:rPr>
          <w:rFonts w:hint="eastAsia" w:hAnsi="宋体" w:cs="宋体"/>
          <w:color w:val="000000"/>
          <w:kern w:val="0"/>
          <w:szCs w:val="21"/>
        </w:rPr>
        <w:t>或</w:t>
      </w:r>
      <w:r>
        <w:rPr>
          <w:rFonts w:hint="eastAsia" w:cs="宋体"/>
          <w:color w:val="000000"/>
          <w:kern w:val="0"/>
          <w:szCs w:val="21"/>
        </w:rPr>
        <w:t>“</w:t>
      </w:r>
      <w:r>
        <w:rPr>
          <w:rFonts w:hint="eastAsia" w:hAnsi="宋体" w:cs="宋体"/>
          <w:color w:val="000000"/>
          <w:kern w:val="0"/>
          <w:szCs w:val="21"/>
        </w:rPr>
        <w:t>副本</w:t>
      </w:r>
      <w:r>
        <w:rPr>
          <w:rFonts w:hint="eastAsia" w:cs="宋体"/>
          <w:color w:val="000000"/>
          <w:kern w:val="0"/>
          <w:szCs w:val="21"/>
        </w:rPr>
        <w:t>”</w:t>
      </w:r>
      <w:r>
        <w:rPr>
          <w:rFonts w:hint="eastAsia" w:hAnsi="宋体" w:cs="宋体"/>
          <w:color w:val="000000"/>
          <w:kern w:val="0"/>
          <w:szCs w:val="21"/>
        </w:rPr>
        <w:t>的字样。当副本和正本不一致时，以正本为准。</w:t>
      </w:r>
    </w:p>
    <w:p>
      <w:pPr>
        <w:autoSpaceDE w:val="0"/>
        <w:autoSpaceDN w:val="0"/>
        <w:spacing w:line="360" w:lineRule="auto"/>
        <w:ind w:firstLine="420" w:firstLineChars="200"/>
        <w:rPr>
          <w:rFonts w:cs="宋体"/>
          <w:color w:val="000000"/>
          <w:kern w:val="0"/>
          <w:szCs w:val="21"/>
        </w:rPr>
      </w:pPr>
      <w:r>
        <w:rPr>
          <w:rFonts w:hint="eastAsia" w:cs="宋体"/>
          <w:color w:val="000000"/>
          <w:kern w:val="0"/>
          <w:szCs w:val="21"/>
        </w:rPr>
        <w:t xml:space="preserve">3.7.2 </w:t>
      </w:r>
      <w:r>
        <w:rPr>
          <w:rFonts w:hint="eastAsia" w:hAnsi="宋体" w:cs="宋体"/>
          <w:color w:val="000000"/>
          <w:kern w:val="0"/>
          <w:szCs w:val="21"/>
        </w:rPr>
        <w:t>投标文件应当按本招标文件规定的正本与副本数量分别装订成册，并编制目录。</w:t>
      </w:r>
    </w:p>
    <w:p>
      <w:pPr>
        <w:pStyle w:val="5"/>
        <w:keepNext w:val="0"/>
        <w:keepLines w:val="0"/>
        <w:spacing w:before="0" w:after="0" w:line="360" w:lineRule="auto"/>
        <w:rPr>
          <w:rFonts w:eastAsia="宋体"/>
          <w:color w:val="000000"/>
          <w:sz w:val="21"/>
          <w:szCs w:val="21"/>
        </w:rPr>
      </w:pPr>
      <w:bookmarkStart w:id="64" w:name="_Toc9194564"/>
      <w:bookmarkStart w:id="65" w:name="_Toc398107860"/>
      <w:r>
        <w:rPr>
          <w:rFonts w:hint="eastAsia" w:eastAsia="宋体"/>
          <w:color w:val="000000"/>
          <w:sz w:val="21"/>
          <w:szCs w:val="21"/>
        </w:rPr>
        <w:t xml:space="preserve">3.8 </w:t>
      </w:r>
      <w:r>
        <w:rPr>
          <w:rFonts w:hint="eastAsia" w:hAnsi="宋体" w:eastAsia="宋体"/>
          <w:color w:val="000000"/>
          <w:sz w:val="21"/>
          <w:szCs w:val="21"/>
        </w:rPr>
        <w:t>资格审查资料</w:t>
      </w:r>
      <w:bookmarkEnd w:id="64"/>
      <w:bookmarkEnd w:id="65"/>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投标人在编制投标文件时，应按本章第</w:t>
      </w:r>
      <w:r>
        <w:rPr>
          <w:rFonts w:hint="eastAsia" w:cs="宋体"/>
          <w:color w:val="000000"/>
          <w:kern w:val="0"/>
          <w:szCs w:val="21"/>
        </w:rPr>
        <w:t>3.1</w:t>
      </w:r>
      <w:r>
        <w:rPr>
          <w:rFonts w:hint="eastAsia" w:hAnsi="宋体" w:cs="宋体"/>
          <w:color w:val="000000"/>
          <w:kern w:val="0"/>
          <w:szCs w:val="21"/>
        </w:rPr>
        <w:t>项的要求在投标文件中提供与资格审查相关的资料，且符合本章第</w:t>
      </w:r>
      <w:r>
        <w:rPr>
          <w:rFonts w:hint="eastAsia" w:cs="宋体"/>
          <w:color w:val="000000"/>
          <w:kern w:val="0"/>
          <w:szCs w:val="21"/>
        </w:rPr>
        <w:t>3.6.1</w:t>
      </w:r>
      <w:r>
        <w:rPr>
          <w:rFonts w:hint="eastAsia" w:hAnsi="宋体" w:cs="宋体"/>
          <w:color w:val="000000"/>
          <w:kern w:val="0"/>
          <w:szCs w:val="21"/>
        </w:rPr>
        <w:t>项的要求。</w:t>
      </w:r>
    </w:p>
    <w:p>
      <w:pPr>
        <w:pStyle w:val="5"/>
        <w:keepNext w:val="0"/>
        <w:keepLines w:val="0"/>
        <w:spacing w:before="0" w:after="0" w:line="360" w:lineRule="auto"/>
        <w:rPr>
          <w:rFonts w:eastAsia="宋体"/>
          <w:color w:val="000000"/>
          <w:sz w:val="21"/>
          <w:szCs w:val="21"/>
        </w:rPr>
      </w:pPr>
      <w:bookmarkStart w:id="66" w:name="_Toc398107861"/>
      <w:bookmarkStart w:id="67" w:name="_Toc9194565"/>
      <w:r>
        <w:rPr>
          <w:rFonts w:hint="eastAsia" w:eastAsia="宋体"/>
          <w:color w:val="000000"/>
          <w:sz w:val="21"/>
          <w:szCs w:val="21"/>
        </w:rPr>
        <w:t>3.9</w:t>
      </w:r>
      <w:r>
        <w:rPr>
          <w:rFonts w:hint="eastAsia" w:hAnsi="宋体" w:eastAsia="宋体"/>
          <w:color w:val="000000"/>
          <w:sz w:val="21"/>
          <w:szCs w:val="21"/>
        </w:rPr>
        <w:t>暗标</w:t>
      </w:r>
      <w:bookmarkEnd w:id="66"/>
      <w:r>
        <w:rPr>
          <w:rFonts w:hint="eastAsia" w:hAnsi="宋体" w:eastAsia="宋体"/>
          <w:color w:val="000000"/>
          <w:sz w:val="21"/>
          <w:szCs w:val="21"/>
        </w:rPr>
        <w:t>（本工程不采用）</w:t>
      </w:r>
      <w:bookmarkEnd w:id="67"/>
    </w:p>
    <w:p>
      <w:pPr>
        <w:autoSpaceDE w:val="0"/>
        <w:autoSpaceDN w:val="0"/>
        <w:spacing w:line="360" w:lineRule="auto"/>
        <w:ind w:firstLine="420" w:firstLineChars="200"/>
        <w:rPr>
          <w:rFonts w:cs="宋体"/>
          <w:color w:val="000000"/>
          <w:kern w:val="0"/>
          <w:szCs w:val="21"/>
        </w:rPr>
      </w:pPr>
      <w:r>
        <w:rPr>
          <w:rFonts w:hint="eastAsia" w:hAnsi="宋体" w:cs="宋体"/>
          <w:color w:val="000000"/>
          <w:kern w:val="0"/>
          <w:szCs w:val="21"/>
        </w:rPr>
        <w:t>投标人须知前附表规定监理方案采用暗标评审的，投标人应严格按照</w:t>
      </w:r>
      <w:r>
        <w:rPr>
          <w:rFonts w:hint="eastAsia" w:cs="宋体"/>
          <w:color w:val="000000"/>
          <w:kern w:val="0"/>
          <w:szCs w:val="21"/>
        </w:rPr>
        <w:t xml:space="preserve"> “</w:t>
      </w:r>
      <w:r>
        <w:rPr>
          <w:rFonts w:hint="eastAsia" w:hAnsi="宋体" w:cs="宋体"/>
          <w:color w:val="000000"/>
          <w:kern w:val="0"/>
          <w:szCs w:val="21"/>
        </w:rPr>
        <w:t>投标人须知前附表</w:t>
      </w:r>
      <w:r>
        <w:rPr>
          <w:rFonts w:hint="eastAsia" w:cs="宋体"/>
          <w:color w:val="000000"/>
          <w:kern w:val="0"/>
          <w:szCs w:val="21"/>
        </w:rPr>
        <w:t>”</w:t>
      </w:r>
      <w:r>
        <w:rPr>
          <w:rFonts w:hint="eastAsia" w:hAnsi="宋体" w:cs="宋体"/>
          <w:color w:val="000000"/>
          <w:kern w:val="0"/>
          <w:szCs w:val="21"/>
        </w:rPr>
        <w:t>规定的编制及装订要求编制和装订监理方案。</w:t>
      </w:r>
    </w:p>
    <w:p>
      <w:pPr>
        <w:pStyle w:val="4"/>
        <w:keepNext w:val="0"/>
        <w:keepLines w:val="0"/>
        <w:spacing w:before="0" w:after="0" w:line="360" w:lineRule="auto"/>
        <w:rPr>
          <w:rFonts w:ascii="Times New Roman" w:hAnsi="Times New Roman" w:eastAsia="宋体"/>
          <w:color w:val="000000"/>
          <w:sz w:val="21"/>
          <w:szCs w:val="21"/>
        </w:rPr>
      </w:pPr>
      <w:bookmarkStart w:id="68" w:name="_Toc9194566"/>
      <w:bookmarkStart w:id="69" w:name="_Toc398107862"/>
      <w:r>
        <w:rPr>
          <w:rFonts w:hint="eastAsia" w:ascii="Times New Roman" w:hAnsi="Times New Roman" w:eastAsia="宋体"/>
          <w:color w:val="000000"/>
          <w:sz w:val="21"/>
          <w:szCs w:val="21"/>
        </w:rPr>
        <w:t xml:space="preserve">4  </w:t>
      </w:r>
      <w:r>
        <w:rPr>
          <w:rFonts w:hint="eastAsia" w:ascii="Times New Roman" w:hAnsi="宋体" w:eastAsia="宋体"/>
          <w:color w:val="000000"/>
          <w:sz w:val="21"/>
          <w:szCs w:val="21"/>
        </w:rPr>
        <w:t>投标</w:t>
      </w:r>
      <w:bookmarkEnd w:id="68"/>
      <w:bookmarkEnd w:id="69"/>
    </w:p>
    <w:p>
      <w:pPr>
        <w:pStyle w:val="5"/>
        <w:keepNext w:val="0"/>
        <w:keepLines w:val="0"/>
        <w:spacing w:before="0" w:after="0" w:line="360" w:lineRule="auto"/>
        <w:rPr>
          <w:rFonts w:eastAsia="宋体"/>
          <w:color w:val="000000"/>
          <w:sz w:val="21"/>
          <w:szCs w:val="21"/>
        </w:rPr>
      </w:pPr>
      <w:bookmarkStart w:id="70" w:name="_Toc9194567"/>
      <w:bookmarkStart w:id="71" w:name="_Toc398107863"/>
      <w:r>
        <w:rPr>
          <w:rFonts w:hint="eastAsia" w:eastAsia="宋体"/>
          <w:color w:val="000000"/>
          <w:sz w:val="21"/>
          <w:szCs w:val="21"/>
        </w:rPr>
        <w:t xml:space="preserve">4.1 </w:t>
      </w:r>
      <w:r>
        <w:rPr>
          <w:rFonts w:hint="eastAsia" w:hAnsi="宋体" w:eastAsia="宋体"/>
          <w:color w:val="000000"/>
          <w:sz w:val="21"/>
          <w:szCs w:val="21"/>
        </w:rPr>
        <w:t>投标文件的密封和标记</w:t>
      </w:r>
      <w:bookmarkEnd w:id="70"/>
      <w:bookmarkEnd w:id="71"/>
    </w:p>
    <w:p>
      <w:pPr>
        <w:spacing w:line="360" w:lineRule="auto"/>
        <w:ind w:firstLine="411" w:firstLineChars="196"/>
        <w:rPr>
          <w:snapToGrid w:val="0"/>
          <w:kern w:val="0"/>
          <w:szCs w:val="21"/>
        </w:rPr>
      </w:pPr>
      <w:r>
        <w:rPr>
          <w:rFonts w:hint="eastAsia"/>
          <w:szCs w:val="21"/>
        </w:rPr>
        <w:t>4.1.1</w:t>
      </w:r>
      <w:r>
        <w:rPr>
          <w:rFonts w:hAnsi="宋体"/>
          <w:szCs w:val="21"/>
        </w:rPr>
        <w:t>本工程</w:t>
      </w:r>
      <w:r>
        <w:rPr>
          <w:rFonts w:hAnsi="宋体"/>
          <w:b/>
          <w:snapToGrid w:val="0"/>
          <w:kern w:val="0"/>
          <w:szCs w:val="21"/>
        </w:rPr>
        <w:t>纸质投标文件由</w:t>
      </w:r>
      <w:r>
        <w:rPr>
          <w:rFonts w:hAnsi="宋体"/>
          <w:b/>
          <w:snapToGrid w:val="0"/>
          <w:kern w:val="0"/>
          <w:szCs w:val="21"/>
          <w:u w:val="single"/>
        </w:rPr>
        <w:t>资格审查资料包、商务标、资格审查资料原件包</w:t>
      </w:r>
      <w:r>
        <w:rPr>
          <w:rFonts w:hAnsi="宋体"/>
          <w:b/>
          <w:snapToGrid w:val="0"/>
          <w:kern w:val="0"/>
          <w:szCs w:val="21"/>
        </w:rPr>
        <w:t>三部分组成。</w:t>
      </w:r>
      <w:r>
        <w:rPr>
          <w:rFonts w:hAnsi="宋体"/>
          <w:b/>
          <w:bCs/>
          <w:szCs w:val="21"/>
        </w:rPr>
        <w:t>资格审查资料原件包</w:t>
      </w:r>
      <w:r>
        <w:rPr>
          <w:rFonts w:hAnsi="宋体"/>
          <w:b/>
          <w:bCs/>
          <w:szCs w:val="21"/>
          <w:u w:val="single"/>
        </w:rPr>
        <w:t>壹</w:t>
      </w:r>
      <w:r>
        <w:rPr>
          <w:rFonts w:hAnsi="宋体"/>
          <w:b/>
          <w:bCs/>
          <w:szCs w:val="21"/>
        </w:rPr>
        <w:t>份；</w:t>
      </w:r>
      <w:r>
        <w:rPr>
          <w:rFonts w:hint="eastAsia"/>
          <w:b/>
          <w:bCs/>
          <w:color w:val="000000"/>
          <w:szCs w:val="21"/>
        </w:rPr>
        <w:t>资格审查</w:t>
      </w:r>
      <w:r>
        <w:rPr>
          <w:rFonts w:hAnsi="宋体"/>
          <w:b/>
          <w:snapToGrid w:val="0"/>
          <w:kern w:val="0"/>
          <w:szCs w:val="21"/>
          <w:u w:val="single"/>
        </w:rPr>
        <w:t>资料</w:t>
      </w:r>
      <w:r>
        <w:rPr>
          <w:rFonts w:hint="eastAsia"/>
          <w:b/>
          <w:bCs/>
          <w:color w:val="000000"/>
          <w:szCs w:val="21"/>
        </w:rPr>
        <w:t>（壹式</w:t>
      </w:r>
      <w:r>
        <w:rPr>
          <w:rFonts w:hint="eastAsia"/>
          <w:b/>
          <w:bCs/>
          <w:color w:val="000000"/>
          <w:szCs w:val="21"/>
          <w:u w:val="single"/>
        </w:rPr>
        <w:t>肆</w:t>
      </w:r>
      <w:r>
        <w:rPr>
          <w:rFonts w:hint="eastAsia"/>
          <w:b/>
          <w:bCs/>
          <w:color w:val="000000"/>
          <w:szCs w:val="21"/>
        </w:rPr>
        <w:t>份，其中正本</w:t>
      </w:r>
      <w:r>
        <w:rPr>
          <w:rFonts w:hint="eastAsia"/>
          <w:b/>
          <w:bCs/>
          <w:color w:val="000000"/>
          <w:szCs w:val="21"/>
          <w:u w:val="single"/>
        </w:rPr>
        <w:t>壹</w:t>
      </w:r>
      <w:r>
        <w:rPr>
          <w:rFonts w:hint="eastAsia"/>
          <w:b/>
          <w:bCs/>
          <w:color w:val="000000"/>
          <w:szCs w:val="21"/>
        </w:rPr>
        <w:t>份，副本</w:t>
      </w:r>
      <w:r>
        <w:rPr>
          <w:rFonts w:hint="eastAsia"/>
          <w:b/>
          <w:bCs/>
          <w:color w:val="000000"/>
          <w:szCs w:val="21"/>
          <w:u w:val="single"/>
        </w:rPr>
        <w:t>叁</w:t>
      </w:r>
      <w:r>
        <w:rPr>
          <w:rFonts w:hint="eastAsia"/>
          <w:b/>
          <w:bCs/>
          <w:color w:val="000000"/>
          <w:szCs w:val="21"/>
        </w:rPr>
        <w:t>份，并分别标注）；商务标壹式</w:t>
      </w:r>
      <w:r>
        <w:rPr>
          <w:rFonts w:hint="eastAsia"/>
          <w:b/>
          <w:bCs/>
          <w:color w:val="000000"/>
          <w:szCs w:val="21"/>
          <w:u w:val="single"/>
        </w:rPr>
        <w:t>肆</w:t>
      </w:r>
      <w:r>
        <w:rPr>
          <w:rFonts w:hint="eastAsia"/>
          <w:b/>
          <w:bCs/>
          <w:color w:val="000000"/>
          <w:szCs w:val="21"/>
        </w:rPr>
        <w:t>份，其中正本</w:t>
      </w:r>
      <w:r>
        <w:rPr>
          <w:rFonts w:hint="eastAsia"/>
          <w:b/>
          <w:bCs/>
          <w:color w:val="000000"/>
          <w:szCs w:val="21"/>
          <w:u w:val="single"/>
        </w:rPr>
        <w:t>壹</w:t>
      </w:r>
      <w:r>
        <w:rPr>
          <w:rFonts w:hint="eastAsia"/>
          <w:b/>
          <w:bCs/>
          <w:color w:val="000000"/>
          <w:szCs w:val="21"/>
        </w:rPr>
        <w:t>份，副本</w:t>
      </w:r>
      <w:r>
        <w:rPr>
          <w:rFonts w:hint="eastAsia"/>
          <w:b/>
          <w:bCs/>
          <w:color w:val="000000"/>
          <w:szCs w:val="21"/>
          <w:u w:val="single"/>
        </w:rPr>
        <w:t>叁</w:t>
      </w:r>
      <w:r>
        <w:rPr>
          <w:rFonts w:hint="eastAsia"/>
          <w:b/>
          <w:bCs/>
          <w:color w:val="000000"/>
          <w:szCs w:val="21"/>
        </w:rPr>
        <w:t>份，并分别标注）。投标人可将投标文件正副本统一密封于一个密封袋。如正本和副本分别密封的，应在封袋上标明正、副本字样。</w:t>
      </w:r>
      <w:r>
        <w:rPr>
          <w:rFonts w:hAnsi="宋体"/>
          <w:snapToGrid w:val="0"/>
          <w:kern w:val="0"/>
          <w:szCs w:val="21"/>
        </w:rPr>
        <w:t>投标文件正、副本不一致时，以正本为准。</w:t>
      </w:r>
    </w:p>
    <w:p>
      <w:pPr>
        <w:spacing w:line="440" w:lineRule="exact"/>
        <w:ind w:firstLine="411" w:firstLineChars="196"/>
        <w:rPr>
          <w:b/>
          <w:snapToGrid w:val="0"/>
          <w:kern w:val="0"/>
          <w:szCs w:val="21"/>
        </w:rPr>
      </w:pPr>
      <w:bookmarkStart w:id="72" w:name="_Toc2861273"/>
      <w:r>
        <w:rPr>
          <w:rFonts w:hint="eastAsia"/>
          <w:szCs w:val="21"/>
        </w:rPr>
        <w:t>4.1.</w:t>
      </w:r>
      <w:r>
        <w:rPr>
          <w:bCs/>
          <w:szCs w:val="21"/>
        </w:rPr>
        <w:t>2</w:t>
      </w:r>
      <w:bookmarkEnd w:id="72"/>
      <w:r>
        <w:rPr>
          <w:rFonts w:hAnsi="宋体"/>
          <w:b/>
          <w:snapToGrid w:val="0"/>
          <w:kern w:val="0"/>
          <w:szCs w:val="21"/>
        </w:rPr>
        <w:t>资格审查资料原件包、资格审查资料包、商务标三部分，必须分袋密封，并在封袋上加盖投标人单位公章和单位法定代表人章，另须在封袋上标明</w:t>
      </w:r>
      <w:r>
        <w:rPr>
          <w:b/>
          <w:snapToGrid w:val="0"/>
          <w:kern w:val="0"/>
          <w:szCs w:val="21"/>
        </w:rPr>
        <w:t>“</w:t>
      </w:r>
      <w:r>
        <w:rPr>
          <w:rFonts w:hAnsi="宋体"/>
          <w:b/>
          <w:snapToGrid w:val="0"/>
          <w:kern w:val="0"/>
          <w:szCs w:val="21"/>
        </w:rPr>
        <w:t>资格审查资料原件包</w:t>
      </w:r>
      <w:r>
        <w:rPr>
          <w:b/>
          <w:snapToGrid w:val="0"/>
          <w:kern w:val="0"/>
          <w:szCs w:val="21"/>
        </w:rPr>
        <w:t xml:space="preserve">” </w:t>
      </w:r>
      <w:r>
        <w:rPr>
          <w:rFonts w:hAnsi="宋体"/>
          <w:b/>
          <w:snapToGrid w:val="0"/>
          <w:kern w:val="0"/>
          <w:szCs w:val="21"/>
        </w:rPr>
        <w:t>或</w:t>
      </w:r>
      <w:r>
        <w:rPr>
          <w:b/>
          <w:snapToGrid w:val="0"/>
          <w:kern w:val="0"/>
          <w:szCs w:val="21"/>
        </w:rPr>
        <w:t>“</w:t>
      </w:r>
      <w:r>
        <w:rPr>
          <w:rFonts w:hAnsi="宋体"/>
          <w:b/>
          <w:snapToGrid w:val="0"/>
          <w:kern w:val="0"/>
          <w:szCs w:val="21"/>
        </w:rPr>
        <w:t>资格审查资料包</w:t>
      </w:r>
      <w:r>
        <w:rPr>
          <w:b/>
          <w:snapToGrid w:val="0"/>
          <w:kern w:val="0"/>
          <w:szCs w:val="21"/>
        </w:rPr>
        <w:t>”</w:t>
      </w:r>
      <w:r>
        <w:rPr>
          <w:rFonts w:hAnsi="宋体"/>
          <w:b/>
          <w:snapToGrid w:val="0"/>
          <w:kern w:val="0"/>
          <w:szCs w:val="21"/>
        </w:rPr>
        <w:t>或</w:t>
      </w:r>
      <w:r>
        <w:rPr>
          <w:b/>
          <w:snapToGrid w:val="0"/>
          <w:kern w:val="0"/>
          <w:szCs w:val="21"/>
        </w:rPr>
        <w:t>“</w:t>
      </w:r>
      <w:r>
        <w:rPr>
          <w:rFonts w:hAnsi="宋体"/>
          <w:b/>
          <w:snapToGrid w:val="0"/>
          <w:kern w:val="0"/>
          <w:szCs w:val="21"/>
        </w:rPr>
        <w:t>商务标</w:t>
      </w:r>
      <w:r>
        <w:rPr>
          <w:b/>
          <w:snapToGrid w:val="0"/>
          <w:kern w:val="0"/>
          <w:szCs w:val="21"/>
        </w:rPr>
        <w:t>”</w:t>
      </w:r>
      <w:r>
        <w:rPr>
          <w:rFonts w:hAnsi="宋体"/>
          <w:b/>
          <w:snapToGrid w:val="0"/>
          <w:kern w:val="0"/>
          <w:szCs w:val="21"/>
        </w:rPr>
        <w:t>，同时还要写明工程名称。</w:t>
      </w:r>
    </w:p>
    <w:p>
      <w:pPr>
        <w:spacing w:line="440" w:lineRule="exact"/>
        <w:ind w:firstLine="420" w:firstLineChars="200"/>
        <w:rPr>
          <w:snapToGrid w:val="0"/>
          <w:kern w:val="0"/>
          <w:szCs w:val="21"/>
        </w:rPr>
      </w:pPr>
      <w:r>
        <w:rPr>
          <w:rFonts w:hint="eastAsia"/>
          <w:szCs w:val="21"/>
        </w:rPr>
        <w:t>4.1.3</w:t>
      </w:r>
      <w:r>
        <w:rPr>
          <w:rFonts w:hAnsi="宋体"/>
          <w:snapToGrid w:val="0"/>
          <w:kern w:val="0"/>
          <w:szCs w:val="21"/>
        </w:rPr>
        <w:t>投标人未按上述规定提交投标文件，其投标文件将被拒绝，并退还给投标人。</w:t>
      </w:r>
    </w:p>
    <w:p>
      <w:pPr>
        <w:autoSpaceDE w:val="0"/>
        <w:autoSpaceDN w:val="0"/>
        <w:spacing w:line="440" w:lineRule="exact"/>
        <w:rPr>
          <w:color w:val="000000"/>
          <w:szCs w:val="21"/>
        </w:rPr>
      </w:pPr>
      <w:bookmarkStart w:id="73" w:name="_Toc398107864"/>
      <w:r>
        <w:rPr>
          <w:rFonts w:hint="eastAsia"/>
          <w:color w:val="000000"/>
          <w:szCs w:val="21"/>
        </w:rPr>
        <w:t xml:space="preserve">4.2 </w:t>
      </w:r>
      <w:r>
        <w:rPr>
          <w:rFonts w:hint="eastAsia" w:hAnsi="宋体"/>
          <w:color w:val="000000"/>
          <w:szCs w:val="21"/>
        </w:rPr>
        <w:t>投标文件的递交</w:t>
      </w:r>
      <w:bookmarkEnd w:id="73"/>
    </w:p>
    <w:p>
      <w:pPr>
        <w:autoSpaceDE w:val="0"/>
        <w:autoSpaceDN w:val="0"/>
        <w:spacing w:line="440" w:lineRule="exact"/>
        <w:ind w:firstLine="420" w:firstLineChars="200"/>
        <w:rPr>
          <w:rFonts w:cs="宋体"/>
          <w:color w:val="000000"/>
          <w:kern w:val="0"/>
          <w:szCs w:val="21"/>
        </w:rPr>
      </w:pPr>
      <w:r>
        <w:rPr>
          <w:rFonts w:hint="eastAsia" w:cs="宋体"/>
          <w:color w:val="000000"/>
          <w:kern w:val="0"/>
          <w:szCs w:val="21"/>
        </w:rPr>
        <w:t xml:space="preserve">4.2.1 </w:t>
      </w:r>
      <w:r>
        <w:rPr>
          <w:rFonts w:hint="eastAsia" w:hAnsi="宋体" w:cs="宋体"/>
          <w:color w:val="000000"/>
          <w:kern w:val="0"/>
          <w:szCs w:val="21"/>
        </w:rPr>
        <w:t>投标人应在投标人须知前附表规定的投标截止时间前递交投标文件，以及第五章</w:t>
      </w:r>
      <w:r>
        <w:rPr>
          <w:rFonts w:hint="eastAsia" w:cs="宋体"/>
          <w:color w:val="000000"/>
          <w:kern w:val="0"/>
          <w:szCs w:val="21"/>
        </w:rPr>
        <w:t>“</w:t>
      </w:r>
      <w:r>
        <w:rPr>
          <w:rFonts w:hint="eastAsia" w:hAnsi="宋体" w:cs="宋体"/>
          <w:color w:val="000000"/>
          <w:kern w:val="0"/>
          <w:szCs w:val="21"/>
        </w:rPr>
        <w:t>投标文件格式</w:t>
      </w:r>
      <w:r>
        <w:rPr>
          <w:rFonts w:hint="eastAsia" w:cs="宋体"/>
          <w:color w:val="000000"/>
          <w:kern w:val="0"/>
          <w:szCs w:val="21"/>
        </w:rPr>
        <w:t>”</w:t>
      </w:r>
      <w:r>
        <w:rPr>
          <w:rFonts w:hint="eastAsia" w:hAnsi="宋体" w:cs="宋体"/>
          <w:color w:val="000000"/>
          <w:kern w:val="0"/>
          <w:szCs w:val="21"/>
        </w:rPr>
        <w:t>要求投标人提交的有关证明和证件的原件。</w:t>
      </w:r>
    </w:p>
    <w:p>
      <w:pPr>
        <w:autoSpaceDE w:val="0"/>
        <w:autoSpaceDN w:val="0"/>
        <w:spacing w:line="440" w:lineRule="exact"/>
        <w:ind w:firstLine="420" w:firstLineChars="200"/>
        <w:rPr>
          <w:rFonts w:cs="宋体"/>
          <w:color w:val="000000"/>
          <w:kern w:val="0"/>
          <w:szCs w:val="21"/>
        </w:rPr>
      </w:pPr>
      <w:r>
        <w:rPr>
          <w:rFonts w:hint="eastAsia" w:cs="宋体"/>
          <w:color w:val="000000"/>
          <w:kern w:val="0"/>
          <w:szCs w:val="21"/>
        </w:rPr>
        <w:t xml:space="preserve">4.2.2 </w:t>
      </w:r>
      <w:r>
        <w:rPr>
          <w:rFonts w:hint="eastAsia" w:hAnsi="宋体" w:cs="宋体"/>
          <w:color w:val="000000"/>
          <w:kern w:val="0"/>
          <w:szCs w:val="21"/>
        </w:rPr>
        <w:t>投标人递交投标文件的地点：见投标人须知前附表。</w:t>
      </w:r>
    </w:p>
    <w:p>
      <w:pPr>
        <w:autoSpaceDE w:val="0"/>
        <w:autoSpaceDN w:val="0"/>
        <w:spacing w:line="440" w:lineRule="exact"/>
        <w:ind w:firstLine="420" w:firstLineChars="200"/>
        <w:rPr>
          <w:rFonts w:cs="宋体"/>
          <w:color w:val="000000"/>
          <w:kern w:val="0"/>
          <w:szCs w:val="21"/>
        </w:rPr>
      </w:pPr>
      <w:r>
        <w:rPr>
          <w:rFonts w:hint="eastAsia" w:cs="宋体"/>
          <w:color w:val="000000"/>
          <w:kern w:val="0"/>
          <w:szCs w:val="21"/>
        </w:rPr>
        <w:t xml:space="preserve">4.2.3 </w:t>
      </w:r>
      <w:r>
        <w:rPr>
          <w:rFonts w:hint="eastAsia" w:hAnsi="宋体" w:cs="宋体"/>
          <w:color w:val="000000"/>
          <w:kern w:val="0"/>
          <w:szCs w:val="21"/>
        </w:rPr>
        <w:t>投标人所递交的投标文件不予退还。</w:t>
      </w:r>
    </w:p>
    <w:p>
      <w:pPr>
        <w:pStyle w:val="5"/>
        <w:keepNext w:val="0"/>
        <w:keepLines w:val="0"/>
        <w:spacing w:before="0" w:after="0" w:line="440" w:lineRule="exact"/>
        <w:rPr>
          <w:rFonts w:eastAsia="宋体"/>
          <w:color w:val="000000"/>
          <w:sz w:val="21"/>
          <w:szCs w:val="21"/>
        </w:rPr>
      </w:pPr>
      <w:bookmarkStart w:id="74" w:name="_Toc398107865"/>
      <w:bookmarkStart w:id="75" w:name="_Toc9194568"/>
      <w:r>
        <w:rPr>
          <w:rFonts w:hint="eastAsia" w:eastAsia="宋体"/>
          <w:color w:val="000000"/>
          <w:sz w:val="21"/>
          <w:szCs w:val="21"/>
        </w:rPr>
        <w:t xml:space="preserve">4.3 </w:t>
      </w:r>
      <w:r>
        <w:rPr>
          <w:rFonts w:hint="eastAsia" w:hAnsi="宋体" w:eastAsia="宋体"/>
          <w:color w:val="000000"/>
          <w:sz w:val="21"/>
          <w:szCs w:val="21"/>
        </w:rPr>
        <w:t>投标文件的修改与撤回</w:t>
      </w:r>
      <w:bookmarkEnd w:id="74"/>
      <w:bookmarkEnd w:id="75"/>
    </w:p>
    <w:p>
      <w:pPr>
        <w:autoSpaceDE w:val="0"/>
        <w:autoSpaceDN w:val="0"/>
        <w:spacing w:line="440" w:lineRule="exact"/>
        <w:ind w:firstLine="420" w:firstLineChars="200"/>
        <w:rPr>
          <w:rFonts w:cs="宋体"/>
          <w:color w:val="000000"/>
          <w:kern w:val="0"/>
          <w:szCs w:val="21"/>
        </w:rPr>
      </w:pPr>
      <w:r>
        <w:rPr>
          <w:rFonts w:hint="eastAsia" w:cs="宋体"/>
          <w:color w:val="000000"/>
          <w:kern w:val="0"/>
          <w:szCs w:val="21"/>
        </w:rPr>
        <w:t>4.3.1</w:t>
      </w:r>
      <w:r>
        <w:rPr>
          <w:rFonts w:hint="eastAsia" w:hAnsi="宋体" w:cs="宋体"/>
          <w:color w:val="000000"/>
          <w:kern w:val="0"/>
          <w:szCs w:val="21"/>
        </w:rPr>
        <w:t>投标截止期以后，在投标有效期内，投标人不得撤回其投标文件，否则其投标保证金将不予退还。</w:t>
      </w:r>
    </w:p>
    <w:p>
      <w:pPr>
        <w:pStyle w:val="5"/>
        <w:keepNext w:val="0"/>
        <w:keepLines w:val="0"/>
        <w:spacing w:before="0" w:after="0" w:line="440" w:lineRule="exact"/>
        <w:rPr>
          <w:rFonts w:eastAsia="宋体"/>
          <w:color w:val="000000"/>
          <w:sz w:val="21"/>
          <w:szCs w:val="21"/>
        </w:rPr>
      </w:pPr>
      <w:bookmarkStart w:id="76" w:name="_Toc398107866"/>
      <w:bookmarkStart w:id="77" w:name="_Toc9194569"/>
      <w:r>
        <w:rPr>
          <w:rFonts w:hint="eastAsia" w:eastAsia="宋体"/>
          <w:color w:val="000000"/>
          <w:sz w:val="21"/>
          <w:szCs w:val="21"/>
        </w:rPr>
        <w:t xml:space="preserve">4.4 </w:t>
      </w:r>
      <w:r>
        <w:rPr>
          <w:rFonts w:hint="eastAsia" w:hAnsi="宋体" w:eastAsia="宋体"/>
          <w:color w:val="000000"/>
          <w:sz w:val="21"/>
          <w:szCs w:val="21"/>
        </w:rPr>
        <w:t>不予接收的投标文件</w:t>
      </w:r>
      <w:bookmarkEnd w:id="76"/>
      <w:bookmarkEnd w:id="77"/>
    </w:p>
    <w:p>
      <w:pPr>
        <w:autoSpaceDE w:val="0"/>
        <w:autoSpaceDN w:val="0"/>
        <w:spacing w:line="440" w:lineRule="exact"/>
        <w:ind w:firstLine="420" w:firstLineChars="200"/>
        <w:rPr>
          <w:rFonts w:cs="宋体"/>
          <w:b/>
          <w:color w:val="000000"/>
          <w:kern w:val="0"/>
          <w:szCs w:val="21"/>
        </w:rPr>
      </w:pPr>
      <w:r>
        <w:rPr>
          <w:rFonts w:hint="eastAsia" w:cs="宋体"/>
          <w:color w:val="000000"/>
          <w:kern w:val="0"/>
          <w:szCs w:val="21"/>
        </w:rPr>
        <w:t xml:space="preserve">4.4.1 </w:t>
      </w:r>
      <w:r>
        <w:rPr>
          <w:rFonts w:hint="eastAsia" w:hAnsi="宋体" w:cs="宋体"/>
          <w:color w:val="000000"/>
          <w:kern w:val="0"/>
          <w:szCs w:val="21"/>
        </w:rPr>
        <w:t>未按规定密封的投标文件，招标人不予接收。</w:t>
      </w:r>
    </w:p>
    <w:p>
      <w:pPr>
        <w:tabs>
          <w:tab w:val="left" w:pos="7200"/>
        </w:tabs>
        <w:autoSpaceDE w:val="0"/>
        <w:autoSpaceDN w:val="0"/>
        <w:spacing w:line="440" w:lineRule="exact"/>
        <w:ind w:firstLine="420" w:firstLineChars="200"/>
        <w:rPr>
          <w:rFonts w:cs="宋体"/>
          <w:color w:val="000000"/>
          <w:szCs w:val="21"/>
        </w:rPr>
      </w:pPr>
      <w:r>
        <w:rPr>
          <w:rFonts w:hint="eastAsia" w:cs="宋体"/>
          <w:color w:val="000000"/>
          <w:kern w:val="0"/>
          <w:szCs w:val="21"/>
        </w:rPr>
        <w:t xml:space="preserve">4.4.2 </w:t>
      </w:r>
      <w:r>
        <w:rPr>
          <w:rFonts w:hint="eastAsia" w:hAnsi="宋体" w:cs="宋体"/>
          <w:color w:val="000000"/>
          <w:kern w:val="0"/>
          <w:szCs w:val="21"/>
        </w:rPr>
        <w:t>逾期送达或者未送达指定地点的投标文件，招标人不予接收。</w:t>
      </w:r>
      <w:r>
        <w:rPr>
          <w:rFonts w:hint="eastAsia" w:cs="宋体"/>
          <w:color w:val="000000"/>
          <w:kern w:val="0"/>
          <w:szCs w:val="21"/>
        </w:rPr>
        <w:tab/>
      </w:r>
    </w:p>
    <w:p>
      <w:pPr>
        <w:pStyle w:val="4"/>
        <w:keepNext w:val="0"/>
        <w:keepLines w:val="0"/>
        <w:spacing w:before="0" w:after="0" w:line="440" w:lineRule="exact"/>
        <w:rPr>
          <w:rFonts w:ascii="Times New Roman" w:hAnsi="Times New Roman" w:eastAsia="宋体"/>
          <w:color w:val="000000"/>
          <w:sz w:val="21"/>
          <w:szCs w:val="21"/>
        </w:rPr>
      </w:pPr>
      <w:bookmarkStart w:id="78" w:name="_Toc9194570"/>
      <w:bookmarkStart w:id="79" w:name="_Toc398107867"/>
      <w:r>
        <w:rPr>
          <w:rFonts w:hint="eastAsia" w:ascii="Times New Roman" w:hAnsi="Times New Roman" w:eastAsia="宋体"/>
          <w:color w:val="000000"/>
          <w:sz w:val="21"/>
          <w:szCs w:val="21"/>
        </w:rPr>
        <w:t xml:space="preserve">5 </w:t>
      </w:r>
      <w:r>
        <w:rPr>
          <w:rFonts w:hint="eastAsia" w:ascii="Times New Roman" w:hAnsi="宋体" w:eastAsia="宋体"/>
          <w:color w:val="000000"/>
          <w:sz w:val="21"/>
          <w:szCs w:val="21"/>
        </w:rPr>
        <w:t>开标</w:t>
      </w:r>
      <w:bookmarkEnd w:id="78"/>
      <w:bookmarkEnd w:id="79"/>
    </w:p>
    <w:p>
      <w:pPr>
        <w:pStyle w:val="5"/>
        <w:keepNext w:val="0"/>
        <w:keepLines w:val="0"/>
        <w:spacing w:before="0" w:after="0" w:line="440" w:lineRule="exact"/>
        <w:ind w:firstLine="420" w:firstLineChars="200"/>
        <w:rPr>
          <w:rFonts w:eastAsia="宋体" w:cs="宋体"/>
          <w:bCs w:val="0"/>
          <w:sz w:val="21"/>
          <w:szCs w:val="21"/>
        </w:rPr>
      </w:pPr>
      <w:bookmarkStart w:id="80" w:name="_Toc398107868"/>
      <w:bookmarkStart w:id="81" w:name="_Toc9194571"/>
      <w:r>
        <w:rPr>
          <w:rFonts w:hint="eastAsia" w:eastAsia="宋体" w:cs="宋体"/>
          <w:bCs w:val="0"/>
          <w:color w:val="000000"/>
          <w:sz w:val="21"/>
          <w:szCs w:val="21"/>
        </w:rPr>
        <w:t xml:space="preserve">5.1 </w:t>
      </w:r>
      <w:bookmarkEnd w:id="80"/>
      <w:r>
        <w:rPr>
          <w:rFonts w:hint="eastAsia" w:hAnsi="宋体" w:eastAsia="宋体" w:cs="宋体"/>
          <w:bCs w:val="0"/>
          <w:color w:val="000000"/>
          <w:sz w:val="21"/>
          <w:szCs w:val="21"/>
        </w:rPr>
        <w:t>招标人在投标人须知前附表规定的开标时间和地点公开开标，并邀请所有投标人参加开标会议，参加开标会议的具体人员</w:t>
      </w:r>
      <w:r>
        <w:rPr>
          <w:rFonts w:hint="eastAsia" w:hAnsi="宋体" w:eastAsia="宋体" w:cs="宋体"/>
          <w:bCs w:val="0"/>
          <w:sz w:val="21"/>
          <w:szCs w:val="21"/>
        </w:rPr>
        <w:t>及要求见投标须知前附表。</w:t>
      </w:r>
      <w:bookmarkEnd w:id="81"/>
    </w:p>
    <w:p>
      <w:pPr>
        <w:autoSpaceDE w:val="0"/>
        <w:autoSpaceDN w:val="0"/>
        <w:spacing w:line="440" w:lineRule="exact"/>
        <w:ind w:firstLine="420" w:firstLineChars="200"/>
        <w:rPr>
          <w:rFonts w:cs="宋体"/>
          <w:color w:val="000000"/>
          <w:kern w:val="0"/>
          <w:szCs w:val="21"/>
        </w:rPr>
      </w:pPr>
      <w:r>
        <w:rPr>
          <w:rFonts w:hint="eastAsia" w:cs="宋体"/>
          <w:kern w:val="0"/>
          <w:szCs w:val="21"/>
        </w:rPr>
        <w:t>5.2</w:t>
      </w:r>
      <w:r>
        <w:rPr>
          <w:rFonts w:hint="eastAsia" w:hAnsi="宋体" w:cs="宋体"/>
          <w:kern w:val="0"/>
          <w:szCs w:val="21"/>
        </w:rPr>
        <w:t>开标时，由招标人代表或代理机构或投标人代表检查</w:t>
      </w:r>
      <w:r>
        <w:rPr>
          <w:rFonts w:hint="eastAsia" w:hAnsi="宋体" w:cs="宋体"/>
          <w:color w:val="000000"/>
          <w:kern w:val="0"/>
          <w:szCs w:val="21"/>
        </w:rPr>
        <w:t>投标文件的密封情况，经确认无误后，由主持人当众宣读投标人名称、监理取费、总监姓名和其他招标人认为有必要的内容。投标文件未按照招标文件的要求予以密封的，将作为无效投标文件，退回投标人。</w:t>
      </w:r>
    </w:p>
    <w:p>
      <w:pPr>
        <w:spacing w:line="440" w:lineRule="exact"/>
        <w:ind w:firstLine="420" w:firstLineChars="200"/>
        <w:rPr>
          <w:szCs w:val="21"/>
        </w:rPr>
      </w:pPr>
      <w:r>
        <w:rPr>
          <w:rFonts w:hint="eastAsia"/>
          <w:szCs w:val="21"/>
        </w:rPr>
        <w:t>5.3</w:t>
      </w:r>
      <w:r>
        <w:rPr>
          <w:rFonts w:hint="eastAsia" w:hAnsi="宋体"/>
          <w:szCs w:val="21"/>
        </w:rPr>
        <w:t>招标人在招标文件要求提交投标文件的截止时间前收到的所有投标文件，开标时都将当众予以宣读、记录。</w:t>
      </w:r>
    </w:p>
    <w:p>
      <w:pPr>
        <w:spacing w:line="440" w:lineRule="exact"/>
        <w:ind w:firstLine="420" w:firstLineChars="200"/>
        <w:rPr>
          <w:szCs w:val="21"/>
        </w:rPr>
      </w:pPr>
      <w:r>
        <w:rPr>
          <w:rFonts w:hint="eastAsia"/>
          <w:szCs w:val="21"/>
        </w:rPr>
        <w:t>5.4</w:t>
      </w:r>
      <w:r>
        <w:rPr>
          <w:rFonts w:hint="eastAsia" w:hAnsi="宋体"/>
          <w:szCs w:val="21"/>
        </w:rPr>
        <w:t>在开标时，投标文件出现下列情况之一的，将作为无效投标文件，不得进入评标：</w:t>
      </w:r>
    </w:p>
    <w:p>
      <w:pPr>
        <w:spacing w:line="440" w:lineRule="exact"/>
        <w:ind w:firstLine="420" w:firstLineChars="200"/>
        <w:rPr>
          <w:szCs w:val="21"/>
        </w:rPr>
      </w:pPr>
      <w:r>
        <w:rPr>
          <w:rFonts w:hint="eastAsia" w:hAnsi="宋体"/>
          <w:szCs w:val="21"/>
        </w:rPr>
        <w:t>（</w:t>
      </w:r>
      <w:r>
        <w:rPr>
          <w:rFonts w:hint="eastAsia"/>
          <w:szCs w:val="21"/>
        </w:rPr>
        <w:t>1</w:t>
      </w:r>
      <w:r>
        <w:rPr>
          <w:rFonts w:hint="eastAsia" w:hAnsi="宋体"/>
          <w:szCs w:val="21"/>
        </w:rPr>
        <w:t>）投标文件未按照招标文件的要求予以密封和标志的；</w:t>
      </w:r>
    </w:p>
    <w:p>
      <w:pPr>
        <w:spacing w:line="440" w:lineRule="exact"/>
        <w:ind w:firstLine="420" w:firstLineChars="200"/>
        <w:rPr>
          <w:szCs w:val="21"/>
        </w:rPr>
      </w:pPr>
      <w:r>
        <w:rPr>
          <w:rFonts w:hint="eastAsia" w:hAnsi="宋体"/>
          <w:szCs w:val="21"/>
        </w:rPr>
        <w:t>（</w:t>
      </w:r>
      <w:r>
        <w:rPr>
          <w:rFonts w:hint="eastAsia"/>
          <w:szCs w:val="21"/>
        </w:rPr>
        <w:t>2</w:t>
      </w:r>
      <w:r>
        <w:rPr>
          <w:rFonts w:hint="eastAsia" w:hAnsi="宋体"/>
          <w:szCs w:val="21"/>
        </w:rPr>
        <w:t>）投标文件中的投标函未加盖投标人的企业或企业法定代表人印章的，或者企业法定代表人委托代理人没有合法、有效的委托书（原件）；</w:t>
      </w:r>
    </w:p>
    <w:p>
      <w:pPr>
        <w:spacing w:line="440" w:lineRule="exact"/>
        <w:ind w:firstLine="420" w:firstLineChars="200"/>
        <w:rPr>
          <w:szCs w:val="21"/>
        </w:rPr>
      </w:pPr>
      <w:r>
        <w:rPr>
          <w:rFonts w:hint="eastAsia" w:hAnsi="宋体"/>
          <w:szCs w:val="21"/>
        </w:rPr>
        <w:t>（</w:t>
      </w:r>
      <w:r>
        <w:rPr>
          <w:rFonts w:hint="eastAsia"/>
          <w:szCs w:val="21"/>
        </w:rPr>
        <w:t>3</w:t>
      </w:r>
      <w:r>
        <w:rPr>
          <w:rFonts w:hint="eastAsia" w:hAnsi="宋体"/>
          <w:szCs w:val="21"/>
        </w:rPr>
        <w:t>）投标文件的关键内容字迹模糊、无法辨认的；</w:t>
      </w:r>
    </w:p>
    <w:p>
      <w:pPr>
        <w:spacing w:line="440" w:lineRule="exact"/>
        <w:ind w:firstLine="420" w:firstLineChars="200"/>
        <w:rPr>
          <w:szCs w:val="21"/>
        </w:rPr>
      </w:pPr>
      <w:r>
        <w:rPr>
          <w:rFonts w:hint="eastAsia" w:hAnsi="宋体"/>
          <w:szCs w:val="21"/>
        </w:rPr>
        <w:t>（</w:t>
      </w:r>
      <w:r>
        <w:rPr>
          <w:rFonts w:hint="eastAsia"/>
          <w:szCs w:val="21"/>
        </w:rPr>
        <w:t>4</w:t>
      </w:r>
      <w:r>
        <w:rPr>
          <w:rFonts w:hint="eastAsia" w:hAnsi="宋体"/>
          <w:szCs w:val="21"/>
        </w:rPr>
        <w:t>）投标人未按照招标文件的要求提交投标保证金的；</w:t>
      </w:r>
    </w:p>
    <w:p>
      <w:pPr>
        <w:spacing w:line="440" w:lineRule="exact"/>
        <w:ind w:firstLine="420" w:firstLineChars="200"/>
        <w:rPr>
          <w:szCs w:val="21"/>
        </w:rPr>
      </w:pPr>
      <w:r>
        <w:rPr>
          <w:rFonts w:hint="eastAsia" w:hAnsi="宋体"/>
          <w:szCs w:val="21"/>
        </w:rPr>
        <w:t>（</w:t>
      </w:r>
      <w:r>
        <w:rPr>
          <w:rFonts w:hint="eastAsia"/>
          <w:szCs w:val="21"/>
        </w:rPr>
        <w:t>5</w:t>
      </w:r>
      <w:r>
        <w:rPr>
          <w:rFonts w:hint="eastAsia" w:hAnsi="宋体"/>
          <w:szCs w:val="21"/>
        </w:rPr>
        <w:t>）在一份投标文件中，对同一招标项目报有两个或多个报价，且未书面声明以哪个报价为准；</w:t>
      </w:r>
    </w:p>
    <w:p>
      <w:pPr>
        <w:spacing w:line="440" w:lineRule="exact"/>
        <w:ind w:firstLine="420" w:firstLineChars="200"/>
        <w:rPr>
          <w:szCs w:val="21"/>
        </w:rPr>
      </w:pPr>
      <w:r>
        <w:rPr>
          <w:rFonts w:hint="eastAsia" w:hAnsi="宋体"/>
          <w:szCs w:val="21"/>
        </w:rPr>
        <w:t>（</w:t>
      </w:r>
      <w:r>
        <w:rPr>
          <w:rFonts w:hint="eastAsia"/>
          <w:szCs w:val="21"/>
        </w:rPr>
        <w:t>6</w:t>
      </w:r>
      <w:r>
        <w:rPr>
          <w:rFonts w:hint="eastAsia" w:hAnsi="宋体"/>
          <w:szCs w:val="21"/>
        </w:rPr>
        <w:t>）投标文件附有招标人不能接受的条件。</w:t>
      </w:r>
    </w:p>
    <w:p>
      <w:pPr>
        <w:spacing w:line="440" w:lineRule="exact"/>
        <w:ind w:firstLine="420" w:firstLineChars="200"/>
        <w:rPr>
          <w:rFonts w:cs="宋体"/>
          <w:color w:val="000000"/>
          <w:kern w:val="0"/>
          <w:szCs w:val="21"/>
        </w:rPr>
      </w:pPr>
      <w:r>
        <w:rPr>
          <w:rFonts w:hint="eastAsia" w:hAnsi="宋体"/>
          <w:szCs w:val="21"/>
        </w:rPr>
        <w:t>（</w:t>
      </w:r>
      <w:r>
        <w:rPr>
          <w:rFonts w:hint="eastAsia"/>
          <w:szCs w:val="21"/>
        </w:rPr>
        <w:t>7</w:t>
      </w:r>
      <w:r>
        <w:rPr>
          <w:rFonts w:hint="eastAsia" w:hAnsi="宋体"/>
          <w:szCs w:val="21"/>
        </w:rPr>
        <w:t>）投标人报价高于本项目最高限价的。</w:t>
      </w:r>
    </w:p>
    <w:p>
      <w:pPr>
        <w:pStyle w:val="4"/>
        <w:keepNext w:val="0"/>
        <w:keepLines w:val="0"/>
        <w:spacing w:before="0" w:after="0" w:line="440" w:lineRule="exact"/>
        <w:rPr>
          <w:rFonts w:ascii="Times New Roman" w:hAnsi="Times New Roman" w:eastAsia="宋体"/>
          <w:color w:val="000000"/>
          <w:sz w:val="21"/>
          <w:szCs w:val="21"/>
        </w:rPr>
      </w:pPr>
      <w:bookmarkStart w:id="82" w:name="_Toc9194572"/>
      <w:bookmarkStart w:id="83" w:name="_Toc398107870"/>
      <w:r>
        <w:rPr>
          <w:rFonts w:hint="eastAsia" w:ascii="Times New Roman" w:hAnsi="Times New Roman" w:eastAsia="宋体"/>
          <w:color w:val="000000"/>
          <w:sz w:val="21"/>
          <w:szCs w:val="21"/>
        </w:rPr>
        <w:t xml:space="preserve">6  </w:t>
      </w:r>
      <w:r>
        <w:rPr>
          <w:rFonts w:hint="eastAsia" w:ascii="Times New Roman" w:hAnsi="宋体" w:eastAsia="宋体"/>
          <w:color w:val="000000"/>
          <w:sz w:val="21"/>
          <w:szCs w:val="21"/>
        </w:rPr>
        <w:t>评标</w:t>
      </w:r>
      <w:bookmarkEnd w:id="82"/>
      <w:bookmarkEnd w:id="83"/>
    </w:p>
    <w:p>
      <w:pPr>
        <w:pStyle w:val="5"/>
        <w:keepNext w:val="0"/>
        <w:keepLines w:val="0"/>
        <w:spacing w:before="0" w:after="0" w:line="440" w:lineRule="exact"/>
        <w:rPr>
          <w:rFonts w:eastAsia="宋体"/>
          <w:color w:val="000000"/>
          <w:sz w:val="21"/>
          <w:szCs w:val="21"/>
        </w:rPr>
      </w:pPr>
      <w:r>
        <w:rPr>
          <w:rFonts w:hint="eastAsia" w:eastAsia="宋体"/>
          <w:color w:val="000000"/>
          <w:sz w:val="21"/>
          <w:szCs w:val="21"/>
        </w:rPr>
        <w:t>6.1 评标工作</w:t>
      </w:r>
    </w:p>
    <w:p>
      <w:pPr>
        <w:autoSpaceDE w:val="0"/>
        <w:autoSpaceDN w:val="0"/>
        <w:spacing w:line="440" w:lineRule="exact"/>
        <w:ind w:firstLine="420" w:firstLineChars="200"/>
        <w:rPr>
          <w:rFonts w:cs="宋体"/>
          <w:color w:val="000000"/>
          <w:kern w:val="0"/>
          <w:szCs w:val="21"/>
        </w:rPr>
      </w:pPr>
      <w:r>
        <w:rPr>
          <w:rFonts w:hint="eastAsia" w:hAnsi="宋体" w:cs="宋体"/>
          <w:color w:val="000000"/>
          <w:kern w:val="0"/>
          <w:szCs w:val="21"/>
        </w:rPr>
        <w:t>评标工作在</w:t>
      </w:r>
      <w:r>
        <w:rPr>
          <w:rFonts w:hint="eastAsia" w:hAnsi="宋体" w:cs="宋体"/>
          <w:kern w:val="0"/>
          <w:szCs w:val="21"/>
        </w:rPr>
        <w:t>招标办</w:t>
      </w:r>
      <w:r>
        <w:rPr>
          <w:rFonts w:hint="eastAsia" w:hAnsi="宋体" w:cs="宋体"/>
          <w:color w:val="000000"/>
          <w:kern w:val="0"/>
          <w:szCs w:val="21"/>
        </w:rPr>
        <w:t>的监督下，由招标人依法组建的评标委员会在崇川区便民服务中心会议室组织进行。</w:t>
      </w:r>
    </w:p>
    <w:p>
      <w:pPr>
        <w:pStyle w:val="5"/>
        <w:keepNext w:val="0"/>
        <w:keepLines w:val="0"/>
        <w:spacing w:before="0" w:after="0" w:line="440" w:lineRule="exact"/>
        <w:rPr>
          <w:rFonts w:eastAsia="宋体"/>
          <w:color w:val="000000"/>
          <w:sz w:val="21"/>
          <w:szCs w:val="21"/>
        </w:rPr>
      </w:pPr>
      <w:r>
        <w:rPr>
          <w:rFonts w:hint="eastAsia" w:eastAsia="宋体"/>
          <w:color w:val="000000"/>
          <w:sz w:val="21"/>
          <w:szCs w:val="21"/>
        </w:rPr>
        <w:t>6.2评标标准与方法</w:t>
      </w:r>
    </w:p>
    <w:p>
      <w:pPr>
        <w:autoSpaceDE w:val="0"/>
        <w:autoSpaceDN w:val="0"/>
        <w:spacing w:line="440" w:lineRule="exact"/>
        <w:ind w:firstLine="420" w:firstLineChars="200"/>
        <w:rPr>
          <w:rFonts w:cs="宋体"/>
          <w:color w:val="000000"/>
          <w:kern w:val="0"/>
          <w:szCs w:val="21"/>
        </w:rPr>
      </w:pPr>
      <w:r>
        <w:rPr>
          <w:rFonts w:hint="eastAsia" w:hAnsi="宋体" w:cs="宋体"/>
          <w:color w:val="000000"/>
          <w:kern w:val="0"/>
          <w:szCs w:val="21"/>
        </w:rPr>
        <w:t>本项目采用价格单因素评标办法，详见第二章评标办法。</w:t>
      </w:r>
    </w:p>
    <w:p>
      <w:pPr>
        <w:pStyle w:val="5"/>
        <w:keepNext w:val="0"/>
        <w:keepLines w:val="0"/>
        <w:spacing w:before="0" w:after="0" w:line="440" w:lineRule="exact"/>
        <w:rPr>
          <w:rFonts w:eastAsia="宋体"/>
          <w:color w:val="000000"/>
          <w:sz w:val="21"/>
          <w:szCs w:val="21"/>
        </w:rPr>
      </w:pPr>
      <w:r>
        <w:rPr>
          <w:rFonts w:hint="eastAsia" w:eastAsia="宋体"/>
          <w:color w:val="000000"/>
          <w:sz w:val="21"/>
          <w:szCs w:val="21"/>
        </w:rPr>
        <w:t>6.3投标文件的澄清</w:t>
      </w:r>
    </w:p>
    <w:p>
      <w:pPr>
        <w:autoSpaceDE w:val="0"/>
        <w:autoSpaceDN w:val="0"/>
        <w:spacing w:line="440" w:lineRule="exact"/>
        <w:ind w:firstLine="420" w:firstLineChars="200"/>
        <w:rPr>
          <w:rFonts w:cs="宋体"/>
          <w:color w:val="000000"/>
          <w:kern w:val="0"/>
          <w:szCs w:val="21"/>
        </w:rPr>
      </w:pPr>
      <w:r>
        <w:rPr>
          <w:rFonts w:hint="eastAsia" w:cs="宋体"/>
          <w:color w:val="000000"/>
          <w:kern w:val="0"/>
          <w:szCs w:val="21"/>
        </w:rPr>
        <w:t xml:space="preserve">6.3.1 </w:t>
      </w:r>
      <w:r>
        <w:rPr>
          <w:rFonts w:hint="eastAsia" w:hAnsi="宋体" w:cs="宋体"/>
          <w:color w:val="000000"/>
          <w:kern w:val="0"/>
          <w:szCs w:val="21"/>
        </w:rPr>
        <w:t>为了有助于投标文件的审查、评价和比较，评标委员会可以书面方式要求投标人对投标文件中含义不明确、对同类问题表述不一致或者有明显文字和计算错误的内容作必要的澄清、说明或者补正。投标人的澄清、说明或者补正应以书面方式进行并不得超出投标文件的范围或者改变投标文件的实质性内容。</w:t>
      </w:r>
    </w:p>
    <w:p>
      <w:pPr>
        <w:autoSpaceDE w:val="0"/>
        <w:autoSpaceDN w:val="0"/>
        <w:spacing w:line="440" w:lineRule="exact"/>
        <w:ind w:firstLine="420" w:firstLineChars="200"/>
        <w:rPr>
          <w:rFonts w:cs="宋体"/>
          <w:color w:val="000000"/>
          <w:kern w:val="0"/>
          <w:szCs w:val="21"/>
        </w:rPr>
      </w:pPr>
      <w:r>
        <w:rPr>
          <w:rFonts w:hint="eastAsia" w:cs="宋体"/>
          <w:color w:val="000000"/>
          <w:kern w:val="0"/>
          <w:szCs w:val="21"/>
        </w:rPr>
        <w:t xml:space="preserve">6.3.2 </w:t>
      </w:r>
      <w:r>
        <w:rPr>
          <w:rFonts w:hint="eastAsia" w:hAnsi="宋体" w:cs="宋体"/>
          <w:color w:val="000000"/>
          <w:kern w:val="0"/>
          <w:szCs w:val="21"/>
        </w:rPr>
        <w:t>投标文件中的大写金额和小写金额不一致，以大写金额为准；总价金额与单价金额不一致，以单价金额为准，但单价金额小数点有明显错误的除外；对不同文字文本投标文件的解释发生异议的，以中文文本为准。</w:t>
      </w:r>
    </w:p>
    <w:p>
      <w:pPr>
        <w:spacing w:line="440" w:lineRule="exact"/>
        <w:ind w:firstLine="420" w:firstLineChars="200"/>
        <w:rPr>
          <w:rFonts w:cs="宋体"/>
          <w:color w:val="000000"/>
          <w:kern w:val="0"/>
          <w:szCs w:val="21"/>
        </w:rPr>
      </w:pPr>
      <w:r>
        <w:rPr>
          <w:rFonts w:hint="eastAsia" w:cs="宋体"/>
          <w:color w:val="000000"/>
          <w:kern w:val="0"/>
          <w:szCs w:val="21"/>
        </w:rPr>
        <w:t xml:space="preserve">6.4 </w:t>
      </w:r>
      <w:r>
        <w:rPr>
          <w:rFonts w:hint="eastAsia" w:hAnsi="宋体" w:cs="宋体"/>
          <w:color w:val="000000"/>
          <w:kern w:val="0"/>
          <w:szCs w:val="21"/>
        </w:rPr>
        <w:t>在评标过程中，评标委员会若发现投标人以他人的名义投标、串通投标、以行贿手段谋取中标或者以其他弄虚作假方式投标的，该投标人的投标书将作废标处理。</w:t>
      </w:r>
    </w:p>
    <w:p>
      <w:pPr>
        <w:spacing w:line="440" w:lineRule="exact"/>
        <w:ind w:firstLine="420" w:firstLineChars="200"/>
        <w:rPr>
          <w:rFonts w:cs="宋体"/>
          <w:color w:val="000000"/>
          <w:kern w:val="0"/>
          <w:szCs w:val="21"/>
        </w:rPr>
      </w:pPr>
      <w:r>
        <w:rPr>
          <w:rFonts w:hint="eastAsia" w:cs="宋体"/>
          <w:color w:val="000000"/>
          <w:kern w:val="0"/>
          <w:szCs w:val="21"/>
        </w:rPr>
        <w:t xml:space="preserve">6.5 </w:t>
      </w:r>
      <w:r>
        <w:rPr>
          <w:rFonts w:hint="eastAsia" w:hAnsi="宋体" w:cs="宋体"/>
          <w:color w:val="000000"/>
          <w:kern w:val="0"/>
          <w:szCs w:val="21"/>
        </w:rPr>
        <w:t>投标人资格条件不符合国家有关规定和招标文件要求的，或者不按照要求对投标文件进行澄清、说明或者补正的，评标委员会可以否决其投标。</w:t>
      </w:r>
    </w:p>
    <w:p>
      <w:pPr>
        <w:spacing w:line="440" w:lineRule="exact"/>
        <w:ind w:firstLine="420" w:firstLineChars="200"/>
        <w:rPr>
          <w:rFonts w:cs="宋体"/>
          <w:color w:val="000000"/>
          <w:kern w:val="0"/>
          <w:szCs w:val="21"/>
        </w:rPr>
      </w:pPr>
      <w:r>
        <w:rPr>
          <w:rFonts w:hint="eastAsia" w:cs="宋体"/>
          <w:color w:val="000000"/>
          <w:kern w:val="0"/>
          <w:szCs w:val="21"/>
        </w:rPr>
        <w:t xml:space="preserve">6.6 </w:t>
      </w:r>
      <w:r>
        <w:rPr>
          <w:rFonts w:hint="eastAsia" w:hAnsi="宋体" w:cs="宋体"/>
          <w:color w:val="000000"/>
          <w:kern w:val="0"/>
          <w:szCs w:val="21"/>
        </w:rPr>
        <w:t>评标委员会将审查每一投标文件是否对招标文件提出的所有实质性要求和条件做出响应。未能在实质上响应的投标，将作废标处理。</w:t>
      </w:r>
    </w:p>
    <w:p>
      <w:pPr>
        <w:spacing w:line="440" w:lineRule="exact"/>
        <w:ind w:firstLine="420" w:firstLineChars="200"/>
        <w:rPr>
          <w:rFonts w:cs="宋体"/>
          <w:color w:val="000000"/>
          <w:kern w:val="0"/>
          <w:szCs w:val="21"/>
        </w:rPr>
      </w:pPr>
      <w:r>
        <w:rPr>
          <w:rFonts w:hint="eastAsia" w:cs="宋体"/>
          <w:color w:val="000000"/>
          <w:kern w:val="0"/>
          <w:szCs w:val="21"/>
        </w:rPr>
        <w:t xml:space="preserve">6.7 </w:t>
      </w:r>
      <w:r>
        <w:rPr>
          <w:rFonts w:hint="eastAsia" w:hAnsi="宋体" w:cs="宋体"/>
          <w:color w:val="000000"/>
          <w:kern w:val="0"/>
          <w:szCs w:val="21"/>
        </w:rPr>
        <w:t>投标文件有下述情形之一的，属于重大偏差、视为未能对招标文件做出实质性响应，并按前条规定作废标处理：</w:t>
      </w:r>
    </w:p>
    <w:p>
      <w:pPr>
        <w:spacing w:line="440" w:lineRule="exact"/>
        <w:ind w:firstLine="420" w:firstLineChars="200"/>
        <w:rPr>
          <w:rFonts w:cs="宋体"/>
          <w:color w:val="000000"/>
          <w:kern w:val="0"/>
          <w:szCs w:val="21"/>
        </w:rPr>
      </w:pPr>
      <w:r>
        <w:rPr>
          <w:rFonts w:hint="eastAsia" w:cs="宋体"/>
          <w:color w:val="000000"/>
          <w:kern w:val="0"/>
          <w:szCs w:val="21"/>
        </w:rPr>
        <w:t>(1)</w:t>
      </w:r>
      <w:r>
        <w:rPr>
          <w:rFonts w:hint="eastAsia" w:hAnsi="宋体" w:cs="宋体"/>
          <w:color w:val="000000"/>
          <w:kern w:val="0"/>
          <w:szCs w:val="21"/>
        </w:rPr>
        <w:t>投标文件中的投标函未加盖投标人的公章；</w:t>
      </w:r>
      <w:r>
        <w:rPr>
          <w:rFonts w:hint="eastAsia" w:cs="宋体"/>
          <w:color w:val="000000"/>
          <w:kern w:val="0"/>
          <w:szCs w:val="21"/>
        </w:rPr>
        <w:br w:type="textWrapping"/>
      </w:r>
      <w:r>
        <w:rPr>
          <w:rFonts w:hint="eastAsia" w:cs="宋体"/>
          <w:color w:val="000000"/>
          <w:kern w:val="0"/>
          <w:szCs w:val="21"/>
        </w:rPr>
        <w:t xml:space="preserve">    (2)</w:t>
      </w:r>
      <w:r>
        <w:rPr>
          <w:rFonts w:hint="eastAsia" w:hAnsi="宋体" w:cs="宋体"/>
          <w:color w:val="000000"/>
          <w:kern w:val="0"/>
          <w:szCs w:val="21"/>
        </w:rPr>
        <w:t>投标文件中的投标函未加盖企业法定代表人（或委托代理人）印章（或签字）的；</w:t>
      </w:r>
      <w:r>
        <w:rPr>
          <w:rFonts w:hint="eastAsia" w:cs="宋体"/>
          <w:color w:val="000000"/>
          <w:kern w:val="0"/>
          <w:szCs w:val="21"/>
        </w:rPr>
        <w:br w:type="textWrapping"/>
      </w:r>
      <w:r>
        <w:rPr>
          <w:rFonts w:hint="eastAsia" w:cs="宋体"/>
          <w:color w:val="000000"/>
          <w:kern w:val="0"/>
          <w:szCs w:val="21"/>
        </w:rPr>
        <w:t xml:space="preserve">    (3)</w:t>
      </w:r>
      <w:r>
        <w:rPr>
          <w:rFonts w:hint="eastAsia" w:hAnsi="宋体" w:cs="宋体"/>
          <w:color w:val="000000"/>
          <w:kern w:val="0"/>
          <w:szCs w:val="21"/>
        </w:rPr>
        <w:t>投标函加盖企业委托代理人印章（或签字），委托代理人没有合法、有效的委托书（原件）的；</w:t>
      </w:r>
      <w:r>
        <w:rPr>
          <w:rFonts w:hint="eastAsia" w:cs="宋体"/>
          <w:color w:val="000000"/>
          <w:kern w:val="0"/>
          <w:szCs w:val="21"/>
        </w:rPr>
        <w:br w:type="textWrapping"/>
      </w:r>
      <w:r>
        <w:rPr>
          <w:rFonts w:hint="eastAsia" w:cs="宋体"/>
          <w:color w:val="000000"/>
          <w:kern w:val="0"/>
          <w:szCs w:val="21"/>
        </w:rPr>
        <w:t xml:space="preserve">    (4)</w:t>
      </w:r>
      <w:r>
        <w:rPr>
          <w:rFonts w:hint="eastAsia" w:hAnsi="宋体" w:cs="宋体"/>
          <w:color w:val="000000"/>
          <w:kern w:val="0"/>
          <w:szCs w:val="21"/>
        </w:rPr>
        <w:t>投标人资质条件不符合国家有关规定，或者不满足招标文件规定的资格条件的；</w:t>
      </w:r>
      <w:r>
        <w:rPr>
          <w:rFonts w:hint="eastAsia" w:cs="宋体"/>
          <w:color w:val="000000"/>
          <w:kern w:val="0"/>
          <w:szCs w:val="21"/>
        </w:rPr>
        <w:br w:type="textWrapping"/>
      </w:r>
      <w:r>
        <w:rPr>
          <w:rFonts w:hint="eastAsia" w:cs="宋体"/>
          <w:color w:val="000000"/>
          <w:kern w:val="0"/>
          <w:szCs w:val="21"/>
        </w:rPr>
        <w:t xml:space="preserve">    (5)</w:t>
      </w:r>
      <w:r>
        <w:rPr>
          <w:rFonts w:hint="eastAsia" w:hAnsi="宋体" w:cs="宋体"/>
          <w:color w:val="000000"/>
          <w:kern w:val="0"/>
          <w:szCs w:val="21"/>
        </w:rPr>
        <w:t>投标人名称或组织结构与资格预审时不一致的；</w:t>
      </w:r>
      <w:r>
        <w:rPr>
          <w:rFonts w:hint="eastAsia" w:cs="宋体"/>
          <w:color w:val="000000"/>
          <w:kern w:val="0"/>
          <w:szCs w:val="21"/>
        </w:rPr>
        <w:br w:type="textWrapping"/>
      </w:r>
      <w:r>
        <w:rPr>
          <w:rFonts w:hint="eastAsia" w:cs="宋体"/>
          <w:color w:val="000000"/>
          <w:kern w:val="0"/>
          <w:szCs w:val="21"/>
        </w:rPr>
        <w:t xml:space="preserve">    (6)</w:t>
      </w:r>
      <w:r>
        <w:rPr>
          <w:rFonts w:hint="eastAsia" w:hAnsi="宋体" w:cs="宋体"/>
          <w:color w:val="000000"/>
          <w:kern w:val="0"/>
          <w:szCs w:val="21"/>
        </w:rPr>
        <w:t>除在投标截止时间前经招标人书面同意外，项目负责人与资格预审时不一致的；</w:t>
      </w:r>
      <w:r>
        <w:rPr>
          <w:rFonts w:hint="eastAsia" w:cs="宋体"/>
          <w:color w:val="000000"/>
          <w:kern w:val="0"/>
          <w:szCs w:val="21"/>
        </w:rPr>
        <w:br w:type="textWrapping"/>
      </w:r>
      <w:r>
        <w:rPr>
          <w:rFonts w:hint="eastAsia" w:cs="宋体"/>
          <w:color w:val="000000"/>
          <w:kern w:val="0"/>
          <w:szCs w:val="21"/>
        </w:rPr>
        <w:t xml:space="preserve">    (7)</w:t>
      </w:r>
      <w:r>
        <w:rPr>
          <w:rFonts w:hint="eastAsia" w:hAnsi="宋体" w:cs="宋体"/>
          <w:color w:val="000000"/>
          <w:kern w:val="0"/>
          <w:szCs w:val="21"/>
        </w:rPr>
        <w:t>组成联合体投标未提供联合体各方共同投标协议的（本工程不接受联合体）；</w:t>
      </w:r>
      <w:r>
        <w:rPr>
          <w:rFonts w:hint="eastAsia" w:cs="宋体"/>
          <w:color w:val="000000"/>
          <w:kern w:val="0"/>
          <w:szCs w:val="21"/>
        </w:rPr>
        <w:br w:type="textWrapping"/>
      </w:r>
      <w:r>
        <w:rPr>
          <w:rFonts w:hint="eastAsia" w:cs="宋体"/>
          <w:color w:val="000000"/>
          <w:kern w:val="0"/>
          <w:szCs w:val="21"/>
        </w:rPr>
        <w:t xml:space="preserve">    (8)</w:t>
      </w:r>
      <w:r>
        <w:rPr>
          <w:rFonts w:hint="eastAsia" w:hAnsi="宋体" w:cs="宋体"/>
          <w:color w:val="000000"/>
          <w:kern w:val="0"/>
          <w:szCs w:val="21"/>
        </w:rPr>
        <w:t>在同一招标项目中，联合体成员以自己名义单独投标或者参加其他联合体投标的；</w:t>
      </w:r>
      <w:r>
        <w:rPr>
          <w:rFonts w:hint="eastAsia" w:cs="宋体"/>
          <w:color w:val="000000"/>
          <w:kern w:val="0"/>
          <w:szCs w:val="21"/>
        </w:rPr>
        <w:br w:type="textWrapping"/>
      </w:r>
      <w:r>
        <w:rPr>
          <w:rFonts w:hint="eastAsia" w:cs="宋体"/>
          <w:color w:val="000000"/>
          <w:kern w:val="0"/>
          <w:szCs w:val="21"/>
        </w:rPr>
        <w:t xml:space="preserve">    (9)</w:t>
      </w:r>
      <w:r>
        <w:rPr>
          <w:rFonts w:hint="eastAsia" w:hAnsi="宋体" w:cs="宋体"/>
          <w:color w:val="000000"/>
          <w:kern w:val="0"/>
          <w:szCs w:val="21"/>
        </w:rPr>
        <w:t>联合体成员与资格预审确定的结果不一致的；</w:t>
      </w:r>
      <w:r>
        <w:rPr>
          <w:rFonts w:hint="eastAsia" w:cs="宋体"/>
          <w:color w:val="000000"/>
          <w:kern w:val="0"/>
          <w:szCs w:val="21"/>
        </w:rPr>
        <w:br w:type="textWrapping"/>
      </w:r>
      <w:r>
        <w:rPr>
          <w:rFonts w:hint="eastAsia" w:cs="宋体"/>
          <w:color w:val="000000"/>
          <w:kern w:val="0"/>
          <w:szCs w:val="21"/>
        </w:rPr>
        <w:t xml:space="preserve">    (10)</w:t>
      </w:r>
      <w:r>
        <w:rPr>
          <w:rFonts w:hint="eastAsia" w:hAnsi="宋体" w:cs="宋体"/>
          <w:color w:val="000000"/>
          <w:kern w:val="0"/>
          <w:szCs w:val="21"/>
        </w:rPr>
        <w:t>投标报价低于工程成本或者高于招标文件设定的招标控制价或者招标人设置的投标限价的；</w:t>
      </w:r>
      <w:r>
        <w:rPr>
          <w:rFonts w:hint="eastAsia" w:cs="宋体"/>
          <w:color w:val="000000"/>
          <w:kern w:val="0"/>
          <w:szCs w:val="21"/>
        </w:rPr>
        <w:br w:type="textWrapping"/>
      </w:r>
      <w:r>
        <w:rPr>
          <w:rFonts w:hint="eastAsia" w:cs="宋体"/>
          <w:color w:val="000000"/>
          <w:kern w:val="0"/>
          <w:szCs w:val="21"/>
        </w:rPr>
        <w:t xml:space="preserve">    (11)</w:t>
      </w:r>
      <w:r>
        <w:rPr>
          <w:rFonts w:hint="eastAsia" w:hAnsi="宋体" w:cs="宋体"/>
          <w:color w:val="000000"/>
          <w:kern w:val="0"/>
          <w:szCs w:val="21"/>
        </w:rPr>
        <w:t>同一投标人提交两个及以上不同的投标文件或者投标报价，但招标文件要求提交备选投标的除外；</w:t>
      </w:r>
      <w:r>
        <w:rPr>
          <w:rFonts w:hint="eastAsia" w:cs="宋体"/>
          <w:color w:val="000000"/>
          <w:kern w:val="0"/>
          <w:szCs w:val="21"/>
        </w:rPr>
        <w:br w:type="textWrapping"/>
      </w:r>
      <w:r>
        <w:rPr>
          <w:rFonts w:hint="eastAsia" w:cs="宋体"/>
          <w:color w:val="000000"/>
          <w:kern w:val="0"/>
          <w:szCs w:val="21"/>
        </w:rPr>
        <w:t xml:space="preserve">    (12)</w:t>
      </w:r>
      <w:r>
        <w:rPr>
          <w:rFonts w:hint="eastAsia" w:hAnsi="宋体" w:cs="宋体"/>
          <w:color w:val="000000"/>
          <w:kern w:val="0"/>
          <w:szCs w:val="21"/>
        </w:rPr>
        <w:t>投标文件中已标价的工程量清单与招标文件规定的暂估价、暂列金额及甲供材料价格不一致的；</w:t>
      </w:r>
      <w:r>
        <w:rPr>
          <w:rFonts w:hint="eastAsia" w:cs="宋体"/>
          <w:color w:val="000000"/>
          <w:kern w:val="0"/>
          <w:szCs w:val="21"/>
        </w:rPr>
        <w:br w:type="textWrapping"/>
      </w:r>
      <w:r>
        <w:rPr>
          <w:rFonts w:hint="eastAsia" w:cs="宋体"/>
          <w:color w:val="000000"/>
          <w:kern w:val="0"/>
          <w:szCs w:val="21"/>
        </w:rPr>
        <w:t xml:space="preserve">    (13)</w:t>
      </w:r>
      <w:r>
        <w:rPr>
          <w:rFonts w:hint="eastAsia" w:hAnsi="宋体" w:cs="宋体"/>
          <w:color w:val="000000"/>
          <w:kern w:val="0"/>
          <w:szCs w:val="21"/>
        </w:rPr>
        <w:t>投标文件中已标价的工程量清单与招标文件明确列出的不可竞争费用项目或费率或计算基础不一致的；</w:t>
      </w:r>
      <w:r>
        <w:rPr>
          <w:rFonts w:hint="eastAsia" w:cs="宋体"/>
          <w:color w:val="000000"/>
          <w:kern w:val="0"/>
          <w:szCs w:val="21"/>
        </w:rPr>
        <w:br w:type="textWrapping"/>
      </w:r>
      <w:r>
        <w:rPr>
          <w:rFonts w:hint="eastAsia" w:cs="宋体"/>
          <w:color w:val="000000"/>
          <w:kern w:val="0"/>
          <w:szCs w:val="21"/>
        </w:rPr>
        <w:t xml:space="preserve">    (14)</w:t>
      </w:r>
      <w:r>
        <w:rPr>
          <w:rFonts w:hint="eastAsia" w:hAnsi="宋体" w:cs="宋体"/>
          <w:color w:val="000000"/>
          <w:kern w:val="0"/>
          <w:szCs w:val="21"/>
        </w:rPr>
        <w:t>投标文件中已标价的工程量清单与招标文件提供的工程量清单中的项目编码、项目名称、项目特征、计量单位、工程量不一致的；</w:t>
      </w:r>
      <w:r>
        <w:rPr>
          <w:rFonts w:hint="eastAsia" w:cs="宋体"/>
          <w:color w:val="000000"/>
          <w:kern w:val="0"/>
          <w:szCs w:val="21"/>
        </w:rPr>
        <w:br w:type="textWrapping"/>
      </w:r>
      <w:r>
        <w:rPr>
          <w:rFonts w:hint="eastAsia" w:cs="宋体"/>
          <w:color w:val="000000"/>
          <w:kern w:val="0"/>
          <w:szCs w:val="21"/>
        </w:rPr>
        <w:t xml:space="preserve">    (15)</w:t>
      </w:r>
      <w:r>
        <w:rPr>
          <w:rFonts w:hint="eastAsia" w:hAnsi="宋体" w:cs="宋体"/>
          <w:color w:val="000000"/>
          <w:kern w:val="0"/>
          <w:szCs w:val="21"/>
        </w:rPr>
        <w:t>未按招标文件要求提供投标保证金的；</w:t>
      </w:r>
      <w:r>
        <w:rPr>
          <w:rFonts w:hint="eastAsia" w:cs="宋体"/>
          <w:color w:val="000000"/>
          <w:kern w:val="0"/>
          <w:szCs w:val="21"/>
        </w:rPr>
        <w:br w:type="textWrapping"/>
      </w:r>
      <w:r>
        <w:rPr>
          <w:rFonts w:hint="eastAsia" w:cs="宋体"/>
          <w:color w:val="000000"/>
          <w:kern w:val="0"/>
          <w:szCs w:val="21"/>
        </w:rPr>
        <w:t xml:space="preserve">    (16)</w:t>
      </w:r>
      <w:r>
        <w:rPr>
          <w:rFonts w:hint="eastAsia" w:hAnsi="宋体" w:cs="宋体"/>
          <w:color w:val="000000"/>
          <w:kern w:val="0"/>
          <w:szCs w:val="21"/>
        </w:rPr>
        <w:t>投标文件载明的招标项目完成期限超过招标文件规定的期限的；</w:t>
      </w:r>
      <w:r>
        <w:rPr>
          <w:rFonts w:hint="eastAsia" w:cs="宋体"/>
          <w:color w:val="000000"/>
          <w:kern w:val="0"/>
          <w:szCs w:val="21"/>
        </w:rPr>
        <w:br w:type="textWrapping"/>
      </w:r>
      <w:r>
        <w:rPr>
          <w:rFonts w:hint="eastAsia" w:cs="宋体"/>
          <w:color w:val="000000"/>
          <w:kern w:val="0"/>
          <w:szCs w:val="21"/>
        </w:rPr>
        <w:t xml:space="preserve">    (17)</w:t>
      </w:r>
      <w:r>
        <w:rPr>
          <w:rFonts w:hint="eastAsia" w:hAnsi="宋体" w:cs="宋体"/>
          <w:color w:val="000000"/>
          <w:kern w:val="0"/>
          <w:szCs w:val="21"/>
        </w:rPr>
        <w:t>明显不符合技术规范、技术标准的要求的；</w:t>
      </w:r>
      <w:r>
        <w:rPr>
          <w:rFonts w:hint="eastAsia" w:cs="宋体"/>
          <w:color w:val="000000"/>
          <w:kern w:val="0"/>
          <w:szCs w:val="21"/>
        </w:rPr>
        <w:br w:type="textWrapping"/>
      </w:r>
      <w:r>
        <w:rPr>
          <w:rFonts w:hint="eastAsia" w:cs="宋体"/>
          <w:color w:val="000000"/>
          <w:kern w:val="0"/>
          <w:szCs w:val="21"/>
        </w:rPr>
        <w:t xml:space="preserve">    (18)</w:t>
      </w:r>
      <w:r>
        <w:rPr>
          <w:rFonts w:hint="eastAsia" w:hAnsi="宋体" w:cs="宋体"/>
          <w:color w:val="000000"/>
          <w:kern w:val="0"/>
          <w:szCs w:val="21"/>
        </w:rPr>
        <w:t>投标文件载明的货物包装方式、检验标准和方法等不符合招标文件的要求的；</w:t>
      </w:r>
      <w:r>
        <w:rPr>
          <w:rFonts w:hint="eastAsia" w:cs="宋体"/>
          <w:color w:val="000000"/>
          <w:kern w:val="0"/>
          <w:szCs w:val="21"/>
        </w:rPr>
        <w:br w:type="textWrapping"/>
      </w:r>
      <w:r>
        <w:rPr>
          <w:rFonts w:hint="eastAsia" w:cs="宋体"/>
          <w:color w:val="000000"/>
          <w:kern w:val="0"/>
          <w:szCs w:val="21"/>
        </w:rPr>
        <w:t xml:space="preserve">    (19)</w:t>
      </w:r>
      <w:r>
        <w:rPr>
          <w:rFonts w:hint="eastAsia" w:hAnsi="宋体" w:cs="宋体"/>
          <w:color w:val="000000"/>
          <w:kern w:val="0"/>
          <w:szCs w:val="21"/>
        </w:rPr>
        <w:t>投标文件提出了不能满足招标文件要求或招标人不能接受的工程验收、计量、价款结算和支付办法的；</w:t>
      </w:r>
      <w:r>
        <w:rPr>
          <w:rFonts w:hint="eastAsia" w:cs="宋体"/>
          <w:color w:val="000000"/>
          <w:kern w:val="0"/>
          <w:szCs w:val="21"/>
        </w:rPr>
        <w:br w:type="textWrapping"/>
      </w:r>
      <w:r>
        <w:rPr>
          <w:rFonts w:hint="eastAsia" w:cs="宋体"/>
          <w:color w:val="000000"/>
          <w:kern w:val="0"/>
          <w:szCs w:val="21"/>
        </w:rPr>
        <w:t xml:space="preserve">    (20)</w:t>
      </w:r>
      <w:r>
        <w:rPr>
          <w:rFonts w:hint="eastAsia" w:hAnsi="宋体" w:cs="宋体"/>
          <w:color w:val="000000"/>
          <w:kern w:val="0"/>
          <w:szCs w:val="21"/>
        </w:rPr>
        <w:t>未按招标文件要求提供电子投标文件，或者投标文件未能解密且按照招标文件明确的投标文件解密失败的补救方案补救不成功的；</w:t>
      </w:r>
      <w:r>
        <w:rPr>
          <w:rFonts w:hint="eastAsia" w:cs="宋体"/>
          <w:color w:val="000000"/>
          <w:kern w:val="0"/>
          <w:szCs w:val="21"/>
        </w:rPr>
        <w:br w:type="textWrapping"/>
      </w:r>
      <w:r>
        <w:rPr>
          <w:rFonts w:hint="eastAsia" w:cs="宋体"/>
          <w:color w:val="000000"/>
          <w:kern w:val="0"/>
          <w:szCs w:val="21"/>
        </w:rPr>
        <w:t xml:space="preserve">    (21)</w:t>
      </w:r>
      <w:r>
        <w:rPr>
          <w:rFonts w:hint="eastAsia" w:hAnsi="宋体" w:cs="宋体"/>
          <w:color w:val="000000"/>
          <w:kern w:val="0"/>
          <w:szCs w:val="21"/>
        </w:rPr>
        <w:t>不同投标人的投标文件以及投标文件制作过程出现了评标委员会认为不应当雷同的情况的；</w:t>
      </w:r>
      <w:r>
        <w:rPr>
          <w:rFonts w:hint="eastAsia" w:cs="宋体"/>
          <w:color w:val="000000"/>
          <w:kern w:val="0"/>
          <w:szCs w:val="21"/>
        </w:rPr>
        <w:br w:type="textWrapping"/>
      </w:r>
      <w:r>
        <w:rPr>
          <w:rFonts w:hint="eastAsia" w:cs="宋体"/>
          <w:color w:val="000000"/>
          <w:kern w:val="0"/>
          <w:szCs w:val="21"/>
        </w:rPr>
        <w:t xml:space="preserve">    (22)</w:t>
      </w:r>
      <w:r>
        <w:rPr>
          <w:rFonts w:hint="eastAsia" w:hAnsi="宋体" w:cs="宋体"/>
          <w:color w:val="000000"/>
          <w:kern w:val="0"/>
          <w:szCs w:val="21"/>
        </w:rPr>
        <w:t>以他人的名义投标、串通投标、以行贿手段谋取中标或者以其他弄虚作假方式投标的；</w:t>
      </w:r>
      <w:r>
        <w:rPr>
          <w:rFonts w:hint="eastAsia" w:cs="宋体"/>
          <w:color w:val="000000"/>
          <w:kern w:val="0"/>
          <w:szCs w:val="21"/>
        </w:rPr>
        <w:br w:type="textWrapping"/>
      </w:r>
      <w:r>
        <w:rPr>
          <w:rFonts w:hint="eastAsia" w:cs="宋体"/>
          <w:color w:val="000000"/>
          <w:kern w:val="0"/>
          <w:szCs w:val="21"/>
        </w:rPr>
        <w:t xml:space="preserve">    (23)</w:t>
      </w:r>
      <w:r>
        <w:rPr>
          <w:rFonts w:hint="eastAsia" w:hAnsi="宋体" w:cs="宋体"/>
          <w:color w:val="000000"/>
          <w:kern w:val="0"/>
          <w:szCs w:val="21"/>
        </w:rPr>
        <w:t>施工组织设计（施工方案）存在明显技术档案错误、或者不符合招标文件有关暗标的要求。</w:t>
      </w:r>
    </w:p>
    <w:p>
      <w:pPr>
        <w:spacing w:line="440" w:lineRule="exact"/>
        <w:ind w:firstLine="420" w:firstLineChars="200"/>
        <w:rPr>
          <w:rFonts w:cs="宋体"/>
          <w:color w:val="000000"/>
          <w:kern w:val="0"/>
          <w:szCs w:val="21"/>
        </w:rPr>
      </w:pPr>
      <w:r>
        <w:rPr>
          <w:rFonts w:hint="eastAsia" w:cs="宋体"/>
          <w:color w:val="000000"/>
          <w:kern w:val="0"/>
          <w:szCs w:val="21"/>
        </w:rPr>
        <w:t>(24)</w:t>
      </w:r>
      <w:r>
        <w:rPr>
          <w:rFonts w:hint="eastAsia" w:hAnsi="宋体" w:cs="宋体"/>
          <w:color w:val="000000"/>
          <w:kern w:val="0"/>
          <w:szCs w:val="21"/>
        </w:rPr>
        <w:t>投标文件关键内容模糊、无法辨认的。</w:t>
      </w:r>
    </w:p>
    <w:p>
      <w:pPr>
        <w:pStyle w:val="16"/>
        <w:spacing w:line="440" w:lineRule="exact"/>
        <w:rPr>
          <w:rFonts w:ascii="Times New Roman" w:hAnsi="Times New Roman" w:eastAsia="宋体" w:cs="宋体"/>
          <w:color w:val="000000"/>
          <w:kern w:val="0"/>
          <w:sz w:val="21"/>
          <w:szCs w:val="21"/>
        </w:rPr>
      </w:pPr>
      <w:r>
        <w:rPr>
          <w:rFonts w:hint="eastAsia" w:ascii="Times New Roman" w:hAnsi="Times New Roman" w:eastAsia="宋体" w:cs="宋体"/>
          <w:color w:val="000000"/>
          <w:kern w:val="0"/>
          <w:sz w:val="21"/>
          <w:szCs w:val="21"/>
        </w:rPr>
        <w:t>(25)</w:t>
      </w:r>
      <w:r>
        <w:rPr>
          <w:rFonts w:hint="eastAsia" w:ascii="Times New Roman" w:hAnsi="宋体" w:eastAsia="宋体" w:cs="宋体"/>
          <w:color w:val="000000"/>
          <w:kern w:val="0"/>
          <w:sz w:val="21"/>
          <w:szCs w:val="21"/>
        </w:rPr>
        <w:t>投标报价未按要求填写的。</w:t>
      </w:r>
    </w:p>
    <w:p>
      <w:pPr>
        <w:spacing w:line="440" w:lineRule="exact"/>
        <w:ind w:firstLine="420" w:firstLineChars="200"/>
        <w:rPr>
          <w:rFonts w:cs="宋体"/>
          <w:color w:val="000000"/>
          <w:kern w:val="0"/>
          <w:szCs w:val="21"/>
        </w:rPr>
      </w:pPr>
      <w:r>
        <w:rPr>
          <w:rFonts w:hint="eastAsia" w:cs="宋体"/>
          <w:color w:val="000000"/>
          <w:kern w:val="0"/>
          <w:szCs w:val="21"/>
        </w:rPr>
        <w:t xml:space="preserve">6.8 </w:t>
      </w:r>
      <w:r>
        <w:rPr>
          <w:rFonts w:hint="eastAsia" w:hAnsi="宋体" w:cs="宋体"/>
          <w:color w:val="000000"/>
          <w:kern w:val="0"/>
          <w:szCs w:val="21"/>
        </w:rPr>
        <w:t>评标委员会根据规定否决不合格投标或者界定为废标后，因有效投标不足三个使得投标明显缺乏竞争的，评标委员会可以否决全部投标。所有投标被否决的，招标人重新招标。</w:t>
      </w:r>
    </w:p>
    <w:p>
      <w:pPr>
        <w:pStyle w:val="4"/>
        <w:keepNext w:val="0"/>
        <w:keepLines w:val="0"/>
        <w:spacing w:before="0" w:after="0" w:line="440" w:lineRule="exact"/>
        <w:rPr>
          <w:rFonts w:ascii="Times New Roman" w:hAnsi="Times New Roman" w:eastAsia="宋体"/>
          <w:color w:val="000000"/>
          <w:sz w:val="21"/>
          <w:szCs w:val="21"/>
        </w:rPr>
      </w:pPr>
      <w:bookmarkStart w:id="84" w:name="_Toc398107874"/>
      <w:bookmarkStart w:id="85" w:name="_Toc9194573"/>
      <w:r>
        <w:rPr>
          <w:rFonts w:hint="eastAsia" w:ascii="Times New Roman" w:hAnsi="Times New Roman" w:eastAsia="宋体"/>
          <w:color w:val="000000"/>
          <w:sz w:val="21"/>
          <w:szCs w:val="21"/>
        </w:rPr>
        <w:t xml:space="preserve">7 </w:t>
      </w:r>
      <w:r>
        <w:rPr>
          <w:rFonts w:hint="eastAsia" w:ascii="Times New Roman" w:hAnsi="宋体" w:eastAsia="宋体"/>
          <w:color w:val="000000"/>
          <w:sz w:val="21"/>
          <w:szCs w:val="21"/>
        </w:rPr>
        <w:t>评标结果公示</w:t>
      </w:r>
      <w:bookmarkEnd w:id="84"/>
      <w:bookmarkEnd w:id="85"/>
    </w:p>
    <w:p>
      <w:pPr>
        <w:spacing w:line="440" w:lineRule="exact"/>
        <w:ind w:firstLine="420" w:firstLineChars="200"/>
        <w:rPr>
          <w:rFonts w:cs="宋体"/>
          <w:color w:val="000000"/>
          <w:kern w:val="0"/>
          <w:szCs w:val="21"/>
        </w:rPr>
      </w:pPr>
      <w:r>
        <w:rPr>
          <w:rFonts w:hint="eastAsia" w:cs="宋体"/>
          <w:color w:val="000000"/>
          <w:kern w:val="0"/>
          <w:szCs w:val="21"/>
        </w:rPr>
        <w:t xml:space="preserve">7.1 </w:t>
      </w:r>
      <w:r>
        <w:rPr>
          <w:rFonts w:hint="eastAsia" w:hAnsi="宋体" w:cs="宋体"/>
          <w:color w:val="000000"/>
          <w:kern w:val="0"/>
          <w:szCs w:val="21"/>
        </w:rPr>
        <w:t>招标人在收到评标报告后在与招标公告相同的发布媒介上对评标结果进行公示，公示期不少于</w:t>
      </w:r>
      <w:r>
        <w:rPr>
          <w:rFonts w:hint="eastAsia" w:cs="宋体"/>
          <w:color w:val="000000"/>
          <w:kern w:val="0"/>
          <w:szCs w:val="21"/>
        </w:rPr>
        <w:t>3</w:t>
      </w:r>
      <w:r>
        <w:rPr>
          <w:rFonts w:hint="eastAsia" w:hAnsi="宋体" w:cs="宋体"/>
          <w:color w:val="000000"/>
          <w:kern w:val="0"/>
          <w:szCs w:val="21"/>
        </w:rPr>
        <w:t>日。</w:t>
      </w:r>
    </w:p>
    <w:p>
      <w:pPr>
        <w:spacing w:line="440" w:lineRule="exact"/>
        <w:ind w:firstLine="420" w:firstLineChars="200"/>
        <w:rPr>
          <w:rFonts w:cs="宋体"/>
          <w:color w:val="000000"/>
          <w:kern w:val="0"/>
          <w:szCs w:val="21"/>
        </w:rPr>
      </w:pPr>
      <w:r>
        <w:rPr>
          <w:rFonts w:hint="eastAsia" w:cs="宋体"/>
          <w:color w:val="000000"/>
          <w:kern w:val="0"/>
          <w:szCs w:val="21"/>
        </w:rPr>
        <w:t xml:space="preserve">7.2 </w:t>
      </w:r>
      <w:r>
        <w:rPr>
          <w:rFonts w:hint="eastAsia" w:hAnsi="宋体" w:cs="宋体"/>
          <w:color w:val="000000"/>
          <w:kern w:val="0"/>
          <w:szCs w:val="21"/>
        </w:rPr>
        <w:t>投标人或者其他利害关系人对评标结果有异议的，应当在评标结果公示期间向招标人提出异议。招标人自收到异议之日起</w:t>
      </w:r>
      <w:r>
        <w:rPr>
          <w:rFonts w:hint="eastAsia" w:cs="宋体"/>
          <w:color w:val="000000"/>
          <w:kern w:val="0"/>
          <w:szCs w:val="21"/>
        </w:rPr>
        <w:t>3</w:t>
      </w:r>
      <w:r>
        <w:rPr>
          <w:rFonts w:hint="eastAsia" w:hAnsi="宋体" w:cs="宋体"/>
          <w:color w:val="000000"/>
          <w:kern w:val="0"/>
          <w:szCs w:val="21"/>
        </w:rPr>
        <w:t>日内作出答复，并在作出答复前暂停招标投标活动。</w:t>
      </w:r>
    </w:p>
    <w:p>
      <w:pPr>
        <w:pStyle w:val="4"/>
        <w:keepNext w:val="0"/>
        <w:keepLines w:val="0"/>
        <w:spacing w:before="0" w:after="0" w:line="440" w:lineRule="exact"/>
        <w:rPr>
          <w:rFonts w:ascii="Times New Roman" w:hAnsi="Times New Roman" w:eastAsia="宋体"/>
          <w:color w:val="000000"/>
          <w:sz w:val="21"/>
          <w:szCs w:val="21"/>
        </w:rPr>
      </w:pPr>
      <w:bookmarkStart w:id="86" w:name="_Toc9194574"/>
      <w:bookmarkStart w:id="87" w:name="_Toc398107875"/>
      <w:r>
        <w:rPr>
          <w:rFonts w:hint="eastAsia" w:ascii="Times New Roman" w:hAnsi="Times New Roman" w:eastAsia="宋体"/>
          <w:color w:val="000000"/>
          <w:sz w:val="21"/>
          <w:szCs w:val="21"/>
        </w:rPr>
        <w:t xml:space="preserve">8  </w:t>
      </w:r>
      <w:r>
        <w:rPr>
          <w:rFonts w:hint="eastAsia" w:ascii="Times New Roman" w:hAnsi="宋体" w:eastAsia="宋体"/>
          <w:color w:val="000000"/>
          <w:sz w:val="21"/>
          <w:szCs w:val="21"/>
        </w:rPr>
        <w:t>合同授予</w:t>
      </w:r>
      <w:bookmarkEnd w:id="86"/>
      <w:bookmarkEnd w:id="87"/>
    </w:p>
    <w:p>
      <w:pPr>
        <w:pStyle w:val="5"/>
        <w:keepNext w:val="0"/>
        <w:keepLines w:val="0"/>
        <w:spacing w:before="0" w:after="0" w:line="440" w:lineRule="exact"/>
        <w:rPr>
          <w:rFonts w:eastAsia="宋体"/>
          <w:color w:val="000000"/>
          <w:sz w:val="21"/>
          <w:szCs w:val="21"/>
        </w:rPr>
      </w:pPr>
      <w:bookmarkStart w:id="88" w:name="_Toc9194575"/>
      <w:bookmarkStart w:id="89" w:name="_Toc398107876"/>
      <w:r>
        <w:rPr>
          <w:rFonts w:hint="eastAsia" w:eastAsia="宋体"/>
          <w:color w:val="000000"/>
          <w:sz w:val="21"/>
          <w:szCs w:val="21"/>
        </w:rPr>
        <w:t>8.1 定标方式</w:t>
      </w:r>
      <w:bookmarkEnd w:id="88"/>
      <w:bookmarkEnd w:id="89"/>
    </w:p>
    <w:p>
      <w:pPr>
        <w:autoSpaceDE w:val="0"/>
        <w:autoSpaceDN w:val="0"/>
        <w:spacing w:line="440" w:lineRule="exact"/>
        <w:ind w:firstLine="420" w:firstLineChars="200"/>
        <w:rPr>
          <w:rFonts w:cs="宋体"/>
          <w:color w:val="000000"/>
          <w:kern w:val="0"/>
          <w:szCs w:val="21"/>
        </w:rPr>
      </w:pPr>
      <w:r>
        <w:rPr>
          <w:rFonts w:hint="eastAsia" w:hAnsi="宋体" w:cs="宋体"/>
          <w:color w:val="000000"/>
          <w:kern w:val="0"/>
          <w:szCs w:val="21"/>
        </w:rPr>
        <w:t>除投标人须知前附表规定评标委员会直接确定中标人外，招标人依据评标委员会推荐的中标候选人确定中标人，评标委员会推荐</w:t>
      </w:r>
      <w:r>
        <w:rPr>
          <w:rFonts w:hint="eastAsia" w:cs="宋体"/>
          <w:color w:val="000000"/>
          <w:kern w:val="0"/>
          <w:szCs w:val="21"/>
        </w:rPr>
        <w:t>3</w:t>
      </w:r>
      <w:r>
        <w:rPr>
          <w:rFonts w:hint="eastAsia" w:hAnsi="宋体" w:cs="宋体"/>
          <w:color w:val="000000"/>
          <w:kern w:val="0"/>
          <w:szCs w:val="21"/>
        </w:rPr>
        <w:t>名中标候选人。</w:t>
      </w:r>
    </w:p>
    <w:p>
      <w:pPr>
        <w:pStyle w:val="5"/>
        <w:keepNext w:val="0"/>
        <w:keepLines w:val="0"/>
        <w:spacing w:before="0" w:after="0" w:line="440" w:lineRule="exact"/>
        <w:rPr>
          <w:rFonts w:eastAsia="宋体"/>
          <w:color w:val="000000"/>
          <w:sz w:val="21"/>
          <w:szCs w:val="21"/>
        </w:rPr>
      </w:pPr>
      <w:bookmarkStart w:id="90" w:name="_Toc398107877"/>
      <w:bookmarkStart w:id="91" w:name="_Toc9194576"/>
      <w:r>
        <w:rPr>
          <w:rFonts w:hint="eastAsia" w:eastAsia="宋体"/>
          <w:color w:val="000000"/>
          <w:sz w:val="21"/>
          <w:szCs w:val="21"/>
        </w:rPr>
        <w:t xml:space="preserve">8.2 </w:t>
      </w:r>
      <w:r>
        <w:rPr>
          <w:rFonts w:hint="eastAsia" w:hAnsi="宋体" w:eastAsia="宋体"/>
          <w:color w:val="000000"/>
          <w:sz w:val="21"/>
          <w:szCs w:val="21"/>
        </w:rPr>
        <w:t>中标人公告及中标通知</w:t>
      </w:r>
      <w:bookmarkEnd w:id="90"/>
      <w:bookmarkEnd w:id="91"/>
    </w:p>
    <w:p>
      <w:pPr>
        <w:autoSpaceDE w:val="0"/>
        <w:autoSpaceDN w:val="0"/>
        <w:spacing w:line="440" w:lineRule="exact"/>
        <w:ind w:firstLine="420" w:firstLineChars="200"/>
        <w:rPr>
          <w:rFonts w:cs="宋体"/>
          <w:color w:val="000000"/>
          <w:kern w:val="0"/>
          <w:szCs w:val="21"/>
        </w:rPr>
      </w:pPr>
      <w:r>
        <w:rPr>
          <w:rFonts w:hint="eastAsia" w:hAnsi="宋体" w:cs="宋体"/>
          <w:color w:val="000000"/>
          <w:kern w:val="0"/>
          <w:szCs w:val="21"/>
        </w:rPr>
        <w:t>评标结果公示期间无异议的，招标人在本招标文件规定的投标有效期内将中标人名称、中标价和总监理工程师在与招标公告相同的发布媒介上予以公告，并以书面形式向中标人发出中标通知书。</w:t>
      </w:r>
    </w:p>
    <w:p>
      <w:pPr>
        <w:pStyle w:val="5"/>
        <w:keepNext w:val="0"/>
        <w:keepLines w:val="0"/>
        <w:spacing w:before="0" w:after="0" w:line="440" w:lineRule="exact"/>
        <w:rPr>
          <w:rFonts w:eastAsia="宋体"/>
          <w:color w:val="000000"/>
          <w:sz w:val="21"/>
          <w:szCs w:val="21"/>
        </w:rPr>
      </w:pPr>
      <w:bookmarkStart w:id="92" w:name="_Toc9194577"/>
      <w:bookmarkStart w:id="93" w:name="_Toc398107878"/>
      <w:r>
        <w:rPr>
          <w:rFonts w:hint="eastAsia" w:eastAsia="宋体"/>
          <w:color w:val="000000"/>
          <w:sz w:val="21"/>
          <w:szCs w:val="21"/>
        </w:rPr>
        <w:t xml:space="preserve">8.3 </w:t>
      </w:r>
      <w:r>
        <w:rPr>
          <w:rFonts w:hint="eastAsia" w:hAnsi="宋体" w:eastAsia="宋体"/>
          <w:color w:val="000000"/>
          <w:sz w:val="21"/>
          <w:szCs w:val="21"/>
        </w:rPr>
        <w:t>签订合同</w:t>
      </w:r>
      <w:bookmarkEnd w:id="92"/>
      <w:bookmarkEnd w:id="93"/>
    </w:p>
    <w:p>
      <w:pPr>
        <w:autoSpaceDE w:val="0"/>
        <w:autoSpaceDN w:val="0"/>
        <w:spacing w:line="440" w:lineRule="exact"/>
        <w:ind w:firstLine="420" w:firstLineChars="200"/>
        <w:rPr>
          <w:rFonts w:cs="宋体"/>
          <w:color w:val="000000"/>
          <w:kern w:val="0"/>
          <w:szCs w:val="21"/>
        </w:rPr>
      </w:pPr>
      <w:r>
        <w:rPr>
          <w:rFonts w:hint="eastAsia" w:cs="宋体"/>
          <w:color w:val="000000"/>
          <w:kern w:val="0"/>
          <w:szCs w:val="21"/>
        </w:rPr>
        <w:t xml:space="preserve">8.3.1 </w:t>
      </w:r>
      <w:r>
        <w:rPr>
          <w:rFonts w:hint="eastAsia" w:hAnsi="宋体" w:cs="宋体"/>
          <w:color w:val="000000"/>
          <w:kern w:val="0"/>
          <w:szCs w:val="21"/>
        </w:rPr>
        <w:t>招标人和中标人应当自中标通知书发出之日起</w:t>
      </w:r>
      <w:r>
        <w:rPr>
          <w:rFonts w:hint="eastAsia" w:cs="宋体"/>
          <w:color w:val="000000"/>
          <w:kern w:val="0"/>
          <w:szCs w:val="21"/>
        </w:rPr>
        <w:t>30</w:t>
      </w:r>
      <w:r>
        <w:rPr>
          <w:rFonts w:hint="eastAsia" w:hAnsi="宋体" w:cs="宋体"/>
          <w:color w:val="000000"/>
          <w:kern w:val="0"/>
          <w:szCs w:val="21"/>
        </w:rPr>
        <w:t>天内，根据招标文件和中标人的投标文件订立书面合同</w:t>
      </w:r>
      <w:r>
        <w:rPr>
          <w:rFonts w:hint="eastAsia" w:hAnsi="宋体" w:cs="宋体"/>
          <w:kern w:val="0"/>
          <w:szCs w:val="21"/>
        </w:rPr>
        <w:t>，签订合同前须按要求缴纳履约保证金。中标人无</w:t>
      </w:r>
      <w:r>
        <w:rPr>
          <w:rFonts w:hint="eastAsia" w:hAnsi="宋体" w:cs="宋体"/>
          <w:color w:val="000000"/>
          <w:kern w:val="0"/>
          <w:szCs w:val="21"/>
        </w:rPr>
        <w:t>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rPr>
          <w:rFonts w:cs="宋体"/>
          <w:color w:val="000000"/>
          <w:kern w:val="0"/>
          <w:szCs w:val="21"/>
        </w:rPr>
      </w:pPr>
      <w:r>
        <w:rPr>
          <w:rFonts w:hint="eastAsia" w:cs="宋体"/>
          <w:color w:val="000000"/>
          <w:kern w:val="0"/>
          <w:szCs w:val="21"/>
        </w:rPr>
        <w:t xml:space="preserve">8.3.2 </w:t>
      </w:r>
      <w:r>
        <w:rPr>
          <w:rFonts w:hint="eastAsia" w:hAnsi="宋体" w:cs="宋体"/>
          <w:color w:val="000000"/>
          <w:kern w:val="0"/>
          <w:szCs w:val="21"/>
        </w:rPr>
        <w:t>发出中标通知书后，招标人无正当理由拒签合同的，招标人向中标人退还投标保证金；给中标人造成损失的，还应当赔偿损失。</w:t>
      </w:r>
    </w:p>
    <w:p>
      <w:pPr>
        <w:pStyle w:val="4"/>
        <w:keepNext w:val="0"/>
        <w:keepLines w:val="0"/>
        <w:spacing w:before="0" w:after="0" w:line="440" w:lineRule="exact"/>
        <w:rPr>
          <w:rFonts w:ascii="Times New Roman" w:hAnsi="Times New Roman" w:eastAsia="宋体"/>
          <w:color w:val="000000"/>
          <w:sz w:val="21"/>
          <w:szCs w:val="21"/>
        </w:rPr>
      </w:pPr>
      <w:bookmarkStart w:id="94" w:name="_Toc398107879"/>
      <w:bookmarkStart w:id="95" w:name="_Toc9194578"/>
      <w:r>
        <w:rPr>
          <w:rFonts w:hint="eastAsia" w:ascii="Times New Roman" w:hAnsi="Times New Roman" w:eastAsia="宋体"/>
          <w:color w:val="000000"/>
          <w:sz w:val="21"/>
          <w:szCs w:val="21"/>
        </w:rPr>
        <w:t xml:space="preserve">9  </w:t>
      </w:r>
      <w:r>
        <w:rPr>
          <w:rFonts w:hint="eastAsia" w:ascii="Times New Roman" w:hAnsi="宋体" w:eastAsia="宋体"/>
          <w:color w:val="000000"/>
          <w:sz w:val="21"/>
          <w:szCs w:val="21"/>
        </w:rPr>
        <w:t>纪律和监督</w:t>
      </w:r>
      <w:bookmarkEnd w:id="94"/>
      <w:bookmarkEnd w:id="95"/>
    </w:p>
    <w:p>
      <w:pPr>
        <w:pStyle w:val="5"/>
        <w:keepNext w:val="0"/>
        <w:keepLines w:val="0"/>
        <w:spacing w:before="0" w:after="0" w:line="440" w:lineRule="exact"/>
        <w:rPr>
          <w:rFonts w:eastAsia="宋体"/>
          <w:color w:val="000000"/>
          <w:sz w:val="21"/>
          <w:szCs w:val="21"/>
        </w:rPr>
      </w:pPr>
      <w:bookmarkStart w:id="96" w:name="_Toc9194579"/>
      <w:bookmarkStart w:id="97" w:name="_Toc398107880"/>
      <w:r>
        <w:rPr>
          <w:rFonts w:hint="eastAsia" w:eastAsia="宋体"/>
          <w:color w:val="000000"/>
          <w:sz w:val="21"/>
          <w:szCs w:val="21"/>
        </w:rPr>
        <w:t xml:space="preserve">9.1 </w:t>
      </w:r>
      <w:r>
        <w:rPr>
          <w:rFonts w:hint="eastAsia" w:hAnsi="宋体" w:eastAsia="宋体"/>
          <w:color w:val="000000"/>
          <w:sz w:val="21"/>
          <w:szCs w:val="21"/>
        </w:rPr>
        <w:t>对招标人的纪律要求</w:t>
      </w:r>
      <w:bookmarkEnd w:id="96"/>
      <w:bookmarkEnd w:id="97"/>
    </w:p>
    <w:p>
      <w:pPr>
        <w:autoSpaceDE w:val="0"/>
        <w:autoSpaceDN w:val="0"/>
        <w:spacing w:line="440" w:lineRule="exact"/>
        <w:ind w:firstLine="420" w:firstLineChars="200"/>
        <w:rPr>
          <w:rFonts w:cs="宋体"/>
          <w:color w:val="000000"/>
          <w:kern w:val="0"/>
          <w:szCs w:val="21"/>
        </w:rPr>
      </w:pPr>
      <w:r>
        <w:rPr>
          <w:rFonts w:hint="eastAsia" w:hAnsi="宋体" w:cs="宋体"/>
          <w:color w:val="000000"/>
          <w:kern w:val="0"/>
          <w:szCs w:val="21"/>
        </w:rPr>
        <w:t>招标人不得泄漏招标投标活动中应当保密的情况和资料，不得与投标人串通损害国家利益、社会公共利益或者他人合法权益。</w:t>
      </w:r>
    </w:p>
    <w:p>
      <w:pPr>
        <w:pStyle w:val="5"/>
        <w:keepNext w:val="0"/>
        <w:keepLines w:val="0"/>
        <w:spacing w:before="0" w:after="0" w:line="440" w:lineRule="exact"/>
        <w:rPr>
          <w:rFonts w:eastAsia="宋体"/>
          <w:color w:val="000000"/>
          <w:sz w:val="21"/>
          <w:szCs w:val="21"/>
        </w:rPr>
      </w:pPr>
      <w:bookmarkStart w:id="98" w:name="_Toc9194580"/>
      <w:bookmarkStart w:id="99" w:name="_Toc398107881"/>
      <w:r>
        <w:rPr>
          <w:rFonts w:hint="eastAsia" w:eastAsia="宋体"/>
          <w:color w:val="000000"/>
          <w:sz w:val="21"/>
          <w:szCs w:val="21"/>
        </w:rPr>
        <w:t xml:space="preserve">9.2 </w:t>
      </w:r>
      <w:r>
        <w:rPr>
          <w:rFonts w:hint="eastAsia" w:hAnsi="宋体" w:eastAsia="宋体"/>
          <w:color w:val="000000"/>
          <w:sz w:val="21"/>
          <w:szCs w:val="21"/>
        </w:rPr>
        <w:t>对投标人的纪律要求</w:t>
      </w:r>
      <w:bookmarkEnd w:id="98"/>
      <w:bookmarkEnd w:id="99"/>
    </w:p>
    <w:p>
      <w:pPr>
        <w:autoSpaceDE w:val="0"/>
        <w:autoSpaceDN w:val="0"/>
        <w:spacing w:line="440" w:lineRule="exact"/>
        <w:ind w:firstLine="420" w:firstLineChars="200"/>
        <w:rPr>
          <w:rFonts w:cs="宋体"/>
          <w:color w:val="000000"/>
          <w:kern w:val="0"/>
          <w:szCs w:val="21"/>
        </w:rPr>
      </w:pPr>
      <w:r>
        <w:rPr>
          <w:rFonts w:hint="eastAsia" w:hAnsi="宋体" w:cs="宋体"/>
          <w:color w:val="00000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5"/>
        <w:keepNext w:val="0"/>
        <w:keepLines w:val="0"/>
        <w:spacing w:before="0" w:after="0" w:line="440" w:lineRule="exact"/>
        <w:rPr>
          <w:rFonts w:eastAsia="宋体"/>
          <w:color w:val="000000"/>
          <w:sz w:val="21"/>
          <w:szCs w:val="21"/>
        </w:rPr>
      </w:pPr>
      <w:bookmarkStart w:id="100" w:name="_Toc398107882"/>
      <w:bookmarkStart w:id="101" w:name="_Toc9194581"/>
      <w:r>
        <w:rPr>
          <w:rFonts w:hint="eastAsia" w:eastAsia="宋体"/>
          <w:color w:val="000000"/>
          <w:sz w:val="21"/>
          <w:szCs w:val="21"/>
        </w:rPr>
        <w:t xml:space="preserve">9.3 </w:t>
      </w:r>
      <w:r>
        <w:rPr>
          <w:rFonts w:hint="eastAsia" w:hAnsi="宋体" w:eastAsia="宋体"/>
          <w:color w:val="000000"/>
          <w:sz w:val="21"/>
          <w:szCs w:val="21"/>
        </w:rPr>
        <w:t>对评标委员会成员的纪律要求</w:t>
      </w:r>
      <w:bookmarkEnd w:id="100"/>
      <w:bookmarkEnd w:id="101"/>
    </w:p>
    <w:p>
      <w:pPr>
        <w:autoSpaceDE w:val="0"/>
        <w:autoSpaceDN w:val="0"/>
        <w:spacing w:line="440" w:lineRule="exact"/>
        <w:ind w:firstLine="420" w:firstLineChars="200"/>
        <w:rPr>
          <w:rFonts w:cs="宋体"/>
          <w:color w:val="000000"/>
          <w:kern w:val="0"/>
          <w:szCs w:val="21"/>
        </w:rPr>
      </w:pPr>
      <w:r>
        <w:rPr>
          <w:rFonts w:hint="eastAsia" w:hAnsi="宋体" w:cs="宋体"/>
          <w:color w:val="00000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招标文件规定以外的评审因素和标准进行评标。</w:t>
      </w:r>
    </w:p>
    <w:p>
      <w:pPr>
        <w:pStyle w:val="5"/>
        <w:keepNext w:val="0"/>
        <w:keepLines w:val="0"/>
        <w:spacing w:before="0" w:after="0" w:line="440" w:lineRule="exact"/>
        <w:rPr>
          <w:rFonts w:eastAsia="宋体"/>
          <w:color w:val="000000"/>
          <w:sz w:val="21"/>
          <w:szCs w:val="21"/>
        </w:rPr>
      </w:pPr>
      <w:bookmarkStart w:id="102" w:name="_Toc9194582"/>
      <w:bookmarkStart w:id="103" w:name="_Toc398107883"/>
      <w:r>
        <w:rPr>
          <w:rFonts w:hint="eastAsia" w:eastAsia="宋体"/>
          <w:color w:val="000000"/>
          <w:sz w:val="21"/>
          <w:szCs w:val="21"/>
        </w:rPr>
        <w:t xml:space="preserve">9.4 </w:t>
      </w:r>
      <w:r>
        <w:rPr>
          <w:rFonts w:hint="eastAsia" w:hAnsi="宋体" w:eastAsia="宋体"/>
          <w:color w:val="000000"/>
          <w:sz w:val="21"/>
          <w:szCs w:val="21"/>
        </w:rPr>
        <w:t>对与评标活动有关的工作人员的纪律要求</w:t>
      </w:r>
      <w:bookmarkEnd w:id="102"/>
      <w:bookmarkEnd w:id="103"/>
    </w:p>
    <w:p>
      <w:pPr>
        <w:autoSpaceDE w:val="0"/>
        <w:autoSpaceDN w:val="0"/>
        <w:spacing w:line="440" w:lineRule="exact"/>
        <w:ind w:firstLine="420" w:firstLineChars="200"/>
        <w:rPr>
          <w:rFonts w:cs="宋体"/>
          <w:color w:val="000000"/>
          <w:kern w:val="0"/>
          <w:szCs w:val="21"/>
        </w:rPr>
      </w:pPr>
      <w:r>
        <w:rPr>
          <w:rFonts w:hint="eastAsia" w:hAnsi="宋体" w:cs="宋体"/>
          <w:color w:val="00000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5"/>
        <w:keepNext w:val="0"/>
        <w:keepLines w:val="0"/>
        <w:spacing w:before="0" w:after="0" w:line="440" w:lineRule="exact"/>
        <w:rPr>
          <w:rFonts w:eastAsia="宋体"/>
          <w:color w:val="000000"/>
          <w:sz w:val="21"/>
          <w:szCs w:val="21"/>
        </w:rPr>
      </w:pPr>
      <w:bookmarkStart w:id="104" w:name="_Toc398107884"/>
      <w:bookmarkStart w:id="105" w:name="_Toc9194583"/>
      <w:r>
        <w:rPr>
          <w:rFonts w:hint="eastAsia" w:eastAsia="宋体"/>
          <w:color w:val="000000"/>
          <w:sz w:val="21"/>
          <w:szCs w:val="21"/>
        </w:rPr>
        <w:t xml:space="preserve">9.5 </w:t>
      </w:r>
      <w:r>
        <w:rPr>
          <w:rFonts w:hint="eastAsia" w:hAnsi="宋体" w:eastAsia="宋体"/>
          <w:color w:val="000000"/>
          <w:sz w:val="21"/>
          <w:szCs w:val="21"/>
        </w:rPr>
        <w:t>投诉</w:t>
      </w:r>
      <w:bookmarkEnd w:id="104"/>
      <w:bookmarkEnd w:id="105"/>
    </w:p>
    <w:p>
      <w:pPr>
        <w:autoSpaceDE w:val="0"/>
        <w:autoSpaceDN w:val="0"/>
        <w:spacing w:line="440" w:lineRule="exact"/>
        <w:ind w:firstLine="420" w:firstLineChars="200"/>
        <w:rPr>
          <w:rFonts w:cs="宋体"/>
          <w:color w:val="000000"/>
          <w:kern w:val="0"/>
          <w:szCs w:val="21"/>
        </w:rPr>
      </w:pPr>
      <w:r>
        <w:rPr>
          <w:rFonts w:hint="eastAsia" w:hAnsi="宋体" w:cs="宋体"/>
          <w:color w:val="000000"/>
          <w:kern w:val="0"/>
          <w:szCs w:val="21"/>
        </w:rPr>
        <w:t>投标人和其他利害关系人认为本次招标活动违反法律、法规和规章规定的，有权向有关行政监督部门投诉。投标人或者其他利害关系人就资格预审文件、招标文件、开标、评标结果事项投诉的，应当先向招标人提出异议。</w:t>
      </w:r>
    </w:p>
    <w:p>
      <w:pPr>
        <w:pStyle w:val="4"/>
        <w:keepNext w:val="0"/>
        <w:keepLines w:val="0"/>
        <w:spacing w:before="0" w:after="0" w:line="440" w:lineRule="exact"/>
        <w:rPr>
          <w:rFonts w:ascii="Times New Roman" w:hAnsi="Times New Roman" w:eastAsia="宋体"/>
          <w:color w:val="000000"/>
          <w:sz w:val="21"/>
          <w:szCs w:val="21"/>
        </w:rPr>
      </w:pPr>
      <w:bookmarkStart w:id="106" w:name="_Toc9194584"/>
      <w:bookmarkStart w:id="107" w:name="_Toc398107885"/>
      <w:r>
        <w:rPr>
          <w:rFonts w:hint="eastAsia" w:ascii="Times New Roman" w:hAnsi="Times New Roman" w:eastAsia="宋体"/>
          <w:color w:val="000000"/>
          <w:sz w:val="21"/>
          <w:szCs w:val="21"/>
        </w:rPr>
        <w:t xml:space="preserve">10 </w:t>
      </w:r>
      <w:r>
        <w:rPr>
          <w:rFonts w:hint="eastAsia" w:ascii="Times New Roman" w:hAnsi="宋体" w:eastAsia="宋体"/>
          <w:color w:val="000000"/>
          <w:sz w:val="21"/>
          <w:szCs w:val="21"/>
        </w:rPr>
        <w:t>需要补充的其他内容</w:t>
      </w:r>
      <w:bookmarkEnd w:id="106"/>
      <w:bookmarkEnd w:id="107"/>
    </w:p>
    <w:p>
      <w:pPr>
        <w:spacing w:line="440" w:lineRule="exact"/>
        <w:ind w:firstLine="420" w:firstLineChars="200"/>
        <w:rPr>
          <w:szCs w:val="21"/>
        </w:rPr>
      </w:pPr>
      <w:r>
        <w:rPr>
          <w:rFonts w:hint="eastAsia" w:hAnsi="宋体" w:cs="宋体"/>
          <w:color w:val="000000"/>
          <w:kern w:val="0"/>
          <w:szCs w:val="21"/>
        </w:rPr>
        <w:t>需要补充的其他内容：见投标人须知前附表。</w:t>
      </w:r>
      <w:bookmarkStart w:id="108" w:name="_Toc9194585"/>
      <w:bookmarkStart w:id="109" w:name="_Toc152045600"/>
      <w:bookmarkStart w:id="110" w:name="_Toc144974567"/>
      <w:bookmarkStart w:id="111" w:name="_Toc152042377"/>
      <w:bookmarkStart w:id="112" w:name="_Toc179632618"/>
    </w:p>
    <w:p>
      <w:pPr>
        <w:pStyle w:val="3"/>
        <w:keepNext w:val="0"/>
        <w:keepLines w:val="0"/>
        <w:spacing w:before="0" w:after="0" w:line="360" w:lineRule="auto"/>
        <w:rPr>
          <w:sz w:val="21"/>
          <w:szCs w:val="21"/>
        </w:rPr>
        <w:sectPr>
          <w:pgSz w:w="11906" w:h="16838"/>
          <w:pgMar w:top="1440" w:right="1230" w:bottom="1440" w:left="1230" w:header="851" w:footer="992" w:gutter="0"/>
          <w:pgNumType w:start="1"/>
          <w:cols w:space="720" w:num="1"/>
          <w:docGrid w:type="lines" w:linePitch="312" w:charSpace="0"/>
        </w:sectPr>
      </w:pPr>
    </w:p>
    <w:p>
      <w:pPr>
        <w:pStyle w:val="3"/>
        <w:keepNext w:val="0"/>
        <w:keepLines w:val="0"/>
        <w:spacing w:before="0" w:after="0" w:line="600" w:lineRule="auto"/>
        <w:jc w:val="center"/>
        <w:rPr>
          <w:sz w:val="36"/>
        </w:rPr>
      </w:pPr>
      <w:r>
        <w:rPr>
          <w:rFonts w:hint="eastAsia" w:hAnsi="宋体"/>
          <w:sz w:val="36"/>
        </w:rPr>
        <w:t>第二章评标办法</w:t>
      </w:r>
      <w:bookmarkEnd w:id="108"/>
      <w:bookmarkStart w:id="113" w:name="_Toc152042376"/>
      <w:bookmarkStart w:id="114" w:name="_Toc144974566"/>
      <w:bookmarkStart w:id="115" w:name="_Toc179632617"/>
      <w:bookmarkStart w:id="116" w:name="_Toc152045599"/>
    </w:p>
    <w:p>
      <w:pPr>
        <w:spacing w:line="360" w:lineRule="auto"/>
        <w:ind w:firstLine="420" w:firstLineChars="200"/>
      </w:pPr>
      <w:r>
        <w:rPr>
          <w:rFonts w:hint="eastAsia" w:hAnsi="宋体"/>
        </w:rPr>
        <w:t>本次招标投标遵循公开、公平、诚实信用的原则，根据《中华人民共和国招标投标法》及《评标委员会和评标方法暂行规定》的有关规定，评标委员会从投标人的资格及服务价格方面选择监理单位。</w:t>
      </w:r>
    </w:p>
    <w:p>
      <w:pPr>
        <w:spacing w:line="460" w:lineRule="exact"/>
        <w:ind w:firstLine="422" w:firstLineChars="200"/>
        <w:rPr>
          <w:b/>
        </w:rPr>
      </w:pPr>
      <w:r>
        <w:rPr>
          <w:rFonts w:hint="eastAsia" w:hAnsi="Cambria Math"/>
          <w:b/>
        </w:rPr>
        <w:t>每个投标人在递交投标文件的同时，由授权委托人当场出示授权委托书原件和本人身份证原件；如为法定代表人参加投标，则须由法定代表人当场出示法定代表人身份证明原件和本人身份证原件，准时参加开标会议，否则，其投标文件不予接受。</w:t>
      </w:r>
    </w:p>
    <w:p>
      <w:pPr>
        <w:spacing w:line="460" w:lineRule="exact"/>
        <w:ind w:firstLine="422" w:firstLineChars="200"/>
      </w:pPr>
      <w:r>
        <w:rPr>
          <w:rFonts w:hint="eastAsia" w:hAnsi="Cambria Math" w:cs="宋体"/>
          <w:b/>
          <w:bCs/>
        </w:rPr>
        <w:t>注：除投标文件的资格审查文件中要求提供法定代表人身份证明（或授权委托书）须按招标文件要求装订并密封。投标人递交投标文件的同时递交的法定代表人身份证明（或授权委托书）由投标人另行单独提供，无须密封。</w:t>
      </w:r>
    </w:p>
    <w:bookmarkEnd w:id="109"/>
    <w:bookmarkEnd w:id="110"/>
    <w:bookmarkEnd w:id="111"/>
    <w:bookmarkEnd w:id="112"/>
    <w:bookmarkEnd w:id="113"/>
    <w:bookmarkEnd w:id="114"/>
    <w:bookmarkEnd w:id="115"/>
    <w:bookmarkEnd w:id="116"/>
    <w:p>
      <w:pPr>
        <w:spacing w:line="360" w:lineRule="auto"/>
        <w:ind w:firstLine="482"/>
        <w:rPr>
          <w:rFonts w:cs="宋体"/>
          <w:b/>
          <w:bCs/>
          <w:kern w:val="0"/>
        </w:rPr>
      </w:pPr>
      <w:r>
        <w:rPr>
          <w:rFonts w:hint="eastAsia" w:hAnsi="宋体" w:cs="宋体"/>
          <w:b/>
          <w:bCs/>
          <w:kern w:val="0"/>
        </w:rPr>
        <w:t>一、本工程采用价格单因素评标办法，且采用资格后审，具体资格审查及评标细则如下：</w:t>
      </w:r>
    </w:p>
    <w:p>
      <w:pPr>
        <w:spacing w:line="360" w:lineRule="auto"/>
        <w:ind w:firstLine="482"/>
        <w:rPr>
          <w:rFonts w:hAnsi="宋体" w:cs="宋体"/>
          <w:kern w:val="0"/>
        </w:rPr>
      </w:pPr>
      <w:r>
        <w:rPr>
          <w:rFonts w:hint="eastAsia" w:hAnsi="宋体" w:cs="宋体"/>
          <w:kern w:val="0"/>
        </w:rPr>
        <w:t>（一）评标程序</w:t>
      </w:r>
    </w:p>
    <w:p>
      <w:pPr>
        <w:adjustRightInd w:val="0"/>
        <w:snapToGrid w:val="0"/>
        <w:spacing w:line="360" w:lineRule="auto"/>
        <w:ind w:firstLine="630" w:firstLineChars="300"/>
        <w:jc w:val="left"/>
        <w:rPr>
          <w:rFonts w:hint="eastAsia" w:hAnsi="宋体" w:cs="宋体"/>
          <w:kern w:val="0"/>
        </w:rPr>
      </w:pPr>
      <w:r>
        <w:rPr>
          <w:rFonts w:hint="eastAsia" w:hAnsi="宋体" w:cs="宋体"/>
          <w:kern w:val="0"/>
        </w:rPr>
        <w:t>资格符合性评审→商务标开标→商务标评审→确定中标候选人</w:t>
      </w:r>
    </w:p>
    <w:p>
      <w:pPr>
        <w:adjustRightInd w:val="0"/>
        <w:snapToGrid w:val="0"/>
        <w:spacing w:line="360" w:lineRule="auto"/>
        <w:ind w:firstLine="630" w:firstLineChars="300"/>
        <w:jc w:val="left"/>
        <w:rPr>
          <w:rFonts w:hint="eastAsia" w:hAnsi="宋体" w:cs="宋体"/>
          <w:kern w:val="0"/>
        </w:rPr>
      </w:pPr>
      <w:r>
        <w:rPr>
          <w:rFonts w:hint="eastAsia" w:hAnsi="宋体" w:cs="宋体"/>
          <w:kern w:val="0"/>
        </w:rPr>
        <w:t>（二）评审标准</w:t>
      </w:r>
    </w:p>
    <w:p>
      <w:pPr>
        <w:adjustRightInd w:val="0"/>
        <w:snapToGrid w:val="0"/>
        <w:spacing w:line="360" w:lineRule="auto"/>
        <w:ind w:firstLine="630" w:firstLineChars="300"/>
        <w:jc w:val="left"/>
        <w:rPr>
          <w:rFonts w:cs="宋体"/>
          <w:b/>
          <w:bCs/>
          <w:kern w:val="0"/>
        </w:rPr>
      </w:pPr>
      <w:r>
        <w:rPr>
          <w:rFonts w:hint="eastAsia" w:hAnsi="宋体" w:cs="宋体"/>
          <w:kern w:val="0"/>
        </w:rPr>
        <w:t>评标委员会将按评审标准、资格评审标准的合格条件，对各投标人递交的资格审查书面资料进行评审，并公布资格审查合格者名单。</w:t>
      </w:r>
    </w:p>
    <w:p>
      <w:pPr>
        <w:spacing w:line="360" w:lineRule="auto"/>
        <w:ind w:firstLine="420" w:firstLineChars="200"/>
        <w:jc w:val="left"/>
        <w:rPr>
          <w:rFonts w:cs="宋体"/>
          <w:kern w:val="0"/>
        </w:rPr>
      </w:pPr>
      <w:r>
        <w:rPr>
          <w:rFonts w:hint="eastAsia" w:cs="宋体"/>
          <w:kern w:val="0"/>
        </w:rPr>
        <w:t>1</w:t>
      </w:r>
      <w:r>
        <w:rPr>
          <w:rFonts w:hint="eastAsia" w:hAnsi="宋体" w:cs="宋体"/>
          <w:kern w:val="0"/>
        </w:rPr>
        <w:t>、资格符合性评审</w:t>
      </w:r>
    </w:p>
    <w:p>
      <w:pPr>
        <w:adjustRightInd w:val="0"/>
        <w:snapToGrid w:val="0"/>
        <w:spacing w:line="360" w:lineRule="auto"/>
        <w:ind w:firstLine="422" w:firstLineChars="200"/>
        <w:jc w:val="center"/>
        <w:rPr>
          <w:rFonts w:cs="宋体"/>
          <w:kern w:val="0"/>
        </w:rPr>
      </w:pPr>
      <w:r>
        <w:rPr>
          <w:rFonts w:hAnsi="宋体" w:cs="宋体"/>
          <w:b/>
          <w:kern w:val="0"/>
        </w:rPr>
        <w:t>资格审查标准汇总表</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696"/>
        <w:gridCol w:w="3375"/>
        <w:gridCol w:w="3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991" w:type="dxa"/>
            <w:vAlign w:val="center"/>
          </w:tcPr>
          <w:p>
            <w:pPr>
              <w:adjustRightInd w:val="0"/>
              <w:snapToGrid w:val="0"/>
              <w:spacing w:line="288" w:lineRule="auto"/>
              <w:jc w:val="center"/>
              <w:rPr>
                <w:rFonts w:cs="宋体"/>
                <w:kern w:val="0"/>
                <w:szCs w:val="22"/>
              </w:rPr>
            </w:pPr>
            <w:r>
              <w:rPr>
                <w:rFonts w:hint="eastAsia" w:hAnsi="宋体" w:cs="宋体"/>
                <w:kern w:val="0"/>
                <w:szCs w:val="22"/>
              </w:rPr>
              <w:t>序号</w:t>
            </w:r>
          </w:p>
        </w:tc>
        <w:tc>
          <w:tcPr>
            <w:tcW w:w="1696" w:type="dxa"/>
            <w:vAlign w:val="center"/>
          </w:tcPr>
          <w:p>
            <w:pPr>
              <w:adjustRightInd w:val="0"/>
              <w:snapToGrid w:val="0"/>
              <w:spacing w:line="288" w:lineRule="auto"/>
              <w:jc w:val="center"/>
              <w:rPr>
                <w:rFonts w:cs="宋体"/>
                <w:kern w:val="0"/>
                <w:szCs w:val="22"/>
              </w:rPr>
            </w:pPr>
            <w:r>
              <w:rPr>
                <w:rFonts w:hint="eastAsia" w:hAnsi="宋体" w:cs="宋体"/>
                <w:kern w:val="0"/>
                <w:szCs w:val="22"/>
              </w:rPr>
              <w:t>项目内容</w:t>
            </w:r>
          </w:p>
        </w:tc>
        <w:tc>
          <w:tcPr>
            <w:tcW w:w="3375" w:type="dxa"/>
            <w:vAlign w:val="center"/>
          </w:tcPr>
          <w:p>
            <w:pPr>
              <w:adjustRightInd w:val="0"/>
              <w:snapToGrid w:val="0"/>
              <w:spacing w:line="288" w:lineRule="auto"/>
              <w:jc w:val="center"/>
              <w:rPr>
                <w:rFonts w:cs="宋体"/>
                <w:kern w:val="0"/>
                <w:szCs w:val="22"/>
              </w:rPr>
            </w:pPr>
            <w:r>
              <w:rPr>
                <w:rFonts w:hint="eastAsia" w:hAnsi="宋体" w:cs="宋体"/>
                <w:kern w:val="0"/>
                <w:szCs w:val="22"/>
              </w:rPr>
              <w:t>合格条件</w:t>
            </w:r>
          </w:p>
        </w:tc>
        <w:tc>
          <w:tcPr>
            <w:tcW w:w="3179" w:type="dxa"/>
            <w:vAlign w:val="center"/>
          </w:tcPr>
          <w:p>
            <w:pPr>
              <w:adjustRightInd w:val="0"/>
              <w:snapToGrid w:val="0"/>
              <w:spacing w:line="288" w:lineRule="auto"/>
              <w:jc w:val="center"/>
              <w:rPr>
                <w:rFonts w:cs="宋体"/>
                <w:kern w:val="0"/>
                <w:szCs w:val="22"/>
              </w:rPr>
            </w:pPr>
            <w:r>
              <w:rPr>
                <w:rFonts w:hint="eastAsia" w:hAnsi="宋体" w:cs="宋体"/>
                <w:kern w:val="0"/>
                <w:szCs w:val="22"/>
              </w:rPr>
              <w:t>投标人需提供</w:t>
            </w:r>
          </w:p>
          <w:p>
            <w:pPr>
              <w:adjustRightInd w:val="0"/>
              <w:snapToGrid w:val="0"/>
              <w:spacing w:line="288" w:lineRule="auto"/>
              <w:jc w:val="center"/>
              <w:rPr>
                <w:rFonts w:cs="宋体"/>
                <w:kern w:val="0"/>
                <w:szCs w:val="22"/>
              </w:rPr>
            </w:pPr>
            <w:r>
              <w:rPr>
                <w:rFonts w:hint="eastAsia" w:hAnsi="宋体" w:cs="宋体"/>
                <w:kern w:val="0"/>
                <w:szCs w:val="22"/>
              </w:rPr>
              <w:t>的材料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991" w:type="dxa"/>
            <w:vAlign w:val="center"/>
          </w:tcPr>
          <w:p>
            <w:pPr>
              <w:adjustRightInd w:val="0"/>
              <w:snapToGrid w:val="0"/>
              <w:spacing w:line="288" w:lineRule="auto"/>
              <w:jc w:val="center"/>
              <w:rPr>
                <w:rFonts w:cs="宋体"/>
                <w:kern w:val="0"/>
                <w:szCs w:val="22"/>
              </w:rPr>
            </w:pPr>
            <w:r>
              <w:rPr>
                <w:rFonts w:hint="eastAsia" w:cs="宋体"/>
                <w:kern w:val="0"/>
                <w:szCs w:val="22"/>
              </w:rPr>
              <w:t>1</w:t>
            </w:r>
          </w:p>
        </w:tc>
        <w:tc>
          <w:tcPr>
            <w:tcW w:w="1696" w:type="dxa"/>
            <w:vAlign w:val="center"/>
          </w:tcPr>
          <w:p>
            <w:pPr>
              <w:adjustRightInd w:val="0"/>
              <w:snapToGrid w:val="0"/>
              <w:spacing w:line="288" w:lineRule="auto"/>
              <w:jc w:val="center"/>
              <w:rPr>
                <w:rFonts w:cs="宋体"/>
                <w:kern w:val="0"/>
                <w:szCs w:val="22"/>
              </w:rPr>
            </w:pPr>
            <w:r>
              <w:rPr>
                <w:rFonts w:hint="eastAsia" w:hAnsi="宋体" w:cs="宋体"/>
                <w:szCs w:val="22"/>
              </w:rPr>
              <w:t>法定代表人证明书或法人授权委托书</w:t>
            </w:r>
          </w:p>
        </w:tc>
        <w:tc>
          <w:tcPr>
            <w:tcW w:w="3375" w:type="dxa"/>
            <w:vAlign w:val="center"/>
          </w:tcPr>
          <w:p>
            <w:pPr>
              <w:adjustRightInd w:val="0"/>
              <w:snapToGrid w:val="0"/>
              <w:spacing w:line="288" w:lineRule="auto"/>
              <w:jc w:val="center"/>
              <w:rPr>
                <w:rFonts w:cs="宋体"/>
                <w:kern w:val="0"/>
                <w:szCs w:val="22"/>
              </w:rPr>
            </w:pPr>
            <w:r>
              <w:rPr>
                <w:rFonts w:hint="eastAsia" w:hAnsi="宋体" w:cs="宋体"/>
                <w:kern w:val="0"/>
                <w:szCs w:val="22"/>
              </w:rPr>
              <w:t>法定代表人参加开标的提供法定代表人身份证明书，委托代理人参加开标的提供法人授权委托书</w:t>
            </w:r>
          </w:p>
        </w:tc>
        <w:tc>
          <w:tcPr>
            <w:tcW w:w="3179" w:type="dxa"/>
            <w:vAlign w:val="center"/>
          </w:tcPr>
          <w:p>
            <w:pPr>
              <w:adjustRightInd w:val="0"/>
              <w:snapToGrid w:val="0"/>
              <w:spacing w:line="288" w:lineRule="auto"/>
              <w:jc w:val="center"/>
              <w:rPr>
                <w:rFonts w:cs="宋体"/>
                <w:kern w:val="0"/>
                <w:szCs w:val="22"/>
              </w:rPr>
            </w:pPr>
            <w:r>
              <w:rPr>
                <w:rFonts w:hint="eastAsia" w:hAnsi="宋体" w:cs="宋体"/>
                <w:szCs w:val="22"/>
              </w:rPr>
              <w:t>有效的法定代表人证明书或法人授权委托书（参加开标人员身份证原件随身携带）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2</w:t>
            </w:r>
          </w:p>
        </w:tc>
        <w:tc>
          <w:tcPr>
            <w:tcW w:w="1696" w:type="dxa"/>
            <w:vAlign w:val="center"/>
          </w:tcPr>
          <w:p>
            <w:pPr>
              <w:adjustRightInd w:val="0"/>
              <w:snapToGrid w:val="0"/>
              <w:spacing w:line="288" w:lineRule="auto"/>
              <w:rPr>
                <w:rFonts w:cs="宋体"/>
                <w:szCs w:val="22"/>
              </w:rPr>
            </w:pPr>
            <w:r>
              <w:rPr>
                <w:rFonts w:hint="eastAsia" w:hAnsi="宋体" w:cs="宋体"/>
                <w:szCs w:val="22"/>
              </w:rPr>
              <w:t>企业法人营业执照</w:t>
            </w:r>
          </w:p>
        </w:tc>
        <w:tc>
          <w:tcPr>
            <w:tcW w:w="3375" w:type="dxa"/>
            <w:vAlign w:val="center"/>
          </w:tcPr>
          <w:p>
            <w:pPr>
              <w:adjustRightInd w:val="0"/>
              <w:snapToGrid w:val="0"/>
              <w:spacing w:line="288" w:lineRule="auto"/>
              <w:rPr>
                <w:rFonts w:cs="宋体"/>
                <w:szCs w:val="22"/>
              </w:rPr>
            </w:pPr>
            <w:r>
              <w:rPr>
                <w:rFonts w:hint="eastAsia" w:hAnsi="宋体" w:cs="宋体"/>
                <w:szCs w:val="22"/>
              </w:rPr>
              <w:t>行政管理部门颁发的有效的企业法人营业执照</w:t>
            </w:r>
          </w:p>
        </w:tc>
        <w:tc>
          <w:tcPr>
            <w:tcW w:w="3179" w:type="dxa"/>
            <w:vAlign w:val="center"/>
          </w:tcPr>
          <w:p>
            <w:pPr>
              <w:adjustRightInd w:val="0"/>
              <w:snapToGrid w:val="0"/>
              <w:spacing w:line="288" w:lineRule="auto"/>
              <w:rPr>
                <w:rFonts w:cs="宋体"/>
                <w:szCs w:val="22"/>
              </w:rPr>
            </w:pPr>
            <w:r>
              <w:rPr>
                <w:rFonts w:hint="eastAsia" w:hAnsi="宋体" w:cs="宋体"/>
                <w:szCs w:val="22"/>
              </w:rPr>
              <w:t>有效的企业营业执照（副本）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3"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3</w:t>
            </w:r>
          </w:p>
        </w:tc>
        <w:tc>
          <w:tcPr>
            <w:tcW w:w="1696" w:type="dxa"/>
            <w:vAlign w:val="center"/>
          </w:tcPr>
          <w:p>
            <w:pPr>
              <w:adjustRightInd w:val="0"/>
              <w:snapToGrid w:val="0"/>
              <w:spacing w:line="288" w:lineRule="auto"/>
              <w:rPr>
                <w:rFonts w:cs="宋体"/>
                <w:szCs w:val="22"/>
              </w:rPr>
            </w:pPr>
            <w:r>
              <w:rPr>
                <w:rFonts w:hint="eastAsia" w:hAnsi="宋体" w:cs="宋体"/>
                <w:szCs w:val="22"/>
              </w:rPr>
              <w:t>企业资质类别等级</w:t>
            </w:r>
          </w:p>
        </w:tc>
        <w:tc>
          <w:tcPr>
            <w:tcW w:w="3375" w:type="dxa"/>
            <w:vAlign w:val="center"/>
          </w:tcPr>
          <w:p>
            <w:pPr>
              <w:adjustRightInd w:val="0"/>
              <w:snapToGrid w:val="0"/>
              <w:spacing w:line="288" w:lineRule="auto"/>
              <w:rPr>
                <w:rFonts w:cs="宋体"/>
                <w:szCs w:val="22"/>
              </w:rPr>
            </w:pPr>
            <w:r>
              <w:rPr>
                <w:rFonts w:hint="eastAsia" w:hAnsi="宋体" w:cs="宋体"/>
                <w:szCs w:val="22"/>
              </w:rPr>
              <w:t>建设部核发的工程监理综合资质或房屋建筑工程监理乙级及以上资质</w:t>
            </w:r>
          </w:p>
        </w:tc>
        <w:tc>
          <w:tcPr>
            <w:tcW w:w="3179" w:type="dxa"/>
            <w:vAlign w:val="center"/>
          </w:tcPr>
          <w:p>
            <w:pPr>
              <w:adjustRightInd w:val="0"/>
              <w:snapToGrid w:val="0"/>
              <w:spacing w:line="288" w:lineRule="auto"/>
              <w:rPr>
                <w:rFonts w:cs="宋体"/>
                <w:szCs w:val="22"/>
              </w:rPr>
            </w:pPr>
            <w:r>
              <w:rPr>
                <w:rFonts w:hint="eastAsia" w:hAnsi="宋体" w:cs="宋体"/>
                <w:szCs w:val="22"/>
              </w:rPr>
              <w:t>有效的企业资质证书（副本）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1"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4</w:t>
            </w:r>
          </w:p>
        </w:tc>
        <w:tc>
          <w:tcPr>
            <w:tcW w:w="1696" w:type="dxa"/>
            <w:vAlign w:val="center"/>
          </w:tcPr>
          <w:p>
            <w:pPr>
              <w:adjustRightInd w:val="0"/>
              <w:snapToGrid w:val="0"/>
              <w:spacing w:line="288" w:lineRule="auto"/>
              <w:rPr>
                <w:rFonts w:hAnsi="宋体" w:cs="宋体"/>
                <w:szCs w:val="22"/>
              </w:rPr>
            </w:pPr>
            <w:r>
              <w:rPr>
                <w:rFonts w:hint="eastAsia" w:hAnsi="宋体" w:cs="宋体"/>
                <w:szCs w:val="22"/>
              </w:rPr>
              <w:t>拟派总监理工程师业绩</w:t>
            </w:r>
          </w:p>
        </w:tc>
        <w:tc>
          <w:tcPr>
            <w:tcW w:w="3375" w:type="dxa"/>
            <w:vAlign w:val="center"/>
          </w:tcPr>
          <w:p>
            <w:pPr>
              <w:adjustRightInd w:val="0"/>
              <w:snapToGrid w:val="0"/>
              <w:spacing w:line="288" w:lineRule="auto"/>
              <w:rPr>
                <w:rFonts w:hint="eastAsia" w:hAnsi="宋体" w:cs="宋体"/>
                <w:szCs w:val="22"/>
              </w:rPr>
            </w:pPr>
            <w:r>
              <w:rPr>
                <w:rFonts w:hint="eastAsia" w:hAnsi="宋体" w:cs="宋体"/>
                <w:szCs w:val="22"/>
              </w:rPr>
              <w:t>自2018年拟派总监理工程师至少在1个单项合同3万平方米及以上的住宅工程中承担总监职务</w:t>
            </w:r>
            <w:r>
              <w:rPr>
                <w:rFonts w:hint="eastAsia" w:hAnsi="宋体" w:cs="宋体"/>
                <w:szCs w:val="22"/>
                <w:lang w:eastAsia="zh-CN"/>
              </w:rPr>
              <w:t>或</w:t>
            </w:r>
            <w:r>
              <w:rPr>
                <w:rFonts w:hint="eastAsia" w:hAnsi="宋体" w:cs="宋体"/>
                <w:szCs w:val="22"/>
              </w:rPr>
              <w:t>自2018年拟派总监理工程师至少在1个工程投资2500万元及以上的老小区改造工程中承担总监职务。。</w:t>
            </w:r>
          </w:p>
          <w:p>
            <w:pPr>
              <w:adjustRightInd w:val="0"/>
              <w:snapToGrid w:val="0"/>
              <w:spacing w:line="288" w:lineRule="auto"/>
              <w:rPr>
                <w:rFonts w:hAnsi="宋体" w:cs="宋体"/>
                <w:szCs w:val="22"/>
              </w:rPr>
            </w:pPr>
          </w:p>
        </w:tc>
        <w:tc>
          <w:tcPr>
            <w:tcW w:w="3179" w:type="dxa"/>
            <w:vAlign w:val="center"/>
          </w:tcPr>
          <w:p>
            <w:pPr>
              <w:adjustRightInd w:val="0"/>
              <w:snapToGrid w:val="0"/>
              <w:spacing w:line="288" w:lineRule="auto"/>
              <w:rPr>
                <w:rFonts w:hAnsi="宋体" w:cs="宋体"/>
                <w:szCs w:val="22"/>
              </w:rPr>
            </w:pPr>
            <w:r>
              <w:rPr>
                <w:rFonts w:hint="eastAsia" w:hAnsi="宋体" w:cs="宋体"/>
                <w:kern w:val="0"/>
                <w:szCs w:val="21"/>
              </w:rPr>
              <w:t>提供业绩证明材料：中标通知书、监理合同、竣工验收证明三项证明材料须齐全。中标通知书或监理合同必须经过工程所在地招投标监管部门备案，若未备案，则提供工程所在地建设行政主管部门(县级及以上)出具的业绩确认证明</w:t>
            </w:r>
            <w:r>
              <w:rPr>
                <w:rFonts w:hint="eastAsia" w:hAnsi="宋体" w:cs="宋体"/>
                <w:kern w:val="0"/>
                <w:szCs w:val="21"/>
                <w:highlight w:val="none"/>
              </w:rPr>
              <w:t>或</w:t>
            </w:r>
            <w:r>
              <w:rPr>
                <w:rFonts w:ascii="宋体" w:hAnsi="宋体" w:cs="宋体"/>
                <w:szCs w:val="21"/>
                <w:highlight w:val="none"/>
              </w:rPr>
              <w:t>该业绩中标</w:t>
            </w:r>
            <w:r>
              <w:rPr>
                <w:rFonts w:hint="eastAsia" w:ascii="宋体" w:hAnsi="宋体" w:cs="宋体"/>
                <w:szCs w:val="21"/>
                <w:highlight w:val="none"/>
              </w:rPr>
              <w:t>结果公告</w:t>
            </w:r>
            <w:r>
              <w:rPr>
                <w:rFonts w:ascii="宋体" w:hAnsi="宋体" w:cs="宋体"/>
                <w:szCs w:val="21"/>
                <w:highlight w:val="none"/>
              </w:rPr>
              <w:t>的官方链接网址</w:t>
            </w:r>
            <w:r>
              <w:rPr>
                <w:rFonts w:hint="eastAsia" w:ascii="宋体" w:hAnsi="宋体" w:cs="宋体"/>
                <w:szCs w:val="21"/>
                <w:highlight w:val="none"/>
              </w:rPr>
              <w:t>及</w:t>
            </w:r>
            <w:r>
              <w:rPr>
                <w:rFonts w:ascii="宋体" w:hAnsi="宋体" w:cs="宋体"/>
                <w:szCs w:val="21"/>
                <w:highlight w:val="none"/>
              </w:rPr>
              <w:t>完整截图或提供监理合同已按省住房城乡建设厅要求进行信息要素归集及相关截图。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4"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5</w:t>
            </w:r>
          </w:p>
        </w:tc>
        <w:tc>
          <w:tcPr>
            <w:tcW w:w="1696" w:type="dxa"/>
            <w:vAlign w:val="center"/>
          </w:tcPr>
          <w:p>
            <w:pPr>
              <w:widowControl/>
              <w:wordWrap w:val="0"/>
              <w:spacing w:before="100" w:beforeAutospacing="1" w:after="100" w:afterAutospacing="1" w:line="320" w:lineRule="atLeast"/>
              <w:jc w:val="left"/>
              <w:rPr>
                <w:rFonts w:ascii="宋体" w:hAnsi="宋体" w:cs="宋体"/>
                <w:kern w:val="0"/>
                <w:szCs w:val="21"/>
              </w:rPr>
            </w:pPr>
            <w:r>
              <w:rPr>
                <w:rFonts w:hint="eastAsia" w:ascii="宋体" w:hAnsi="宋体" w:cs="宋体"/>
                <w:kern w:val="0"/>
                <w:szCs w:val="21"/>
              </w:rPr>
              <w:t>拟派的总监理工程师资质条件</w:t>
            </w:r>
          </w:p>
        </w:tc>
        <w:tc>
          <w:tcPr>
            <w:tcW w:w="3375" w:type="dxa"/>
            <w:vAlign w:val="center"/>
          </w:tcPr>
          <w:p>
            <w:pPr>
              <w:jc w:val="left"/>
              <w:rPr>
                <w:rFonts w:ascii="宋体" w:hAnsi="宋体" w:cs="宋体"/>
                <w:kern w:val="0"/>
                <w:szCs w:val="21"/>
              </w:rPr>
            </w:pPr>
            <w:r>
              <w:rPr>
                <w:rFonts w:hint="eastAsia" w:ascii="宋体" w:hAnsi="宋体" w:cs="宋体"/>
                <w:bCs/>
                <w:kern w:val="0"/>
                <w:szCs w:val="21"/>
              </w:rPr>
              <w:t>国家注册监理工程师执业资格（注册专业为房屋建筑工程专业），</w:t>
            </w:r>
            <w:r>
              <w:rPr>
                <w:rFonts w:hint="eastAsia" w:hAnsi="宋体" w:cs="宋体"/>
                <w:color w:val="000000"/>
                <w:kern w:val="0"/>
                <w:szCs w:val="21"/>
              </w:rPr>
              <w:t>男性年龄不得超过55周岁，女性年龄不得超过50周岁，且未退休</w:t>
            </w:r>
            <w:r>
              <w:rPr>
                <w:rFonts w:hint="eastAsia" w:ascii="宋体" w:hAnsi="宋体" w:cs="宋体"/>
                <w:bCs/>
                <w:kern w:val="0"/>
                <w:szCs w:val="21"/>
              </w:rPr>
              <w:t>，投标单位董事长、总经理、法定代表人不得作为本项目的拟派项目总监；</w:t>
            </w:r>
          </w:p>
        </w:tc>
        <w:tc>
          <w:tcPr>
            <w:tcW w:w="3179" w:type="dxa"/>
            <w:vAlign w:val="center"/>
          </w:tcPr>
          <w:p>
            <w:pPr>
              <w:jc w:val="left"/>
              <w:rPr>
                <w:rFonts w:ascii="宋体" w:hAnsi="宋体" w:cs="宋体"/>
                <w:kern w:val="0"/>
                <w:szCs w:val="21"/>
              </w:rPr>
            </w:pPr>
            <w:r>
              <w:rPr>
                <w:rFonts w:hint="eastAsia" w:ascii="宋体" w:hAnsi="宋体" w:cs="宋体"/>
                <w:bCs/>
                <w:kern w:val="0"/>
                <w:szCs w:val="21"/>
              </w:rPr>
              <w:t>国家注册监理工程师注册执业证书（注册单位为投标人本单位）、身份证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6</w:t>
            </w:r>
          </w:p>
        </w:tc>
        <w:tc>
          <w:tcPr>
            <w:tcW w:w="1696" w:type="dxa"/>
            <w:vAlign w:val="center"/>
          </w:tcPr>
          <w:p>
            <w:pPr>
              <w:adjustRightInd w:val="0"/>
              <w:snapToGrid w:val="0"/>
              <w:spacing w:line="288" w:lineRule="auto"/>
              <w:rPr>
                <w:rFonts w:cs="宋体"/>
                <w:szCs w:val="22"/>
              </w:rPr>
            </w:pPr>
            <w:r>
              <w:rPr>
                <w:rFonts w:hint="eastAsia" w:hAnsi="宋体" w:cs="宋体"/>
                <w:szCs w:val="22"/>
              </w:rPr>
              <w:t>拟派本项目所有监理人员必须为投标单位正式人员</w:t>
            </w:r>
          </w:p>
        </w:tc>
        <w:tc>
          <w:tcPr>
            <w:tcW w:w="3375" w:type="dxa"/>
            <w:vAlign w:val="center"/>
          </w:tcPr>
          <w:p>
            <w:pPr>
              <w:adjustRightInd w:val="0"/>
              <w:snapToGrid w:val="0"/>
              <w:spacing w:line="288" w:lineRule="auto"/>
              <w:rPr>
                <w:rFonts w:hAnsi="宋体" w:cs="宋体"/>
                <w:szCs w:val="22"/>
              </w:rPr>
            </w:pPr>
            <w:r>
              <w:rPr>
                <w:rFonts w:hint="eastAsia" w:hAnsi="宋体" w:cs="宋体"/>
                <w:szCs w:val="22"/>
              </w:rPr>
              <w:t>投标单位拟派本项目所有监理人员必须为投标单位正式人员的证明材料（有效劳动合同和社保机构出具并盖章的本投标企业为本项目拟派本项目所有监理人员缴纳的2021年07月至2021年12月连续6个月的养老保险缴费证明）</w:t>
            </w:r>
          </w:p>
        </w:tc>
        <w:tc>
          <w:tcPr>
            <w:tcW w:w="3179" w:type="dxa"/>
            <w:vAlign w:val="center"/>
          </w:tcPr>
          <w:p>
            <w:pPr>
              <w:adjustRightInd w:val="0"/>
              <w:snapToGrid w:val="0"/>
              <w:spacing w:line="288" w:lineRule="auto"/>
              <w:rPr>
                <w:rFonts w:hAnsi="宋体" w:cs="宋体"/>
                <w:szCs w:val="22"/>
              </w:rPr>
            </w:pPr>
            <w:r>
              <w:rPr>
                <w:rFonts w:hint="eastAsia" w:hAnsi="宋体" w:cs="宋体"/>
                <w:szCs w:val="22"/>
              </w:rPr>
              <w:t>有效的劳动合同和养老保险缴费证明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2" w:hRule="atLeast"/>
          <w:jc w:val="center"/>
        </w:trPr>
        <w:tc>
          <w:tcPr>
            <w:tcW w:w="991" w:type="dxa"/>
            <w:vAlign w:val="center"/>
          </w:tcPr>
          <w:p>
            <w:pPr>
              <w:adjustRightInd w:val="0"/>
              <w:snapToGrid w:val="0"/>
              <w:spacing w:line="288" w:lineRule="auto"/>
              <w:jc w:val="center"/>
              <w:rPr>
                <w:rFonts w:cs="宋体"/>
                <w:szCs w:val="22"/>
              </w:rPr>
            </w:pPr>
            <w:r>
              <w:rPr>
                <w:rFonts w:hint="eastAsia" w:cs="宋体"/>
                <w:szCs w:val="22"/>
              </w:rPr>
              <w:t>7</w:t>
            </w:r>
          </w:p>
        </w:tc>
        <w:tc>
          <w:tcPr>
            <w:tcW w:w="1696" w:type="dxa"/>
            <w:vAlign w:val="center"/>
          </w:tcPr>
          <w:p>
            <w:pPr>
              <w:adjustRightInd w:val="0"/>
              <w:snapToGrid w:val="0"/>
              <w:spacing w:line="288" w:lineRule="auto"/>
              <w:rPr>
                <w:rFonts w:hint="eastAsia" w:eastAsia="宋体" w:cs="宋体"/>
                <w:color w:val="0000FF"/>
                <w:szCs w:val="22"/>
                <w:lang w:eastAsia="zh-CN"/>
              </w:rPr>
            </w:pPr>
            <w:r>
              <w:rPr>
                <w:rFonts w:hint="eastAsia" w:hAnsi="宋体" w:cs="宋体"/>
                <w:szCs w:val="22"/>
              </w:rPr>
              <w:t>拟派项目总监理工程师无在监工程</w:t>
            </w:r>
            <w:r>
              <w:rPr>
                <w:rFonts w:hint="eastAsia" w:hAnsi="宋体" w:cs="宋体"/>
                <w:szCs w:val="22"/>
                <w:lang w:eastAsia="zh-CN"/>
              </w:rPr>
              <w:t>或原业主证明</w:t>
            </w:r>
          </w:p>
        </w:tc>
        <w:tc>
          <w:tcPr>
            <w:tcW w:w="3375" w:type="dxa"/>
            <w:vAlign w:val="center"/>
          </w:tcPr>
          <w:p>
            <w:pPr>
              <w:adjustRightInd w:val="0"/>
              <w:snapToGrid w:val="0"/>
              <w:spacing w:line="288" w:lineRule="auto"/>
              <w:rPr>
                <w:rFonts w:hint="eastAsia" w:ascii="宋体" w:hAnsi="宋体" w:cs="宋体"/>
                <w:color w:val="auto"/>
                <w:szCs w:val="21"/>
              </w:rPr>
            </w:pPr>
            <w:r>
              <w:rPr>
                <w:rFonts w:hint="eastAsia" w:hAnsi="宋体" w:cs="宋体"/>
                <w:szCs w:val="22"/>
              </w:rPr>
              <w:t>拟派总监理工程师无在监工程</w:t>
            </w:r>
            <w:r>
              <w:rPr>
                <w:rFonts w:hint="eastAsia"/>
                <w:lang w:eastAsia="zh-CN"/>
              </w:rPr>
              <w:t>或</w:t>
            </w:r>
            <w:r>
              <w:rPr>
                <w:rFonts w:hint="eastAsia" w:ascii="宋体" w:hAnsi="宋体" w:cs="宋体"/>
                <w:color w:val="auto"/>
                <w:szCs w:val="21"/>
              </w:rPr>
              <w:t xml:space="preserve">原建设单位出具“主体工程已完工，同意总监理工程师参加其他工程招投标活动”的证明。 </w:t>
            </w:r>
          </w:p>
          <w:p>
            <w:pPr>
              <w:adjustRightInd w:val="0"/>
              <w:snapToGrid w:val="0"/>
              <w:spacing w:line="288" w:lineRule="auto"/>
              <w:rPr>
                <w:rFonts w:cs="宋体"/>
                <w:color w:val="0000FF"/>
                <w:spacing w:val="-14"/>
                <w:szCs w:val="22"/>
              </w:rPr>
            </w:pPr>
          </w:p>
        </w:tc>
        <w:tc>
          <w:tcPr>
            <w:tcW w:w="3179" w:type="dxa"/>
            <w:vAlign w:val="center"/>
          </w:tcPr>
          <w:p>
            <w:pPr>
              <w:adjustRightInd w:val="0"/>
              <w:snapToGrid w:val="0"/>
              <w:spacing w:line="288" w:lineRule="auto"/>
            </w:pPr>
            <w:r>
              <w:rPr>
                <w:rFonts w:hint="eastAsia"/>
              </w:rPr>
              <w:t>投标人法定代表人签名（或盖章）并加盖单位公章的承诺书</w:t>
            </w:r>
            <w:r>
              <w:rPr>
                <w:rFonts w:hint="eastAsia"/>
                <w:color w:val="auto"/>
                <w:lang w:eastAsia="zh-CN"/>
              </w:rPr>
              <w:t>或</w:t>
            </w:r>
            <w:r>
              <w:rPr>
                <w:rFonts w:hint="eastAsia" w:ascii="宋体" w:hAnsi="宋体" w:cs="宋体"/>
                <w:color w:val="auto"/>
                <w:szCs w:val="21"/>
              </w:rPr>
              <w:t>原建设单位出具“主体工程已完工，同意总监理工程师参加其他工程招投标活动”的证明</w:t>
            </w:r>
            <w:r>
              <w:rPr>
                <w:rFonts w:hint="eastAsia" w:ascii="宋体" w:hAnsi="宋体" w:cs="宋体"/>
                <w:color w:val="auto"/>
                <w:szCs w:val="21"/>
                <w:lang w:val="en-US" w:eastAsia="zh-CN"/>
              </w:rPr>
              <w:t>(格式自拟并加盖原业主公章）</w:t>
            </w:r>
            <w:r>
              <w:rPr>
                <w:rFonts w:hint="eastAsia" w:ascii="宋体" w:hAnsi="宋体" w:cs="宋体"/>
                <w:color w:val="auto"/>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991" w:type="dxa"/>
            <w:vAlign w:val="center"/>
          </w:tcPr>
          <w:p>
            <w:pPr>
              <w:adjustRightInd w:val="0"/>
              <w:snapToGrid w:val="0"/>
              <w:spacing w:line="288" w:lineRule="auto"/>
              <w:jc w:val="center"/>
              <w:rPr>
                <w:rFonts w:cs="宋体"/>
                <w:color w:val="0000FF"/>
                <w:szCs w:val="22"/>
              </w:rPr>
            </w:pPr>
            <w:r>
              <w:rPr>
                <w:rFonts w:hint="eastAsia" w:cs="宋体"/>
                <w:szCs w:val="22"/>
              </w:rPr>
              <w:t>8</w:t>
            </w:r>
          </w:p>
        </w:tc>
        <w:tc>
          <w:tcPr>
            <w:tcW w:w="1696" w:type="dxa"/>
            <w:vAlign w:val="center"/>
          </w:tcPr>
          <w:p>
            <w:pPr>
              <w:adjustRightInd w:val="0"/>
              <w:snapToGrid w:val="0"/>
              <w:spacing w:line="288" w:lineRule="auto"/>
              <w:rPr>
                <w:rFonts w:cs="宋体"/>
                <w:szCs w:val="22"/>
              </w:rPr>
            </w:pPr>
            <w:r>
              <w:rPr>
                <w:rFonts w:hint="eastAsia" w:hAnsi="宋体" w:cs="宋体"/>
                <w:szCs w:val="22"/>
              </w:rPr>
              <w:t>诚信承诺书</w:t>
            </w:r>
          </w:p>
        </w:tc>
        <w:tc>
          <w:tcPr>
            <w:tcW w:w="3375" w:type="dxa"/>
            <w:vAlign w:val="center"/>
          </w:tcPr>
          <w:p>
            <w:pPr>
              <w:adjustRightInd w:val="0"/>
              <w:snapToGrid w:val="0"/>
              <w:spacing w:line="288" w:lineRule="auto"/>
              <w:rPr>
                <w:rFonts w:cs="宋体"/>
                <w:szCs w:val="22"/>
              </w:rPr>
            </w:pPr>
            <w:r>
              <w:rPr>
                <w:rFonts w:hint="eastAsia" w:hAnsi="宋体" w:cs="宋体"/>
                <w:szCs w:val="22"/>
              </w:rPr>
              <w:t>诚信承诺书</w:t>
            </w:r>
          </w:p>
        </w:tc>
        <w:tc>
          <w:tcPr>
            <w:tcW w:w="3179" w:type="dxa"/>
            <w:vAlign w:val="center"/>
          </w:tcPr>
          <w:p>
            <w:pPr>
              <w:adjustRightInd w:val="0"/>
              <w:snapToGrid w:val="0"/>
              <w:spacing w:line="288" w:lineRule="auto"/>
              <w:rPr>
                <w:rFonts w:cs="宋体"/>
                <w:szCs w:val="22"/>
              </w:rPr>
            </w:pPr>
            <w:r>
              <w:rPr>
                <w:rFonts w:hint="eastAsia" w:hAnsi="宋体" w:cs="宋体"/>
                <w:szCs w:val="22"/>
              </w:rPr>
              <w:t>投标人法定代表人签名（或盖章）并加盖单位公章的承诺书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jc w:val="center"/>
        </w:trPr>
        <w:tc>
          <w:tcPr>
            <w:tcW w:w="991" w:type="dxa"/>
            <w:vAlign w:val="center"/>
          </w:tcPr>
          <w:p>
            <w:pPr>
              <w:adjustRightInd w:val="0"/>
              <w:snapToGrid w:val="0"/>
              <w:spacing w:line="288" w:lineRule="auto"/>
              <w:jc w:val="center"/>
              <w:rPr>
                <w:rFonts w:hint="eastAsia" w:eastAsia="宋体" w:cs="宋体"/>
                <w:szCs w:val="22"/>
                <w:lang w:val="en-US" w:eastAsia="zh-CN"/>
              </w:rPr>
            </w:pPr>
            <w:r>
              <w:rPr>
                <w:rFonts w:hint="eastAsia" w:cs="宋体"/>
                <w:szCs w:val="22"/>
                <w:lang w:val="en-US" w:eastAsia="zh-CN"/>
              </w:rPr>
              <w:t>9</w:t>
            </w:r>
          </w:p>
        </w:tc>
        <w:tc>
          <w:tcPr>
            <w:tcW w:w="1696" w:type="dxa"/>
            <w:vAlign w:val="center"/>
          </w:tcPr>
          <w:p>
            <w:pPr>
              <w:adjustRightInd w:val="0"/>
              <w:snapToGrid w:val="0"/>
              <w:spacing w:line="288" w:lineRule="auto"/>
              <w:rPr>
                <w:rFonts w:hint="eastAsia" w:hAnsi="宋体" w:cs="宋体"/>
                <w:szCs w:val="22"/>
              </w:rPr>
            </w:pPr>
            <w:r>
              <w:rPr>
                <w:rFonts w:hint="eastAsia" w:hAnsi="宋体" w:cs="宋体"/>
                <w:szCs w:val="22"/>
                <w:lang w:eastAsia="zh-CN"/>
              </w:rPr>
              <w:t>拟派监理人员证书</w:t>
            </w:r>
          </w:p>
        </w:tc>
        <w:tc>
          <w:tcPr>
            <w:tcW w:w="3375" w:type="dxa"/>
            <w:vAlign w:val="center"/>
          </w:tcPr>
          <w:p>
            <w:pPr>
              <w:adjustRightInd w:val="0"/>
              <w:snapToGrid w:val="0"/>
              <w:spacing w:line="288" w:lineRule="auto"/>
              <w:rPr>
                <w:rFonts w:hint="eastAsia"/>
              </w:rPr>
            </w:pPr>
            <w:r>
              <w:rPr>
                <w:rFonts w:hint="eastAsia"/>
                <w:lang w:eastAsia="zh-CN"/>
              </w:rPr>
              <w:t>专监</w:t>
            </w:r>
            <w:r>
              <w:rPr>
                <w:rFonts w:hint="eastAsia"/>
                <w:lang w:val="en-US" w:eastAsia="zh-CN"/>
              </w:rPr>
              <w:t>2名</w:t>
            </w:r>
            <w:r>
              <w:rPr>
                <w:rFonts w:hint="eastAsia"/>
                <w:lang w:eastAsia="zh-CN"/>
              </w:rPr>
              <w:t>：</w:t>
            </w:r>
            <w:r>
              <w:rPr>
                <w:rFonts w:hint="eastAsia"/>
              </w:rPr>
              <w:t>国家注册或江苏省监理工程师，专业类别：1名市政公用工程专业、1名房屋建筑工程专业。（其中一名同时具备注册安全工程师资格或具备安全员证</w:t>
            </w:r>
          </w:p>
          <w:p>
            <w:pPr>
              <w:adjustRightInd w:val="0"/>
              <w:snapToGrid w:val="0"/>
              <w:spacing w:line="288" w:lineRule="auto"/>
              <w:rPr>
                <w:rFonts w:hint="eastAsia"/>
                <w:lang w:val="en-US" w:eastAsia="zh-CN"/>
              </w:rPr>
            </w:pPr>
            <w:r>
              <w:rPr>
                <w:rFonts w:hint="eastAsia"/>
                <w:lang w:val="en-US" w:eastAsia="zh-CN"/>
              </w:rPr>
              <w:t>监理员2名：具有监理员及以上职业资格，专业类别：1名市政公用工程专业、1名房屋建筑工程专业。</w:t>
            </w:r>
          </w:p>
          <w:p>
            <w:pPr>
              <w:adjustRightInd w:val="0"/>
              <w:snapToGrid w:val="0"/>
              <w:spacing w:line="288" w:lineRule="auto"/>
              <w:rPr>
                <w:rFonts w:hint="eastAsia"/>
                <w:lang w:val="en-US" w:eastAsia="zh-CN"/>
              </w:rPr>
            </w:pPr>
            <w:r>
              <w:rPr>
                <w:rFonts w:hint="eastAsia"/>
                <w:lang w:val="en-US" w:eastAsia="zh-CN"/>
              </w:rPr>
              <w:t>拟派造价工程师：国家注册造价工程师。</w:t>
            </w:r>
          </w:p>
          <w:p>
            <w:pPr>
              <w:adjustRightInd w:val="0"/>
              <w:snapToGrid w:val="0"/>
              <w:spacing w:line="288" w:lineRule="auto"/>
              <w:rPr>
                <w:rFonts w:hint="eastAsia" w:hAnsi="宋体" w:cs="宋体"/>
                <w:szCs w:val="22"/>
              </w:rPr>
            </w:pPr>
            <w:r>
              <w:rPr>
                <w:rFonts w:hint="eastAsia"/>
                <w:lang w:val="en-US" w:eastAsia="zh-CN"/>
              </w:rPr>
              <w:t>其中一名须具有《工程质量检测见证取样人员岗位证书》，否则另需增加一名见证取样人员。</w:t>
            </w:r>
          </w:p>
        </w:tc>
        <w:tc>
          <w:tcPr>
            <w:tcW w:w="3179" w:type="dxa"/>
            <w:vAlign w:val="center"/>
          </w:tcPr>
          <w:p>
            <w:pPr>
              <w:adjustRightInd w:val="0"/>
              <w:snapToGrid w:val="0"/>
              <w:spacing w:line="288" w:lineRule="auto"/>
              <w:rPr>
                <w:rFonts w:hint="eastAsia" w:hAnsi="宋体" w:cs="宋体"/>
                <w:szCs w:val="22"/>
              </w:rPr>
            </w:pPr>
            <w:r>
              <w:rPr>
                <w:rFonts w:hint="eastAsia" w:hAnsi="宋体" w:cs="宋体"/>
                <w:szCs w:val="22"/>
                <w:lang w:eastAsia="zh-CN"/>
              </w:rPr>
              <w:t>有效的证书复印件并加盖公章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8" w:hRule="atLeast"/>
          <w:jc w:val="center"/>
        </w:trPr>
        <w:tc>
          <w:tcPr>
            <w:tcW w:w="9241" w:type="dxa"/>
            <w:gridSpan w:val="4"/>
            <w:vAlign w:val="center"/>
          </w:tcPr>
          <w:p>
            <w:pPr>
              <w:adjustRightInd w:val="0"/>
              <w:snapToGrid w:val="0"/>
              <w:spacing w:line="360" w:lineRule="auto"/>
              <w:jc w:val="left"/>
              <w:rPr>
                <w:kern w:val="0"/>
                <w:szCs w:val="22"/>
              </w:rPr>
            </w:pPr>
            <w:r>
              <w:rPr>
                <w:rFonts w:hint="eastAsia" w:hAnsi="宋体" w:cs="宋体"/>
                <w:szCs w:val="22"/>
              </w:rPr>
              <w:t>注：</w:t>
            </w:r>
            <w:r>
              <w:rPr>
                <w:kern w:val="0"/>
                <w:szCs w:val="22"/>
              </w:rPr>
              <w:t>1</w:t>
            </w:r>
            <w:r>
              <w:rPr>
                <w:rFonts w:hAnsi="宋体"/>
                <w:kern w:val="0"/>
                <w:szCs w:val="22"/>
              </w:rPr>
              <w:t>、资格审查阶段，评标委员会根据</w:t>
            </w:r>
            <w:r>
              <w:rPr>
                <w:rFonts w:hAnsi="宋体"/>
                <w:bCs/>
                <w:kern w:val="0"/>
                <w:szCs w:val="22"/>
              </w:rPr>
              <w:t>资格审查标准、</w:t>
            </w:r>
            <w:r>
              <w:rPr>
                <w:rFonts w:hAnsi="宋体"/>
                <w:kern w:val="0"/>
                <w:szCs w:val="22"/>
              </w:rPr>
              <w:t>资格审查条件、</w:t>
            </w:r>
            <w:r>
              <w:rPr>
                <w:kern w:val="0"/>
                <w:szCs w:val="22"/>
              </w:rPr>
              <w:t>“</w:t>
            </w:r>
            <w:r>
              <w:rPr>
                <w:rFonts w:hAnsi="宋体"/>
                <w:kern w:val="0"/>
                <w:szCs w:val="22"/>
              </w:rPr>
              <w:t>资格审查资料包</w:t>
            </w:r>
            <w:r>
              <w:rPr>
                <w:kern w:val="0"/>
                <w:szCs w:val="22"/>
              </w:rPr>
              <w:t>”</w:t>
            </w:r>
            <w:r>
              <w:rPr>
                <w:rFonts w:hAnsi="宋体"/>
                <w:kern w:val="0"/>
                <w:szCs w:val="22"/>
              </w:rPr>
              <w:t>中的资料进行资格评审，请投标人按照本招标文件要求准确提供全部资料，否则做废标处理。</w:t>
            </w:r>
            <w:r>
              <w:rPr>
                <w:rFonts w:hint="eastAsia" w:hAnsi="宋体"/>
                <w:b/>
                <w:kern w:val="0"/>
                <w:szCs w:val="22"/>
              </w:rPr>
              <w:t>资格审查以资格审查资料包的内容为准，资格审查资料原件包仅做备查，仅在资格审查资料包内容存在字迹模糊、分辨不清等情形时予以查验。</w:t>
            </w:r>
          </w:p>
          <w:p>
            <w:pPr>
              <w:adjustRightInd w:val="0"/>
              <w:snapToGrid w:val="0"/>
              <w:spacing w:line="360" w:lineRule="auto"/>
              <w:jc w:val="left"/>
              <w:rPr>
                <w:rFonts w:cs="宋体"/>
                <w:szCs w:val="22"/>
              </w:rPr>
            </w:pPr>
            <w:r>
              <w:rPr>
                <w:rFonts w:hint="eastAsia"/>
                <w:kern w:val="0"/>
                <w:szCs w:val="22"/>
              </w:rPr>
              <w:t>2</w:t>
            </w:r>
            <w:r>
              <w:rPr>
                <w:rFonts w:hAnsi="宋体"/>
                <w:kern w:val="0"/>
                <w:szCs w:val="22"/>
              </w:rPr>
              <w:t>、原件因年检无法带来的，须出具年检行政主管部门</w:t>
            </w:r>
            <w:r>
              <w:rPr>
                <w:kern w:val="0"/>
                <w:szCs w:val="22"/>
              </w:rPr>
              <w:t>“</w:t>
            </w:r>
            <w:r>
              <w:rPr>
                <w:rFonts w:hAnsi="宋体"/>
                <w:kern w:val="0"/>
                <w:szCs w:val="22"/>
              </w:rPr>
              <w:t>年检证明</w:t>
            </w:r>
            <w:r>
              <w:rPr>
                <w:kern w:val="0"/>
                <w:szCs w:val="22"/>
              </w:rPr>
              <w:t>”</w:t>
            </w:r>
            <w:r>
              <w:rPr>
                <w:rFonts w:hAnsi="宋体"/>
                <w:kern w:val="0"/>
                <w:szCs w:val="22"/>
              </w:rPr>
              <w:t>材料，否则作废标处理。</w:t>
            </w:r>
          </w:p>
        </w:tc>
      </w:tr>
    </w:tbl>
    <w:p>
      <w:pPr>
        <w:spacing w:line="360" w:lineRule="auto"/>
        <w:ind w:firstLine="420" w:firstLineChars="200"/>
        <w:rPr>
          <w:rFonts w:cs="宋体"/>
        </w:rPr>
      </w:pPr>
      <w:r>
        <w:rPr>
          <w:rFonts w:hint="eastAsia" w:hAnsi="宋体" w:cs="宋体"/>
        </w:rPr>
        <w:t>本次资格审查采用合格制，各投标人只有满足资格审查必要合格条件后，方可参与商务标的评审。</w:t>
      </w:r>
    </w:p>
    <w:p>
      <w:pPr>
        <w:spacing w:line="360" w:lineRule="auto"/>
        <w:ind w:firstLine="420" w:firstLineChars="200"/>
        <w:rPr>
          <w:rFonts w:hint="eastAsia" w:eastAsia="宋体" w:cs="宋体"/>
          <w:lang w:eastAsia="zh-CN"/>
        </w:rPr>
      </w:pPr>
      <w:r>
        <w:rPr>
          <w:rFonts w:hint="eastAsia" w:cs="宋体"/>
        </w:rPr>
        <w:t>2</w:t>
      </w:r>
      <w:r>
        <w:rPr>
          <w:rFonts w:hint="eastAsia" w:hAnsi="宋体" w:cs="宋体"/>
        </w:rPr>
        <w:t>、商务标评审</w:t>
      </w:r>
      <w:r>
        <w:rPr>
          <w:rFonts w:hint="eastAsia" w:hAnsi="宋体" w:cs="宋体"/>
          <w:lang w:eastAsia="zh-CN"/>
        </w:rPr>
        <w:t>（</w:t>
      </w:r>
      <w:r>
        <w:rPr>
          <w:rFonts w:hint="eastAsia" w:hAnsi="宋体" w:cs="宋体"/>
          <w:lang w:val="en-US" w:eastAsia="zh-CN"/>
        </w:rPr>
        <w:t>100分</w:t>
      </w:r>
      <w:r>
        <w:rPr>
          <w:rFonts w:hint="eastAsia" w:hAnsi="宋体" w:cs="宋体"/>
          <w:lang w:eastAsia="zh-CN"/>
        </w:rPr>
        <w:t>）</w:t>
      </w:r>
    </w:p>
    <w:p>
      <w:pPr>
        <w:spacing w:line="480" w:lineRule="exact"/>
        <w:ind w:left="-2" w:leftChars="-1" w:firstLine="422" w:firstLineChars="200"/>
        <w:rPr>
          <w:rFonts w:hint="eastAsia" w:ascii="宋体" w:hAnsi="宋体" w:cs="宋体"/>
          <w:b/>
          <w:kern w:val="0"/>
          <w:szCs w:val="21"/>
        </w:rPr>
      </w:pPr>
      <w:r>
        <w:rPr>
          <w:rFonts w:hint="eastAsia" w:ascii="宋体" w:hAnsi="宋体" w:cs="宋体"/>
          <w:b/>
          <w:kern w:val="0"/>
          <w:szCs w:val="21"/>
        </w:rPr>
        <w:t>（一）投标报价</w:t>
      </w:r>
      <w:r>
        <w:rPr>
          <w:rFonts w:ascii="宋体" w:hAnsi="宋体" w:cs="宋体"/>
          <w:b/>
          <w:kern w:val="0"/>
          <w:szCs w:val="21"/>
        </w:rPr>
        <w:t>（</w:t>
      </w:r>
      <w:r>
        <w:rPr>
          <w:rFonts w:hint="eastAsia" w:ascii="宋体" w:hAnsi="宋体" w:cs="宋体"/>
          <w:b/>
          <w:kern w:val="0"/>
          <w:szCs w:val="21"/>
        </w:rPr>
        <w:t>95分</w:t>
      </w:r>
      <w:r>
        <w:rPr>
          <w:rFonts w:ascii="宋体" w:hAnsi="宋体" w:cs="宋体"/>
          <w:b/>
          <w:kern w:val="0"/>
          <w:szCs w:val="21"/>
        </w:rPr>
        <w:t>）</w:t>
      </w:r>
    </w:p>
    <w:p>
      <w:pPr>
        <w:spacing w:line="480" w:lineRule="exact"/>
        <w:ind w:left="-2" w:leftChars="-1" w:firstLine="420" w:firstLineChars="200"/>
        <w:rPr>
          <w:rFonts w:hint="eastAsia" w:ascii="宋体" w:hAnsi="宋体" w:cs="宋体"/>
          <w:kern w:val="0"/>
          <w:szCs w:val="21"/>
        </w:rPr>
      </w:pPr>
      <w:r>
        <w:rPr>
          <w:rFonts w:hint="eastAsia" w:ascii="宋体" w:hAnsi="宋体" w:cs="宋体"/>
          <w:kern w:val="0"/>
          <w:szCs w:val="21"/>
        </w:rPr>
        <w:t>1、确定有效报价：监理收费按《建设工程监理与相关服务收费管理规定》（发改价格 [2007]670号）执行，施工监理收费浮动幅度值在-20%(含)～-35%(含)的为有效浮动幅度值。</w:t>
      </w:r>
    </w:p>
    <w:p>
      <w:pPr>
        <w:spacing w:line="480" w:lineRule="exact"/>
        <w:ind w:left="-2" w:leftChars="-1" w:firstLine="420" w:firstLineChars="200"/>
        <w:rPr>
          <w:rFonts w:hint="eastAsia" w:ascii="宋体" w:hAnsi="宋体" w:cs="宋体"/>
          <w:kern w:val="0"/>
          <w:szCs w:val="21"/>
        </w:rPr>
      </w:pPr>
      <w:r>
        <w:rPr>
          <w:rFonts w:hint="eastAsia" w:ascii="宋体" w:hAnsi="宋体" w:cs="宋体"/>
          <w:kern w:val="0"/>
          <w:szCs w:val="21"/>
        </w:rPr>
        <w:t>2、 确定评标基准浮动幅度值：以有效投标文件的浮动幅度值算术平均值为评标基准幅度值（若有效投标文件≤4 家时，所有有效投标文件的浮动幅度值算术平均值为评标基准浮动幅度值；②若有效投标文件＞4 家时，去掉其中的一个最高价和一个最低价后取算术平均值为评标基准浮动幅度值。）</w:t>
      </w:r>
    </w:p>
    <w:p>
      <w:pPr>
        <w:widowControl/>
        <w:spacing w:line="480" w:lineRule="exact"/>
        <w:ind w:firstLine="422"/>
        <w:rPr>
          <w:rFonts w:hint="eastAsia" w:ascii="宋体" w:hAnsi="宋体" w:cs="宋体"/>
          <w:szCs w:val="21"/>
        </w:rPr>
      </w:pPr>
      <w:r>
        <w:rPr>
          <w:rFonts w:hint="eastAsia" w:ascii="宋体" w:hAnsi="宋体" w:cs="宋体"/>
          <w:szCs w:val="21"/>
        </w:rPr>
        <w:t>3、 计算投标报价得分</w:t>
      </w:r>
    </w:p>
    <w:p>
      <w:pPr>
        <w:spacing w:line="480" w:lineRule="exact"/>
        <w:ind w:left="477" w:leftChars="227"/>
        <w:rPr>
          <w:rFonts w:hint="eastAsia" w:ascii="宋体" w:hAnsi="宋体" w:cs="宋体"/>
          <w:kern w:val="0"/>
          <w:szCs w:val="21"/>
        </w:rPr>
      </w:pPr>
      <w:r>
        <w:rPr>
          <w:rFonts w:hint="eastAsia" w:ascii="宋体" w:hAnsi="宋体" w:cs="宋体"/>
          <w:kern w:val="0"/>
          <w:szCs w:val="21"/>
        </w:rPr>
        <w:t xml:space="preserve">①投标人的投标浮动幅度值与评标基准浮动幅度值相等的得 </w:t>
      </w:r>
      <w:r>
        <w:rPr>
          <w:rFonts w:ascii="宋体" w:hAnsi="宋体" w:cs="宋体"/>
          <w:kern w:val="0"/>
          <w:szCs w:val="21"/>
        </w:rPr>
        <w:t>95</w:t>
      </w:r>
      <w:r>
        <w:rPr>
          <w:rFonts w:hint="eastAsia" w:ascii="宋体" w:hAnsi="宋体" w:cs="宋体"/>
          <w:kern w:val="0"/>
          <w:szCs w:val="21"/>
        </w:rPr>
        <w:t>分；</w:t>
      </w:r>
    </w:p>
    <w:p>
      <w:pPr>
        <w:spacing w:line="480" w:lineRule="exact"/>
        <w:ind w:left="-2" w:leftChars="-1" w:firstLine="420" w:firstLineChars="200"/>
        <w:rPr>
          <w:rFonts w:hint="eastAsia" w:ascii="宋体" w:hAnsi="宋体" w:cs="宋体"/>
          <w:color w:val="auto"/>
          <w:kern w:val="0"/>
          <w:szCs w:val="21"/>
        </w:rPr>
      </w:pPr>
      <w:r>
        <w:rPr>
          <w:rFonts w:hint="eastAsia" w:ascii="宋体" w:hAnsi="宋体" w:cs="宋体"/>
          <w:kern w:val="0"/>
          <w:szCs w:val="21"/>
        </w:rPr>
        <w:t>②投标人的投标浮动幅度值与评标基准浮动幅度值相比，每增加</w:t>
      </w:r>
      <w:r>
        <w:rPr>
          <w:rFonts w:hint="eastAsia" w:ascii="宋体" w:hAnsi="宋体" w:cs="宋体"/>
          <w:color w:val="auto"/>
          <w:kern w:val="0"/>
          <w:szCs w:val="21"/>
        </w:rPr>
        <w:t xml:space="preserve"> 1%扣 0.</w:t>
      </w:r>
      <w:r>
        <w:rPr>
          <w:rFonts w:ascii="宋体" w:hAnsi="宋体" w:cs="宋体"/>
          <w:color w:val="auto"/>
          <w:kern w:val="0"/>
          <w:szCs w:val="21"/>
        </w:rPr>
        <w:t>3</w:t>
      </w:r>
      <w:r>
        <w:rPr>
          <w:rFonts w:hint="eastAsia" w:ascii="宋体" w:hAnsi="宋体" w:cs="宋体"/>
          <w:color w:val="auto"/>
          <w:kern w:val="0"/>
          <w:szCs w:val="21"/>
        </w:rPr>
        <w:t xml:space="preserve"> 分，每减少 1%扣 0.</w:t>
      </w:r>
      <w:r>
        <w:rPr>
          <w:rFonts w:ascii="宋体" w:hAnsi="宋体" w:cs="宋体"/>
          <w:color w:val="auto"/>
          <w:kern w:val="0"/>
          <w:szCs w:val="21"/>
        </w:rPr>
        <w:t>2</w:t>
      </w:r>
      <w:r>
        <w:rPr>
          <w:rFonts w:hint="eastAsia" w:ascii="宋体" w:hAnsi="宋体" w:cs="宋体"/>
          <w:color w:val="auto"/>
          <w:kern w:val="0"/>
          <w:szCs w:val="21"/>
        </w:rPr>
        <w:t>分（不足 1%时采用插入法），得分保留小数点后两位。</w:t>
      </w:r>
    </w:p>
    <w:p>
      <w:pPr>
        <w:spacing w:line="480" w:lineRule="exact"/>
        <w:ind w:left="-2" w:leftChars="-1" w:firstLine="420" w:firstLineChars="200"/>
        <w:rPr>
          <w:rFonts w:ascii="宋体" w:hAnsi="宋体" w:cs="宋体"/>
          <w:kern w:val="0"/>
          <w:szCs w:val="21"/>
        </w:rPr>
      </w:pPr>
      <w:r>
        <w:rPr>
          <w:rFonts w:hint="eastAsia" w:ascii="宋体" w:hAnsi="宋体" w:cs="宋体"/>
          <w:kern w:val="0"/>
          <w:szCs w:val="21"/>
        </w:rPr>
        <w:t xml:space="preserve">（例：如投标人 A 投标幅度值为：-20%；投标人 B 投标幅度值为：-25%；投标人 C 投标幅度值为：-30%，评标基准幅度值为：-25%，投标人 A 与基准幅度值相比增加 5%，该投标人得分为 </w:t>
      </w:r>
      <w:r>
        <w:rPr>
          <w:rFonts w:ascii="宋体" w:hAnsi="宋体" w:cs="宋体"/>
          <w:kern w:val="0"/>
          <w:szCs w:val="21"/>
        </w:rPr>
        <w:t>95</w:t>
      </w:r>
      <w:r>
        <w:rPr>
          <w:rFonts w:hint="eastAsia" w:ascii="宋体" w:hAnsi="宋体" w:cs="宋体"/>
          <w:kern w:val="0"/>
          <w:szCs w:val="21"/>
        </w:rPr>
        <w:t>-5*0.</w:t>
      </w:r>
      <w:r>
        <w:rPr>
          <w:rFonts w:ascii="宋体" w:hAnsi="宋体" w:cs="宋体"/>
          <w:kern w:val="0"/>
          <w:szCs w:val="21"/>
        </w:rPr>
        <w:t>3</w:t>
      </w:r>
      <w:r>
        <w:rPr>
          <w:rFonts w:hint="eastAsia" w:ascii="宋体" w:hAnsi="宋体" w:cs="宋体"/>
          <w:kern w:val="0"/>
          <w:szCs w:val="21"/>
        </w:rPr>
        <w:t>＝9</w:t>
      </w:r>
      <w:r>
        <w:rPr>
          <w:rFonts w:ascii="宋体" w:hAnsi="宋体" w:cs="宋体"/>
          <w:kern w:val="0"/>
          <w:szCs w:val="21"/>
        </w:rPr>
        <w:t>3</w:t>
      </w:r>
      <w:r>
        <w:rPr>
          <w:rFonts w:hint="eastAsia" w:ascii="宋体" w:hAnsi="宋体" w:cs="宋体"/>
          <w:kern w:val="0"/>
          <w:szCs w:val="21"/>
        </w:rPr>
        <w:t xml:space="preserve">.50 分；投标人 C 与基准幅度值相比减少 5%，该投标人得分为 </w:t>
      </w:r>
      <w:r>
        <w:rPr>
          <w:rFonts w:ascii="宋体" w:hAnsi="宋体" w:cs="宋体"/>
          <w:kern w:val="0"/>
          <w:szCs w:val="21"/>
        </w:rPr>
        <w:t>95</w:t>
      </w:r>
      <w:r>
        <w:rPr>
          <w:rFonts w:hint="eastAsia" w:ascii="宋体" w:hAnsi="宋体" w:cs="宋体"/>
          <w:kern w:val="0"/>
          <w:szCs w:val="21"/>
        </w:rPr>
        <w:t>-5*0.</w:t>
      </w:r>
      <w:r>
        <w:rPr>
          <w:rFonts w:ascii="宋体" w:hAnsi="宋体" w:cs="宋体"/>
          <w:kern w:val="0"/>
          <w:szCs w:val="21"/>
        </w:rPr>
        <w:t>2</w:t>
      </w:r>
      <w:r>
        <w:rPr>
          <w:rFonts w:hint="eastAsia" w:ascii="宋体" w:hAnsi="宋体" w:cs="宋体"/>
          <w:kern w:val="0"/>
          <w:szCs w:val="21"/>
        </w:rPr>
        <w:t>＝9</w:t>
      </w:r>
      <w:r>
        <w:rPr>
          <w:rFonts w:ascii="宋体" w:hAnsi="宋体" w:cs="宋体"/>
          <w:kern w:val="0"/>
          <w:szCs w:val="21"/>
        </w:rPr>
        <w:t>4</w:t>
      </w:r>
      <w:r>
        <w:rPr>
          <w:rFonts w:hint="eastAsia" w:ascii="宋体" w:hAnsi="宋体" w:cs="宋体"/>
          <w:kern w:val="0"/>
          <w:szCs w:val="21"/>
        </w:rPr>
        <w:t xml:space="preserve">.00 分；投标人 B 得分为 </w:t>
      </w:r>
      <w:r>
        <w:rPr>
          <w:rFonts w:ascii="宋体" w:hAnsi="宋体" w:cs="宋体"/>
          <w:kern w:val="0"/>
          <w:szCs w:val="21"/>
        </w:rPr>
        <w:t>95</w:t>
      </w:r>
      <w:r>
        <w:rPr>
          <w:rFonts w:hint="eastAsia" w:ascii="宋体" w:hAnsi="宋体" w:cs="宋体"/>
          <w:kern w:val="0"/>
          <w:szCs w:val="21"/>
        </w:rPr>
        <w:t xml:space="preserve"> 分。）</w:t>
      </w:r>
    </w:p>
    <w:p>
      <w:pPr>
        <w:spacing w:before="2" w:line="201" w:lineRule="auto"/>
        <w:ind w:firstLine="439"/>
        <w:rPr>
          <w:rFonts w:ascii="宋体" w:hAnsi="宋体" w:cs="宋体"/>
          <w:b/>
          <w:kern w:val="0"/>
          <w:szCs w:val="21"/>
        </w:rPr>
      </w:pPr>
      <w:r>
        <w:rPr>
          <w:rFonts w:hint="eastAsia" w:ascii="宋体" w:hAnsi="宋体" w:cs="宋体"/>
          <w:b/>
          <w:kern w:val="0"/>
          <w:szCs w:val="21"/>
        </w:rPr>
        <w:t>（二）</w:t>
      </w:r>
      <w:r>
        <w:rPr>
          <w:rFonts w:ascii="宋体" w:hAnsi="宋体" w:cs="宋体"/>
          <w:b/>
          <w:kern w:val="0"/>
          <w:szCs w:val="21"/>
        </w:rPr>
        <w:t>企业信用（满分 5 分）</w:t>
      </w:r>
    </w:p>
    <w:p>
      <w:pPr>
        <w:spacing w:line="480" w:lineRule="exact"/>
        <w:ind w:left="-2" w:leftChars="-1" w:firstLine="420" w:firstLineChars="200"/>
        <w:rPr>
          <w:rFonts w:hint="eastAsia" w:ascii="宋体" w:hAnsi="宋体" w:cs="宋体"/>
          <w:color w:val="FF0000"/>
          <w:kern w:val="0"/>
          <w:sz w:val="21"/>
          <w:szCs w:val="21"/>
        </w:rPr>
      </w:pPr>
      <w:r>
        <w:rPr>
          <w:rFonts w:hint="eastAsia" w:ascii="Times New Roman" w:hAnsi="宋体" w:eastAsia="宋体" w:cs="宋体"/>
          <w:color w:val="000000"/>
          <w:kern w:val="0"/>
          <w:sz w:val="21"/>
          <w:szCs w:val="21"/>
          <w:lang w:eastAsia="zh-CN"/>
        </w:rPr>
        <w:t>评委根据南通市住房和城乡建设局</w:t>
      </w:r>
      <w:r>
        <w:rPr>
          <w:rFonts w:hint="eastAsia" w:ascii="Times New Roman" w:hAnsi="宋体" w:eastAsia="宋体" w:cs="宋体"/>
          <w:color w:val="000000"/>
          <w:kern w:val="0"/>
          <w:sz w:val="21"/>
          <w:szCs w:val="21"/>
          <w:lang w:val="en-US" w:eastAsia="zh-CN"/>
        </w:rPr>
        <w:t>2022年1月25日公布的“关于公布2020年度全市建设工程监理企业信用综合考评结果的通知”对各投标人的企业信用进行评审打分，具体如下：</w:t>
      </w:r>
    </w:p>
    <w:p>
      <w:pPr>
        <w:spacing w:line="480" w:lineRule="exact"/>
        <w:ind w:left="-2" w:leftChars="-1" w:firstLine="420" w:firstLineChars="200"/>
        <w:rPr>
          <w:rFonts w:ascii="宋体" w:hAnsi="宋体" w:cs="宋体"/>
          <w:color w:val="FF0000"/>
          <w:kern w:val="0"/>
          <w:szCs w:val="21"/>
          <w:highlight w:val="none"/>
        </w:rPr>
      </w:pPr>
      <w:r>
        <w:rPr>
          <w:rFonts w:ascii="宋体" w:hAnsi="宋体" w:cs="宋体"/>
          <w:color w:val="FF0000"/>
          <w:kern w:val="0"/>
          <w:szCs w:val="21"/>
        </w:rPr>
        <w:t>1、投标人在20</w:t>
      </w:r>
      <w:r>
        <w:rPr>
          <w:rFonts w:hint="eastAsia" w:ascii="宋体" w:hAnsi="宋体" w:cs="宋体"/>
          <w:color w:val="FF0000"/>
          <w:kern w:val="0"/>
          <w:szCs w:val="21"/>
          <w:lang w:val="en-US" w:eastAsia="zh-CN"/>
        </w:rPr>
        <w:t>20</w:t>
      </w:r>
      <w:r>
        <w:rPr>
          <w:rFonts w:ascii="宋体" w:hAnsi="宋体" w:cs="宋体"/>
          <w:color w:val="FF0000"/>
          <w:kern w:val="0"/>
          <w:szCs w:val="21"/>
        </w:rPr>
        <w:t xml:space="preserve"> 年度南通市建设工程监理企业信用综合考</w:t>
      </w:r>
      <w:r>
        <w:rPr>
          <w:rFonts w:ascii="宋体" w:hAnsi="宋体" w:cs="宋体"/>
          <w:color w:val="FF0000"/>
          <w:kern w:val="0"/>
          <w:szCs w:val="21"/>
          <w:highlight w:val="none"/>
        </w:rPr>
        <w:t>评中获得等级A得5分；</w:t>
      </w:r>
    </w:p>
    <w:p>
      <w:pPr>
        <w:spacing w:line="480" w:lineRule="exact"/>
        <w:ind w:left="-2" w:leftChars="-1" w:firstLine="420" w:firstLineChars="200"/>
        <w:rPr>
          <w:rFonts w:ascii="宋体" w:hAnsi="宋体" w:cs="宋体"/>
          <w:color w:val="FF0000"/>
          <w:kern w:val="0"/>
          <w:szCs w:val="21"/>
          <w:highlight w:val="none"/>
        </w:rPr>
      </w:pPr>
      <w:r>
        <w:rPr>
          <w:rFonts w:ascii="宋体" w:hAnsi="宋体" w:cs="宋体"/>
          <w:color w:val="FF0000"/>
          <w:kern w:val="0"/>
          <w:szCs w:val="21"/>
          <w:highlight w:val="none"/>
        </w:rPr>
        <w:t>2、投标人在20</w:t>
      </w:r>
      <w:r>
        <w:rPr>
          <w:rFonts w:hint="eastAsia" w:ascii="宋体" w:hAnsi="宋体" w:cs="宋体"/>
          <w:color w:val="FF0000"/>
          <w:kern w:val="0"/>
          <w:szCs w:val="21"/>
          <w:highlight w:val="none"/>
          <w:lang w:val="en-US" w:eastAsia="zh-CN"/>
        </w:rPr>
        <w:t>20</w:t>
      </w:r>
      <w:r>
        <w:rPr>
          <w:rFonts w:ascii="宋体" w:hAnsi="宋体" w:cs="宋体"/>
          <w:color w:val="FF0000"/>
          <w:kern w:val="0"/>
          <w:szCs w:val="21"/>
          <w:highlight w:val="none"/>
        </w:rPr>
        <w:t xml:space="preserve"> 年度南通市建设工程监理企业信用综合考评中获得等级B得3.5分；</w:t>
      </w:r>
    </w:p>
    <w:p>
      <w:pPr>
        <w:spacing w:line="480" w:lineRule="exact"/>
        <w:ind w:left="-2" w:leftChars="-1" w:firstLine="420" w:firstLineChars="200"/>
        <w:rPr>
          <w:rFonts w:hint="eastAsia" w:ascii="Times New Roman" w:hAnsi="宋体" w:eastAsia="宋体" w:cs="宋体"/>
          <w:color w:val="000000"/>
          <w:kern w:val="0"/>
          <w:sz w:val="24"/>
          <w:szCs w:val="24"/>
          <w:lang w:val="en-US" w:eastAsia="zh-CN"/>
        </w:rPr>
      </w:pPr>
      <w:r>
        <w:rPr>
          <w:rFonts w:ascii="宋体" w:hAnsi="宋体" w:cs="宋体"/>
          <w:color w:val="FF0000"/>
          <w:kern w:val="0"/>
          <w:szCs w:val="21"/>
          <w:highlight w:val="none"/>
        </w:rPr>
        <w:t>3、投标人在20</w:t>
      </w:r>
      <w:r>
        <w:rPr>
          <w:rFonts w:hint="eastAsia" w:ascii="宋体" w:hAnsi="宋体" w:cs="宋体"/>
          <w:color w:val="FF0000"/>
          <w:kern w:val="0"/>
          <w:szCs w:val="21"/>
          <w:highlight w:val="none"/>
          <w:lang w:val="en-US" w:eastAsia="zh-CN"/>
        </w:rPr>
        <w:t>20</w:t>
      </w:r>
      <w:r>
        <w:rPr>
          <w:rFonts w:ascii="宋体" w:hAnsi="宋体" w:cs="宋体"/>
          <w:color w:val="FF0000"/>
          <w:kern w:val="0"/>
          <w:szCs w:val="21"/>
          <w:highlight w:val="none"/>
        </w:rPr>
        <w:t>年度南通市建设工程监理企业信用综合考评中获得等级 C 得2分</w:t>
      </w:r>
      <w:r>
        <w:rPr>
          <w:rFonts w:hint="eastAsia" w:ascii="宋体" w:hAnsi="宋体" w:cs="宋体"/>
          <w:color w:val="FF0000"/>
          <w:kern w:val="0"/>
          <w:szCs w:val="21"/>
          <w:highlight w:val="none"/>
          <w:lang w:eastAsia="zh-CN"/>
        </w:rPr>
        <w:t>。</w:t>
      </w:r>
    </w:p>
    <w:p>
      <w:pPr>
        <w:adjustRightInd w:val="0"/>
        <w:spacing w:line="440" w:lineRule="exact"/>
        <w:ind w:firstLine="420" w:firstLineChars="200"/>
        <w:jc w:val="left"/>
        <w:rPr>
          <w:rFonts w:cs="宋体"/>
          <w:color w:val="000000"/>
          <w:kern w:val="0"/>
        </w:rPr>
      </w:pPr>
      <w:r>
        <w:rPr>
          <w:rFonts w:hint="eastAsia" w:hAnsi="宋体" w:cs="宋体"/>
          <w:color w:val="000000"/>
          <w:kern w:val="0"/>
        </w:rPr>
        <w:t>注：评标基准价只计算一次，一经确定，不因招标当事人质疑、投诉、复议以及其他任何情形而改变，但评标过程中的计算错误可作调整。</w:t>
      </w:r>
    </w:p>
    <w:p>
      <w:pPr>
        <w:adjustRightInd w:val="0"/>
        <w:spacing w:line="440" w:lineRule="exact"/>
        <w:ind w:firstLine="420" w:firstLineChars="200"/>
        <w:jc w:val="left"/>
        <w:rPr>
          <w:rFonts w:hint="eastAsia" w:hAnsi="宋体" w:cs="宋体"/>
          <w:color w:val="000000"/>
          <w:kern w:val="0"/>
        </w:rPr>
      </w:pPr>
      <w:r>
        <w:rPr>
          <w:rFonts w:hint="eastAsia" w:cs="宋体"/>
          <w:color w:val="000000"/>
          <w:kern w:val="0"/>
        </w:rPr>
        <w:t>3</w:t>
      </w:r>
      <w:r>
        <w:rPr>
          <w:rFonts w:hint="eastAsia" w:hAnsi="宋体" w:cs="宋体"/>
          <w:color w:val="000000"/>
          <w:kern w:val="0"/>
        </w:rPr>
        <w:t>、确定中标候选人及中标浮动值</w:t>
      </w:r>
    </w:p>
    <w:p>
      <w:pPr>
        <w:adjustRightInd w:val="0"/>
        <w:spacing w:line="440" w:lineRule="exact"/>
        <w:ind w:firstLine="420" w:firstLineChars="200"/>
        <w:jc w:val="left"/>
        <w:rPr>
          <w:rFonts w:cs="宋体"/>
          <w:color w:val="000000"/>
          <w:kern w:val="0"/>
        </w:rPr>
      </w:pPr>
      <w:r>
        <w:rPr>
          <w:rFonts w:hint="eastAsia" w:hAnsi="宋体" w:cs="宋体"/>
          <w:color w:val="000000"/>
          <w:kern w:val="0"/>
        </w:rPr>
        <w:t>评标委员会按照各投标人的得分，推荐最高得分者为第一中标候选人，第二、第三名按得分依次排序。若得分相同时，则按下列办法确定：</w:t>
      </w:r>
    </w:p>
    <w:p>
      <w:pPr>
        <w:adjustRightInd w:val="0"/>
        <w:spacing w:line="440" w:lineRule="exact"/>
        <w:ind w:firstLine="420" w:firstLineChars="200"/>
        <w:jc w:val="left"/>
        <w:rPr>
          <w:rFonts w:cs="宋体"/>
          <w:color w:val="000000"/>
          <w:kern w:val="0"/>
        </w:rPr>
      </w:pPr>
      <w:r>
        <w:rPr>
          <w:rFonts w:hint="eastAsia" w:hAnsi="宋体" w:cs="宋体"/>
          <w:color w:val="000000"/>
          <w:kern w:val="0"/>
        </w:rPr>
        <w:t>①若投标报价不同，则投标报价低者优先中标；</w:t>
      </w:r>
    </w:p>
    <w:p>
      <w:pPr>
        <w:adjustRightInd w:val="0"/>
        <w:spacing w:line="440" w:lineRule="exact"/>
        <w:ind w:firstLine="420" w:firstLineChars="200"/>
        <w:jc w:val="left"/>
        <w:rPr>
          <w:rFonts w:cs="宋体"/>
          <w:color w:val="000000"/>
          <w:kern w:val="0"/>
        </w:rPr>
      </w:pPr>
      <w:r>
        <w:rPr>
          <w:rFonts w:hint="eastAsia" w:hAnsi="宋体" w:cs="宋体"/>
          <w:color w:val="000000"/>
          <w:kern w:val="0"/>
        </w:rPr>
        <w:t>②若投标报价相同，则由投标人按照投标签到顺序现场抽签的方式确定中标人。</w:t>
      </w:r>
    </w:p>
    <w:p>
      <w:pPr>
        <w:widowControl/>
        <w:spacing w:line="480" w:lineRule="exact"/>
        <w:ind w:firstLine="420" w:firstLineChars="200"/>
        <w:rPr>
          <w:highlight w:val="none"/>
        </w:rPr>
      </w:pPr>
      <w:r>
        <w:rPr>
          <w:color w:val="000000"/>
        </w:rPr>
        <w:t>二、</w:t>
      </w:r>
      <w:r>
        <w:rPr>
          <w:b/>
          <w:color w:val="000000"/>
          <w:kern w:val="0"/>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w:t>
      </w:r>
      <w:r>
        <w:rPr>
          <w:b/>
          <w:color w:val="000000"/>
          <w:kern w:val="0"/>
          <w:highlight w:val="none"/>
        </w:rPr>
        <w:t>标。</w:t>
      </w:r>
      <w:r>
        <w:rPr>
          <w:rFonts w:hint="eastAsia" w:ascii="宋体" w:hAnsi="宋体" w:cs="宋体"/>
          <w:kern w:val="0"/>
          <w:szCs w:val="21"/>
          <w:highlight w:val="none"/>
        </w:rPr>
        <w:t>若第一中标候选人因质疑投诉问题被取消中标候选人资格，招标人将重新招标。</w:t>
      </w:r>
    </w:p>
    <w:p>
      <w:pPr>
        <w:autoSpaceDN w:val="0"/>
        <w:spacing w:line="440" w:lineRule="exact"/>
        <w:ind w:firstLine="470"/>
        <w:jc w:val="left"/>
        <w:rPr>
          <w:highlight w:val="none"/>
        </w:rPr>
      </w:pPr>
      <w:r>
        <w:rPr>
          <w:color w:val="000000"/>
          <w:kern w:val="0"/>
          <w:highlight w:val="none"/>
        </w:rPr>
        <w:t>三、</w:t>
      </w:r>
      <w:r>
        <w:rPr>
          <w:color w:val="000000"/>
          <w:highlight w:val="none"/>
        </w:rPr>
        <w:t>评标过程中出现本评标办法未尽事宜，由评标委员会根据有关法律、法规讨论并作出最终解释。</w:t>
      </w:r>
    </w:p>
    <w:p>
      <w:pPr>
        <w:spacing w:line="440" w:lineRule="exact"/>
        <w:ind w:firstLine="420" w:firstLineChars="200"/>
        <w:jc w:val="left"/>
        <w:rPr>
          <w:rFonts w:cs="宋体"/>
          <w:b/>
          <w:bCs/>
          <w:sz w:val="24"/>
        </w:rPr>
      </w:pPr>
      <w:r>
        <w:rPr>
          <w:color w:val="000000"/>
        </w:rPr>
        <w:t>投标人或者其他利害关系人对评标结果有异议的，应当在中标候选人公示期间以实名书面方式向招标人提出。招标人作出答复前，暂停招标投标活动。相关异议经查证属实的，对中标结果造成实质性影响，由招标人组织重新招标。</w:t>
      </w:r>
    </w:p>
    <w:p>
      <w:pPr>
        <w:rPr>
          <w:sz w:val="36"/>
        </w:rPr>
      </w:pPr>
      <w:bookmarkStart w:id="117" w:name="_Toc398111682"/>
      <w:bookmarkStart w:id="118" w:name="_Toc9194586"/>
    </w:p>
    <w:p>
      <w:pPr>
        <w:pStyle w:val="3"/>
        <w:keepNext w:val="0"/>
        <w:keepLines w:val="0"/>
        <w:spacing w:before="0" w:after="0" w:line="360" w:lineRule="auto"/>
        <w:jc w:val="center"/>
        <w:rPr>
          <w:color w:val="000000"/>
          <w:sz w:val="24"/>
          <w:szCs w:val="24"/>
        </w:rPr>
      </w:pPr>
      <w:r>
        <w:rPr>
          <w:rFonts w:hAnsi="宋体"/>
          <w:sz w:val="36"/>
        </w:rPr>
        <w:br w:type="page"/>
      </w:r>
      <w:r>
        <w:rPr>
          <w:rFonts w:hint="eastAsia" w:hAnsi="宋体"/>
          <w:sz w:val="36"/>
        </w:rPr>
        <w:t>第三章合同条款及格式</w:t>
      </w:r>
      <w:bookmarkEnd w:id="117"/>
      <w:bookmarkEnd w:id="118"/>
    </w:p>
    <w:p>
      <w:pPr>
        <w:pStyle w:val="4"/>
        <w:spacing w:line="360" w:lineRule="auto"/>
        <w:jc w:val="center"/>
        <w:rPr>
          <w:rFonts w:ascii="宋体" w:hAnsi="宋体" w:eastAsia="宋体" w:cs="宋体"/>
          <w:b/>
          <w:bCs w:val="0"/>
          <w:szCs w:val="21"/>
        </w:rPr>
      </w:pPr>
      <w:bookmarkStart w:id="119" w:name="_Toc71830921"/>
      <w:bookmarkStart w:id="120" w:name="_Toc30662"/>
      <w:bookmarkStart w:id="121" w:name="_Toc398111716"/>
      <w:bookmarkStart w:id="122" w:name="_Toc9194619"/>
      <w:bookmarkStart w:id="123" w:name="_Toc2699"/>
      <w:r>
        <w:rPr>
          <w:rFonts w:hint="eastAsia" w:ascii="宋体" w:hAnsi="宋体" w:eastAsia="宋体" w:cs="宋体"/>
        </w:rPr>
        <w:t>第一部分  协议书</w:t>
      </w:r>
      <w:bookmarkEnd w:id="119"/>
      <w:bookmarkEnd w:id="120"/>
    </w:p>
    <w:p>
      <w:pPr>
        <w:adjustRightInd w:val="0"/>
        <w:snapToGrid w:val="0"/>
        <w:spacing w:line="360" w:lineRule="auto"/>
        <w:ind w:firstLine="482" w:firstLineChars="200"/>
        <w:rPr>
          <w:rFonts w:hint="eastAsia" w:ascii="宋体" w:hAnsi="宋体" w:cs="宋体"/>
          <w:b/>
          <w:sz w:val="24"/>
          <w:u w:val="single"/>
        </w:rPr>
      </w:pPr>
      <w:r>
        <w:rPr>
          <w:rFonts w:hint="eastAsia" w:ascii="宋体" w:hAnsi="宋体" w:cs="宋体"/>
          <w:b/>
          <w:sz w:val="24"/>
        </w:rPr>
        <w:t>委托人（全称）：</w:t>
      </w:r>
      <w:r>
        <w:rPr>
          <w:rFonts w:hint="eastAsia" w:ascii="宋体" w:hAnsi="宋体" w:cs="宋体"/>
          <w:b/>
          <w:sz w:val="24"/>
          <w:u w:val="single"/>
        </w:rPr>
        <w:t xml:space="preserve">                                  </w:t>
      </w:r>
    </w:p>
    <w:p>
      <w:pPr>
        <w:adjustRightInd w:val="0"/>
        <w:snapToGrid w:val="0"/>
        <w:spacing w:line="360" w:lineRule="auto"/>
        <w:ind w:firstLine="482" w:firstLineChars="200"/>
        <w:rPr>
          <w:rFonts w:hint="default" w:ascii="宋体" w:hAnsi="宋体" w:cs="宋体"/>
          <w:b/>
          <w:sz w:val="24"/>
          <w:u w:val="single"/>
          <w:lang w:val="en-US" w:eastAsia="zh-CN"/>
        </w:rPr>
      </w:pPr>
      <w:r>
        <w:rPr>
          <w:rFonts w:hint="eastAsia" w:ascii="宋体" w:hAnsi="宋体" w:cs="宋体"/>
          <w:b/>
          <w:sz w:val="24"/>
          <w:lang w:eastAsia="zh-CN"/>
        </w:rPr>
        <w:t>代建单位（全称）：</w:t>
      </w:r>
      <w:r>
        <w:rPr>
          <w:rFonts w:hint="eastAsia" w:ascii="宋体" w:hAnsi="宋体" w:cs="宋体"/>
          <w:b/>
          <w:sz w:val="24"/>
          <w:u w:val="single"/>
          <w:lang w:val="en-US" w:eastAsia="zh-CN"/>
        </w:rPr>
        <w:t xml:space="preserve">                               </w:t>
      </w:r>
    </w:p>
    <w:p>
      <w:pPr>
        <w:adjustRightInd w:val="0"/>
        <w:snapToGrid w:val="0"/>
        <w:spacing w:line="360" w:lineRule="auto"/>
        <w:ind w:firstLine="482" w:firstLineChars="200"/>
        <w:rPr>
          <w:rFonts w:ascii="宋体" w:hAnsi="宋体" w:cs="宋体"/>
          <w:sz w:val="24"/>
        </w:rPr>
      </w:pPr>
      <w:r>
        <w:rPr>
          <w:rFonts w:hint="eastAsia" w:ascii="宋体" w:hAnsi="宋体" w:cs="宋体"/>
          <w:b/>
          <w:sz w:val="24"/>
        </w:rPr>
        <w:t>监理人（全称）：</w:t>
      </w:r>
      <w:r>
        <w:rPr>
          <w:rFonts w:hint="eastAsia" w:ascii="宋体" w:hAnsi="宋体" w:cs="宋体"/>
          <w:b/>
          <w:sz w:val="24"/>
          <w:u w:val="single"/>
        </w:rPr>
        <w:t xml:space="preserve">                                  </w:t>
      </w:r>
    </w:p>
    <w:p>
      <w:pPr>
        <w:adjustRightInd w:val="0"/>
        <w:snapToGrid w:val="0"/>
        <w:spacing w:line="360" w:lineRule="auto"/>
        <w:ind w:firstLine="480" w:firstLineChars="200"/>
        <w:rPr>
          <w:rFonts w:ascii="宋体" w:hAnsi="宋体" w:cs="宋体"/>
          <w:sz w:val="24"/>
          <w:u w:val="single"/>
        </w:rPr>
      </w:pPr>
      <w:r>
        <w:rPr>
          <w:rFonts w:hint="eastAsia" w:ascii="宋体" w:hAnsi="宋体" w:cs="宋体"/>
          <w:sz w:val="24"/>
        </w:rPr>
        <w:t>根据《中华人民共和国</w:t>
      </w:r>
      <w:r>
        <w:rPr>
          <w:rFonts w:hint="eastAsia" w:ascii="宋体" w:hAnsi="宋体" w:cs="宋体"/>
          <w:sz w:val="24"/>
          <w:lang w:eastAsia="zh-CN"/>
        </w:rPr>
        <w:t>民法典</w:t>
      </w:r>
      <w:r>
        <w:rPr>
          <w:rFonts w:hint="eastAsia" w:ascii="宋体" w:hAnsi="宋体" w:cs="宋体"/>
          <w:sz w:val="24"/>
        </w:rPr>
        <w:t>》、《中华人民共和国建筑法》及其他有关法律、法规，遵循平等、自愿、公平和诚信的原则，双方就下述工程委托监理与相关服务事项协商一致，订立本合同。</w:t>
      </w:r>
    </w:p>
    <w:p>
      <w:pPr>
        <w:pStyle w:val="5"/>
        <w:spacing w:line="360" w:lineRule="auto"/>
        <w:rPr>
          <w:rFonts w:ascii="宋体" w:hAnsi="宋体" w:eastAsia="宋体" w:cs="宋体"/>
          <w:szCs w:val="24"/>
        </w:rPr>
      </w:pPr>
      <w:bookmarkStart w:id="124" w:name="_Toc20059"/>
      <w:bookmarkStart w:id="125" w:name="_Toc71830922"/>
      <w:bookmarkStart w:id="126" w:name="_Toc9194588"/>
      <w:bookmarkStart w:id="127" w:name="_Toc398111684"/>
      <w:r>
        <w:rPr>
          <w:rFonts w:hint="eastAsia" w:ascii="宋体" w:hAnsi="宋体" w:eastAsia="宋体" w:cs="宋体"/>
          <w:szCs w:val="24"/>
        </w:rPr>
        <w:t>一、工程概况</w:t>
      </w:r>
      <w:bookmarkEnd w:id="124"/>
      <w:bookmarkEnd w:id="125"/>
      <w:bookmarkEnd w:id="126"/>
      <w:bookmarkEnd w:id="127"/>
    </w:p>
    <w:p>
      <w:pPr>
        <w:adjustRightInd w:val="0"/>
        <w:snapToGrid w:val="0"/>
        <w:spacing w:line="360" w:lineRule="auto"/>
        <w:ind w:firstLine="475" w:firstLineChars="198"/>
        <w:rPr>
          <w:rFonts w:ascii="宋体" w:hAnsi="宋体" w:cs="宋体"/>
          <w:sz w:val="24"/>
        </w:rPr>
      </w:pPr>
      <w:r>
        <w:rPr>
          <w:rFonts w:hint="eastAsia" w:ascii="宋体" w:hAnsi="宋体" w:cs="宋体"/>
          <w:sz w:val="24"/>
        </w:rPr>
        <w:t>1. 工程名称：</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2. 工程地点：</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3. 工程规模：</w:t>
      </w:r>
      <w:r>
        <w:rPr>
          <w:rFonts w:hint="eastAsia" w:ascii="宋体" w:hAnsi="宋体" w:cs="宋体"/>
          <w:sz w:val="24"/>
          <w:u w:val="single"/>
        </w:rPr>
        <w:t>2022年</w:t>
      </w:r>
      <w:r>
        <w:rPr>
          <w:rFonts w:hint="eastAsia" w:ascii="宋体" w:hAnsi="宋体" w:cs="宋体"/>
          <w:sz w:val="24"/>
          <w:u w:val="single"/>
          <w:lang w:eastAsia="zh-CN"/>
        </w:rPr>
        <w:t>虹桥新村30栋含室外</w:t>
      </w:r>
      <w:r>
        <w:rPr>
          <w:rFonts w:hint="eastAsia" w:ascii="宋体" w:hAnsi="宋体" w:cs="宋体"/>
          <w:sz w:val="24"/>
          <w:u w:val="single"/>
        </w:rPr>
        <w:t>老旧小区综合改造工程标段范围涉及的拆违及屋面恢复、建筑物屋面、外墙、楼梯等公共部位维修改造，智能化、绿化、市政配套基础设施改造提升，公共服务设施配套建设等</w:t>
      </w:r>
      <w:r>
        <w:rPr>
          <w:rFonts w:hint="eastAsia" w:ascii="宋体" w:hAnsi="宋体" w:cs="宋体"/>
          <w:sz w:val="24"/>
        </w:rPr>
        <w:t>；</w:t>
      </w:r>
    </w:p>
    <w:p>
      <w:pPr>
        <w:adjustRightInd w:val="0"/>
        <w:snapToGrid w:val="0"/>
        <w:spacing w:line="360" w:lineRule="auto"/>
        <w:ind w:firstLine="475" w:firstLineChars="198"/>
        <w:jc w:val="left"/>
        <w:rPr>
          <w:rFonts w:ascii="宋体" w:hAnsi="宋体" w:cs="宋体"/>
          <w:sz w:val="24"/>
        </w:rPr>
      </w:pPr>
      <w:r>
        <w:rPr>
          <w:rFonts w:hint="eastAsia" w:ascii="宋体" w:hAnsi="宋体" w:cs="宋体"/>
          <w:sz w:val="24"/>
        </w:rPr>
        <w:t>4. 工程</w:t>
      </w:r>
      <w:r>
        <w:rPr>
          <w:rFonts w:hint="eastAsia" w:ascii="宋体" w:hAnsi="宋体" w:cs="宋体"/>
          <w:kern w:val="0"/>
          <w:sz w:val="24"/>
        </w:rPr>
        <w:t>概算投资额或建筑安装工程费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p>
    <w:p>
      <w:pPr>
        <w:pStyle w:val="5"/>
        <w:spacing w:line="360" w:lineRule="auto"/>
        <w:rPr>
          <w:rFonts w:ascii="宋体" w:hAnsi="宋体" w:eastAsia="宋体" w:cs="宋体"/>
          <w:szCs w:val="24"/>
        </w:rPr>
      </w:pPr>
      <w:bookmarkStart w:id="128" w:name="_Toc11584"/>
      <w:bookmarkStart w:id="129" w:name="_Toc398111685"/>
      <w:bookmarkStart w:id="130" w:name="_Toc71830923"/>
      <w:bookmarkStart w:id="131" w:name="_Toc9194589"/>
      <w:r>
        <w:rPr>
          <w:rFonts w:hint="eastAsia" w:ascii="宋体" w:hAnsi="宋体" w:eastAsia="宋体" w:cs="宋体"/>
          <w:szCs w:val="24"/>
        </w:rPr>
        <w:t>二、词语限定</w:t>
      </w:r>
      <w:bookmarkEnd w:id="128"/>
      <w:bookmarkEnd w:id="129"/>
      <w:bookmarkEnd w:id="130"/>
      <w:bookmarkEnd w:id="131"/>
    </w:p>
    <w:p>
      <w:pPr>
        <w:adjustRightInd w:val="0"/>
        <w:snapToGrid w:val="0"/>
        <w:spacing w:line="360" w:lineRule="auto"/>
        <w:ind w:firstLine="475" w:firstLineChars="198"/>
        <w:rPr>
          <w:rFonts w:ascii="宋体" w:hAnsi="宋体" w:cs="宋体"/>
          <w:sz w:val="24"/>
        </w:rPr>
      </w:pPr>
      <w:r>
        <w:rPr>
          <w:rFonts w:hint="eastAsia" w:ascii="宋体" w:hAnsi="宋体" w:cs="宋体"/>
          <w:sz w:val="24"/>
        </w:rPr>
        <w:t>协议书中相关词语的含义与通用条件中的定义与解释相同。</w:t>
      </w:r>
    </w:p>
    <w:p>
      <w:pPr>
        <w:pStyle w:val="5"/>
        <w:spacing w:line="360" w:lineRule="auto"/>
        <w:rPr>
          <w:rFonts w:ascii="宋体" w:hAnsi="宋体" w:eastAsia="宋体" w:cs="宋体"/>
          <w:szCs w:val="24"/>
        </w:rPr>
      </w:pPr>
      <w:bookmarkStart w:id="132" w:name="_Toc26339"/>
      <w:bookmarkStart w:id="133" w:name="_Toc398111686"/>
      <w:bookmarkStart w:id="134" w:name="_Toc71830924"/>
      <w:bookmarkStart w:id="135" w:name="_Toc9194590"/>
      <w:r>
        <w:rPr>
          <w:rFonts w:hint="eastAsia" w:ascii="宋体" w:hAnsi="宋体" w:eastAsia="宋体" w:cs="宋体"/>
          <w:szCs w:val="24"/>
        </w:rPr>
        <w:t>三、组成本合同的文件</w:t>
      </w:r>
      <w:bookmarkEnd w:id="132"/>
      <w:bookmarkEnd w:id="133"/>
      <w:bookmarkEnd w:id="134"/>
      <w:bookmarkEnd w:id="135"/>
    </w:p>
    <w:p>
      <w:pPr>
        <w:adjustRightInd w:val="0"/>
        <w:snapToGrid w:val="0"/>
        <w:spacing w:line="360" w:lineRule="auto"/>
        <w:ind w:firstLine="475" w:firstLineChars="198"/>
        <w:rPr>
          <w:rFonts w:ascii="宋体" w:hAnsi="宋体" w:cs="宋体"/>
          <w:sz w:val="24"/>
        </w:rPr>
      </w:pPr>
      <w:r>
        <w:rPr>
          <w:rFonts w:hint="eastAsia" w:ascii="宋体" w:hAnsi="宋体" w:cs="宋体"/>
          <w:sz w:val="24"/>
        </w:rPr>
        <w:t>1. 协议书；</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2. 中标通知书（适用于招标工程）或委托书（适用于非招标工程）；</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3. 投标文件（适用于招标工程）或监理与相关服务建议书（适用于非招标工程）；</w:t>
      </w:r>
    </w:p>
    <w:p>
      <w:pPr>
        <w:adjustRightInd w:val="0"/>
        <w:snapToGrid w:val="0"/>
        <w:spacing w:line="360" w:lineRule="auto"/>
        <w:ind w:firstLine="465"/>
        <w:rPr>
          <w:rFonts w:ascii="宋体" w:hAnsi="宋体" w:cs="宋体"/>
          <w:sz w:val="24"/>
        </w:rPr>
      </w:pPr>
      <w:r>
        <w:rPr>
          <w:rFonts w:hint="eastAsia" w:ascii="宋体" w:hAnsi="宋体" w:cs="宋体"/>
          <w:sz w:val="24"/>
        </w:rPr>
        <w:t>4. 专用条件；</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5. 通用条件；</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6. 附录，即：</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附录A  相关服务的范围和内容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附录B  委托人派遣的人员和提供的</w:t>
      </w:r>
      <w:r>
        <w:rPr>
          <w:rFonts w:hint="eastAsia" w:ascii="宋体" w:hAnsi="宋体" w:cs="宋体"/>
          <w:bCs/>
          <w:sz w:val="24"/>
        </w:rPr>
        <w:t>房屋、资料</w:t>
      </w:r>
      <w:r>
        <w:rPr>
          <w:rFonts w:hint="eastAsia" w:ascii="宋体" w:hAnsi="宋体" w:cs="宋体"/>
          <w:sz w:val="24"/>
        </w:rPr>
        <w:t>、设备</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本合同签订后，双方依法签订的补充协议也是本合同文件的组成部分。</w:t>
      </w:r>
    </w:p>
    <w:p>
      <w:pPr>
        <w:pStyle w:val="5"/>
        <w:spacing w:line="360" w:lineRule="auto"/>
        <w:rPr>
          <w:rFonts w:ascii="宋体" w:hAnsi="宋体" w:eastAsia="宋体" w:cs="宋体"/>
          <w:szCs w:val="24"/>
        </w:rPr>
      </w:pPr>
      <w:bookmarkStart w:id="136" w:name="_Toc9194591"/>
      <w:bookmarkStart w:id="137" w:name="_Toc398111687"/>
      <w:bookmarkStart w:id="138" w:name="_Toc32501"/>
      <w:bookmarkStart w:id="139" w:name="_Toc71830925"/>
      <w:r>
        <w:rPr>
          <w:rFonts w:hint="eastAsia" w:ascii="宋体" w:hAnsi="宋体" w:eastAsia="宋体" w:cs="宋体"/>
          <w:szCs w:val="24"/>
        </w:rPr>
        <w:t>四、总监理工程师</w:t>
      </w:r>
      <w:bookmarkEnd w:id="136"/>
      <w:bookmarkEnd w:id="137"/>
      <w:bookmarkEnd w:id="138"/>
      <w:bookmarkEnd w:id="139"/>
    </w:p>
    <w:p>
      <w:pPr>
        <w:adjustRightInd w:val="0"/>
        <w:snapToGrid w:val="0"/>
        <w:spacing w:line="360" w:lineRule="auto"/>
        <w:ind w:firstLine="475" w:firstLineChars="198"/>
        <w:rPr>
          <w:rFonts w:ascii="宋体" w:hAnsi="宋体" w:cs="宋体"/>
          <w:kern w:val="0"/>
          <w:sz w:val="24"/>
        </w:rPr>
      </w:pPr>
      <w:r>
        <w:rPr>
          <w:rFonts w:hint="eastAsia" w:ascii="宋体" w:hAnsi="宋体" w:cs="宋体"/>
          <w:kern w:val="0"/>
          <w:sz w:val="24"/>
        </w:rPr>
        <w:t>总监理工程师姓名：</w:t>
      </w:r>
      <w:r>
        <w:rPr>
          <w:rFonts w:hint="eastAsia" w:ascii="宋体" w:hAnsi="宋体" w:cs="宋体"/>
          <w:kern w:val="0"/>
          <w:sz w:val="24"/>
          <w:u w:val="single"/>
        </w:rPr>
        <w:t xml:space="preserve">           </w:t>
      </w:r>
      <w:r>
        <w:rPr>
          <w:rFonts w:hint="eastAsia" w:ascii="宋体" w:hAnsi="宋体" w:cs="宋体"/>
          <w:kern w:val="0"/>
          <w:sz w:val="24"/>
        </w:rPr>
        <w:t>，身份证号码：</w:t>
      </w:r>
      <w:r>
        <w:rPr>
          <w:rFonts w:hint="eastAsia" w:ascii="宋体" w:hAnsi="宋体" w:cs="宋体"/>
          <w:kern w:val="0"/>
          <w:sz w:val="24"/>
          <w:u w:val="single"/>
        </w:rPr>
        <w:t xml:space="preserve">            </w:t>
      </w:r>
      <w:r>
        <w:rPr>
          <w:rFonts w:hint="eastAsia" w:ascii="宋体" w:hAnsi="宋体" w:cs="宋体"/>
          <w:kern w:val="0"/>
          <w:sz w:val="24"/>
        </w:rPr>
        <w:t>，注册号：</w:t>
      </w:r>
      <w:r>
        <w:rPr>
          <w:rFonts w:hint="eastAsia" w:ascii="宋体" w:hAnsi="宋体" w:cs="宋体"/>
          <w:kern w:val="0"/>
          <w:sz w:val="24"/>
          <w:u w:val="single"/>
        </w:rPr>
        <w:t xml:space="preserve">                 </w:t>
      </w:r>
      <w:r>
        <w:rPr>
          <w:rFonts w:hint="eastAsia" w:ascii="宋体" w:hAnsi="宋体" w:cs="宋体"/>
          <w:kern w:val="0"/>
          <w:sz w:val="24"/>
        </w:rPr>
        <w:t>。</w:t>
      </w:r>
    </w:p>
    <w:p>
      <w:pPr>
        <w:pStyle w:val="5"/>
        <w:spacing w:line="360" w:lineRule="auto"/>
        <w:rPr>
          <w:rFonts w:ascii="宋体" w:hAnsi="宋体" w:eastAsia="宋体" w:cs="宋体"/>
          <w:szCs w:val="24"/>
        </w:rPr>
      </w:pPr>
      <w:bookmarkStart w:id="140" w:name="_Toc398111688"/>
      <w:bookmarkStart w:id="141" w:name="_Toc20476"/>
      <w:bookmarkStart w:id="142" w:name="_Toc71830926"/>
      <w:bookmarkStart w:id="143" w:name="_Toc9194592"/>
      <w:r>
        <w:rPr>
          <w:rFonts w:hint="eastAsia" w:ascii="宋体" w:hAnsi="宋体" w:eastAsia="宋体" w:cs="宋体"/>
          <w:szCs w:val="24"/>
        </w:rPr>
        <w:t>五、监理酬金</w:t>
      </w:r>
      <w:bookmarkEnd w:id="140"/>
      <w:bookmarkEnd w:id="141"/>
      <w:r>
        <w:rPr>
          <w:rFonts w:hint="eastAsia" w:ascii="宋体" w:hAnsi="宋体" w:eastAsia="宋体" w:cs="宋体"/>
          <w:szCs w:val="24"/>
        </w:rPr>
        <w:t>：</w:t>
      </w:r>
      <w:bookmarkEnd w:id="142"/>
      <w:bookmarkEnd w:id="143"/>
    </w:p>
    <w:p>
      <w:pPr>
        <w:autoSpaceDE w:val="0"/>
        <w:autoSpaceDN w:val="0"/>
        <w:adjustRightInd w:val="0"/>
        <w:spacing w:line="400" w:lineRule="exact"/>
        <w:ind w:firstLine="480" w:firstLineChars="200"/>
        <w:jc w:val="left"/>
        <w:rPr>
          <w:rFonts w:hint="eastAsia" w:ascii="宋体" w:hAnsi="宋体" w:cs="宋体"/>
          <w:sz w:val="24"/>
        </w:rPr>
      </w:pPr>
      <w:bookmarkStart w:id="144" w:name="_Toc71830927"/>
      <w:bookmarkStart w:id="145" w:name="_Toc6310"/>
      <w:bookmarkStart w:id="146" w:name="_Toc9194593"/>
      <w:bookmarkStart w:id="147" w:name="_Toc398111689"/>
      <w:r>
        <w:rPr>
          <w:rFonts w:hint="eastAsia" w:ascii="宋体" w:hAnsi="宋体" w:cs="宋体"/>
          <w:sz w:val="24"/>
        </w:rPr>
        <w:t>委托人、监理人双方同意在本合同约定的监理范围和监理合同期内的施工监理收费：</w:t>
      </w:r>
    </w:p>
    <w:p>
      <w:pPr>
        <w:autoSpaceDE w:val="0"/>
        <w:autoSpaceDN w:val="0"/>
        <w:adjustRightInd w:val="0"/>
        <w:spacing w:line="400" w:lineRule="exact"/>
        <w:ind w:firstLine="480" w:firstLineChars="200"/>
        <w:jc w:val="left"/>
        <w:rPr>
          <w:rFonts w:hint="eastAsia" w:ascii="宋体" w:hAnsi="宋体" w:cs="宋体"/>
          <w:color w:val="FF0000"/>
          <w:sz w:val="24"/>
        </w:rPr>
      </w:pPr>
      <w:r>
        <w:rPr>
          <w:rFonts w:hint="eastAsia" w:ascii="宋体" w:hAnsi="宋体" w:cs="宋体"/>
          <w:color w:val="FF0000"/>
          <w:sz w:val="24"/>
        </w:rPr>
        <w:t>监理费收费参照国家发展和改革委员会、建设部联合下发的《关于印发&lt;建设工程监理与相关服务收费管理规定&gt;的通知》(发改价格[2007]670号)文的施工</w:t>
      </w:r>
      <w:r>
        <w:rPr>
          <w:rFonts w:ascii="宋体" w:hAnsi="宋体" w:cs="宋体"/>
          <w:color w:val="FF0000"/>
          <w:sz w:val="24"/>
        </w:rPr>
        <w:t>监理</w:t>
      </w:r>
      <w:r>
        <w:rPr>
          <w:rFonts w:hint="eastAsia" w:ascii="宋体" w:hAnsi="宋体" w:cs="宋体"/>
          <w:color w:val="FF0000"/>
          <w:sz w:val="24"/>
        </w:rPr>
        <w:t>服务收费基价表并结合投标浮动幅度值计算，</w:t>
      </w:r>
      <w:r>
        <w:rPr>
          <w:rFonts w:ascii="宋体" w:hAnsi="宋体" w:cs="宋体"/>
          <w:color w:val="FF0000"/>
          <w:sz w:val="24"/>
        </w:rPr>
        <w:t>具体</w:t>
      </w:r>
      <w:r>
        <w:rPr>
          <w:rFonts w:hint="eastAsia" w:ascii="宋体" w:hAnsi="宋体" w:cs="宋体"/>
          <w:color w:val="FF0000"/>
          <w:sz w:val="24"/>
        </w:rPr>
        <w:t>公式</w:t>
      </w:r>
      <w:r>
        <w:rPr>
          <w:rFonts w:ascii="宋体" w:hAnsi="宋体" w:cs="宋体"/>
          <w:color w:val="FF0000"/>
          <w:sz w:val="24"/>
        </w:rPr>
        <w:t>如下</w:t>
      </w:r>
      <w:r>
        <w:rPr>
          <w:rFonts w:hint="eastAsia" w:ascii="宋体" w:hAnsi="宋体" w:cs="宋体"/>
          <w:color w:val="FF0000"/>
          <w:sz w:val="24"/>
        </w:rPr>
        <w:t>。</w:t>
      </w:r>
    </w:p>
    <w:p>
      <w:pPr>
        <w:autoSpaceDE w:val="0"/>
        <w:autoSpaceDN w:val="0"/>
        <w:adjustRightInd w:val="0"/>
        <w:spacing w:line="400" w:lineRule="exact"/>
        <w:ind w:firstLine="480" w:firstLineChars="200"/>
        <w:jc w:val="left"/>
        <w:rPr>
          <w:rFonts w:ascii="宋体" w:hAnsi="宋体" w:cs="宋体"/>
          <w:color w:val="FF0000"/>
          <w:sz w:val="24"/>
        </w:rPr>
      </w:pPr>
      <w:r>
        <w:rPr>
          <w:rFonts w:hint="eastAsia" w:ascii="宋体" w:hAnsi="宋体" w:cs="宋体"/>
          <w:color w:val="FF0000"/>
          <w:sz w:val="24"/>
        </w:rPr>
        <w:t>监理服务收费＝施工监理服务收费基准价×(1+中标浮动幅度值）</w:t>
      </w:r>
      <w:r>
        <w:rPr>
          <w:rFonts w:hint="eastAsia" w:ascii="宋体" w:hAnsi="宋体" w:cs="宋体"/>
          <w:color w:val="FF0000"/>
          <w:sz w:val="24"/>
          <w:lang w:eastAsia="zh-CN"/>
        </w:rPr>
        <w:t>，</w:t>
      </w:r>
      <w:r>
        <w:rPr>
          <w:rFonts w:hint="eastAsia" w:ascii="宋体" w:hAnsi="宋体" w:cs="宋体"/>
          <w:color w:val="FF0000"/>
          <w:sz w:val="24"/>
        </w:rPr>
        <w:t>中标浮动幅度值</w:t>
      </w:r>
      <w:r>
        <w:rPr>
          <w:rFonts w:hint="eastAsia" w:ascii="宋体" w:hAnsi="宋体" w:cs="宋体"/>
          <w:color w:val="FF0000"/>
          <w:sz w:val="24"/>
          <w:lang w:eastAsia="zh-CN"/>
        </w:rPr>
        <w:t>为</w:t>
      </w:r>
      <w:r>
        <w:rPr>
          <w:rFonts w:hint="eastAsia" w:ascii="宋体" w:hAnsi="宋体" w:cs="宋体"/>
          <w:color w:val="FF0000"/>
          <w:sz w:val="24"/>
          <w:u w:val="single"/>
          <w:lang w:val="en-US" w:eastAsia="zh-CN"/>
        </w:rPr>
        <w:t xml:space="preserve">    </w:t>
      </w:r>
      <w:r>
        <w:rPr>
          <w:rFonts w:hint="eastAsia" w:ascii="宋体" w:hAnsi="宋体" w:cs="宋体"/>
          <w:color w:val="FF0000"/>
          <w:sz w:val="24"/>
        </w:rPr>
        <w:t>；</w:t>
      </w:r>
    </w:p>
    <w:p>
      <w:pPr>
        <w:autoSpaceDE w:val="0"/>
        <w:autoSpaceDN w:val="0"/>
        <w:adjustRightInd w:val="0"/>
        <w:spacing w:line="400" w:lineRule="exact"/>
        <w:ind w:firstLine="480" w:firstLineChars="200"/>
        <w:jc w:val="left"/>
        <w:rPr>
          <w:rFonts w:ascii="宋体" w:hAnsi="宋体" w:cs="宋体"/>
          <w:color w:val="FF0000"/>
          <w:sz w:val="24"/>
        </w:rPr>
      </w:pPr>
      <w:r>
        <w:rPr>
          <w:rFonts w:hint="eastAsia" w:ascii="宋体" w:hAnsi="宋体" w:cs="宋体"/>
          <w:color w:val="FF0000"/>
          <w:sz w:val="24"/>
        </w:rPr>
        <w:t>施工监理服务收费基准价=施工监理服务收费基价×专业调整系数（1.0）×工程复杂程度调整系数（1.0）×高程调整系数（1.0）；</w:t>
      </w:r>
    </w:p>
    <w:p>
      <w:pPr>
        <w:autoSpaceDE w:val="0"/>
        <w:autoSpaceDN w:val="0"/>
        <w:adjustRightInd w:val="0"/>
        <w:spacing w:line="400" w:lineRule="exact"/>
        <w:ind w:firstLine="480" w:firstLineChars="200"/>
        <w:jc w:val="left"/>
        <w:rPr>
          <w:rFonts w:hint="eastAsia" w:ascii="宋体" w:hAnsi="宋体" w:cs="宋体"/>
          <w:color w:val="FF0000"/>
          <w:sz w:val="24"/>
        </w:rPr>
      </w:pPr>
      <w:r>
        <w:rPr>
          <w:rFonts w:hint="eastAsia" w:ascii="宋体" w:hAnsi="宋体" w:cs="宋体"/>
          <w:color w:val="FF0000"/>
          <w:sz w:val="24"/>
        </w:rPr>
        <w:t>施工监理服务收费基价是以本项目工程结算审计后的总造价（含修缮改造、配套等监理服务范围内的工</w:t>
      </w:r>
      <w:r>
        <w:rPr>
          <w:rFonts w:hint="eastAsia" w:ascii="宋体" w:hAnsi="宋体" w:cs="宋体"/>
          <w:color w:val="FF0000"/>
          <w:sz w:val="24"/>
          <w:highlight w:val="none"/>
        </w:rPr>
        <w:t>程，智能化设备除外）</w:t>
      </w:r>
      <w:r>
        <w:rPr>
          <w:rFonts w:hint="eastAsia" w:ascii="宋体" w:hAnsi="宋体" w:cs="宋体"/>
          <w:color w:val="FF0000"/>
          <w:sz w:val="24"/>
        </w:rPr>
        <w:t>为计费额，按《施工监理服务费收费基价表》的标准，采用直线内插法确定的收费基价。</w:t>
      </w:r>
    </w:p>
    <w:p>
      <w:pPr>
        <w:autoSpaceDE w:val="0"/>
        <w:autoSpaceDN w:val="0"/>
        <w:adjustRightInd w:val="0"/>
        <w:spacing w:line="400" w:lineRule="exact"/>
        <w:ind w:firstLine="480" w:firstLineChars="200"/>
        <w:jc w:val="left"/>
        <w:rPr>
          <w:rFonts w:ascii="宋体" w:hAnsi="宋体" w:cs="宋体"/>
          <w:color w:val="FF0000"/>
          <w:sz w:val="24"/>
        </w:rPr>
      </w:pPr>
      <w:r>
        <w:rPr>
          <w:rFonts w:hint="eastAsia" w:ascii="宋体" w:hAnsi="宋体" w:cs="宋体"/>
          <w:color w:val="FF0000"/>
          <w:sz w:val="24"/>
        </w:rPr>
        <w:t>监理费最终结算数以审计审定数为准。</w:t>
      </w:r>
    </w:p>
    <w:p>
      <w:pPr>
        <w:autoSpaceDE w:val="0"/>
        <w:autoSpaceDN w:val="0"/>
        <w:adjustRightInd w:val="0"/>
        <w:spacing w:line="400" w:lineRule="exact"/>
        <w:ind w:firstLine="480" w:firstLineChars="200"/>
        <w:jc w:val="left"/>
        <w:rPr>
          <w:rFonts w:hint="eastAsia" w:ascii="宋体" w:hAnsi="宋体" w:cs="宋体"/>
          <w:sz w:val="24"/>
        </w:rPr>
      </w:pPr>
      <w:r>
        <w:rPr>
          <w:rFonts w:hint="eastAsia" w:ascii="宋体" w:hAnsi="宋体" w:cs="宋体"/>
          <w:sz w:val="24"/>
        </w:rPr>
        <w:t>监理酬金包括：</w:t>
      </w:r>
    </w:p>
    <w:p>
      <w:pPr>
        <w:autoSpaceDE w:val="0"/>
        <w:autoSpaceDN w:val="0"/>
        <w:adjustRightInd w:val="0"/>
        <w:spacing w:line="400" w:lineRule="exact"/>
        <w:ind w:firstLine="480" w:firstLineChars="200"/>
        <w:jc w:val="left"/>
        <w:rPr>
          <w:rFonts w:hint="eastAsia" w:ascii="宋体" w:hAnsi="宋体" w:cs="宋体"/>
          <w:sz w:val="24"/>
        </w:rPr>
      </w:pPr>
      <w:r>
        <w:rPr>
          <w:rFonts w:hint="eastAsia" w:ascii="宋体" w:hAnsi="宋体" w:cs="宋体"/>
          <w:sz w:val="24"/>
        </w:rPr>
        <w:t>1. 监理酬金暂估：</w:t>
      </w:r>
      <w:r>
        <w:rPr>
          <w:rFonts w:hint="eastAsia" w:ascii="宋体" w:hAnsi="宋体" w:cs="宋体"/>
          <w:sz w:val="24"/>
          <w:u w:val="single"/>
        </w:rPr>
        <w:t xml:space="preserve">                                </w:t>
      </w:r>
    </w:p>
    <w:p>
      <w:pPr>
        <w:autoSpaceDE w:val="0"/>
        <w:autoSpaceDN w:val="0"/>
        <w:adjustRightInd w:val="0"/>
        <w:spacing w:line="360" w:lineRule="auto"/>
        <w:ind w:firstLine="480" w:firstLineChars="200"/>
        <w:jc w:val="left"/>
        <w:rPr>
          <w:rFonts w:hint="eastAsia" w:ascii="宋体" w:hAnsi="宋体" w:cs="宋体"/>
          <w:sz w:val="24"/>
        </w:rPr>
      </w:pPr>
      <w:r>
        <w:rPr>
          <w:rFonts w:hint="eastAsia" w:ascii="宋体" w:hAnsi="宋体" w:cs="宋体"/>
          <w:sz w:val="24"/>
        </w:rPr>
        <w:t>2. 相关服务酬金：</w:t>
      </w:r>
      <w:r>
        <w:rPr>
          <w:rFonts w:hint="eastAsia" w:ascii="宋体" w:hAnsi="宋体" w:cs="宋体"/>
          <w:sz w:val="24"/>
          <w:u w:val="single"/>
        </w:rPr>
        <w:t xml:space="preserve">   含在监理酬金中            </w:t>
      </w:r>
      <w:r>
        <w:rPr>
          <w:rFonts w:hint="eastAsia" w:ascii="宋体" w:hAnsi="宋体" w:cs="宋体"/>
          <w:sz w:val="24"/>
        </w:rPr>
        <w:t>。</w:t>
      </w:r>
    </w:p>
    <w:p>
      <w:pPr>
        <w:adjustRightInd w:val="0"/>
        <w:snapToGrid w:val="0"/>
        <w:spacing w:line="360" w:lineRule="auto"/>
        <w:ind w:firstLine="600" w:firstLineChars="250"/>
        <w:rPr>
          <w:rFonts w:hint="eastAsia" w:ascii="宋体" w:hAnsi="宋体" w:cs="宋体"/>
          <w:sz w:val="24"/>
        </w:rPr>
      </w:pPr>
      <w:r>
        <w:rPr>
          <w:rFonts w:hint="eastAsia" w:ascii="宋体" w:hAnsi="宋体" w:cs="宋体"/>
          <w:sz w:val="24"/>
        </w:rPr>
        <w:t>其中：</w:t>
      </w:r>
    </w:p>
    <w:p>
      <w:pPr>
        <w:adjustRightInd w:val="0"/>
        <w:snapToGrid w:val="0"/>
        <w:spacing w:line="360" w:lineRule="auto"/>
        <w:ind w:firstLine="960" w:firstLineChars="400"/>
        <w:rPr>
          <w:rFonts w:hint="eastAsia" w:ascii="宋体" w:hAnsi="宋体" w:cs="宋体"/>
          <w:sz w:val="24"/>
        </w:rPr>
      </w:pPr>
      <w:r>
        <w:rPr>
          <w:rFonts w:hint="eastAsia" w:ascii="宋体" w:hAnsi="宋体" w:cs="宋体"/>
          <w:kern w:val="0"/>
          <w:sz w:val="24"/>
        </w:rPr>
        <w:t>（1）勘察阶段服务</w:t>
      </w:r>
      <w:r>
        <w:rPr>
          <w:rFonts w:hint="eastAsia" w:ascii="宋体" w:hAnsi="宋体" w:cs="宋体"/>
          <w:sz w:val="24"/>
        </w:rPr>
        <w:t>酬金：</w:t>
      </w:r>
      <w:r>
        <w:rPr>
          <w:rFonts w:hint="eastAsia" w:ascii="宋体" w:hAnsi="宋体" w:cs="宋体"/>
          <w:sz w:val="24"/>
          <w:u w:val="single"/>
        </w:rPr>
        <w:t xml:space="preserve">         /            </w:t>
      </w:r>
      <w:r>
        <w:rPr>
          <w:rFonts w:hint="eastAsia" w:ascii="宋体" w:hAnsi="宋体" w:cs="宋体"/>
          <w:sz w:val="24"/>
        </w:rPr>
        <w:t>。</w:t>
      </w:r>
    </w:p>
    <w:p>
      <w:pPr>
        <w:adjustRightInd w:val="0"/>
        <w:snapToGrid w:val="0"/>
        <w:spacing w:line="360" w:lineRule="auto"/>
        <w:ind w:firstLine="960" w:firstLineChars="400"/>
        <w:rPr>
          <w:rFonts w:hint="eastAsia" w:ascii="宋体" w:hAnsi="宋体" w:cs="宋体"/>
          <w:sz w:val="24"/>
        </w:rPr>
      </w:pPr>
      <w:r>
        <w:rPr>
          <w:rFonts w:hint="eastAsia" w:ascii="宋体" w:hAnsi="宋体" w:cs="宋体"/>
          <w:kern w:val="0"/>
          <w:sz w:val="24"/>
        </w:rPr>
        <w:t>（2）设计阶段服务</w:t>
      </w:r>
      <w:r>
        <w:rPr>
          <w:rFonts w:hint="eastAsia" w:ascii="宋体" w:hAnsi="宋体" w:cs="宋体"/>
          <w:sz w:val="24"/>
        </w:rPr>
        <w:t>酬金：</w:t>
      </w:r>
      <w:r>
        <w:rPr>
          <w:rFonts w:hint="eastAsia" w:ascii="宋体" w:hAnsi="宋体" w:cs="宋体"/>
          <w:sz w:val="24"/>
          <w:u w:val="single"/>
        </w:rPr>
        <w:t xml:space="preserve">  含在监理酬金中      </w:t>
      </w:r>
      <w:r>
        <w:rPr>
          <w:rFonts w:hint="eastAsia" w:ascii="宋体" w:hAnsi="宋体" w:cs="宋体"/>
          <w:sz w:val="24"/>
        </w:rPr>
        <w:t>。</w:t>
      </w:r>
    </w:p>
    <w:p>
      <w:pPr>
        <w:adjustRightInd w:val="0"/>
        <w:snapToGrid w:val="0"/>
        <w:spacing w:line="360" w:lineRule="auto"/>
        <w:ind w:firstLine="960" w:firstLineChars="400"/>
        <w:rPr>
          <w:rFonts w:hint="eastAsia" w:ascii="宋体" w:hAnsi="宋体" w:cs="宋体"/>
          <w:sz w:val="24"/>
        </w:rPr>
      </w:pPr>
      <w:r>
        <w:rPr>
          <w:rFonts w:hint="eastAsia" w:ascii="宋体" w:hAnsi="宋体" w:cs="宋体"/>
          <w:kern w:val="0"/>
          <w:sz w:val="24"/>
        </w:rPr>
        <w:t>（3）保修阶段服务</w:t>
      </w:r>
      <w:r>
        <w:rPr>
          <w:rFonts w:hint="eastAsia" w:ascii="宋体" w:hAnsi="宋体" w:cs="宋体"/>
          <w:sz w:val="24"/>
        </w:rPr>
        <w:t>酬金：</w:t>
      </w:r>
      <w:r>
        <w:rPr>
          <w:rFonts w:hint="eastAsia" w:ascii="宋体" w:hAnsi="宋体" w:cs="宋体"/>
          <w:sz w:val="24"/>
          <w:u w:val="single"/>
        </w:rPr>
        <w:t xml:space="preserve">  含在监理酬金中      </w:t>
      </w:r>
      <w:r>
        <w:rPr>
          <w:rFonts w:hint="eastAsia" w:ascii="宋体" w:hAnsi="宋体" w:cs="宋体"/>
          <w:sz w:val="24"/>
        </w:rPr>
        <w:t>。</w:t>
      </w:r>
    </w:p>
    <w:p>
      <w:pPr>
        <w:adjustRightInd w:val="0"/>
        <w:snapToGrid w:val="0"/>
        <w:spacing w:line="360" w:lineRule="auto"/>
        <w:ind w:firstLine="960" w:firstLineChars="400"/>
        <w:rPr>
          <w:rFonts w:hint="eastAsia" w:ascii="宋体" w:hAnsi="宋体" w:cs="宋体"/>
          <w:sz w:val="24"/>
        </w:rPr>
      </w:pPr>
      <w:r>
        <w:rPr>
          <w:rFonts w:hint="eastAsia" w:ascii="宋体" w:hAnsi="宋体" w:cs="宋体"/>
          <w:kern w:val="0"/>
          <w:sz w:val="24"/>
        </w:rPr>
        <w:t>（4）</w:t>
      </w:r>
      <w:r>
        <w:rPr>
          <w:rFonts w:hint="eastAsia" w:ascii="宋体" w:hAnsi="宋体" w:cs="宋体"/>
          <w:sz w:val="24"/>
        </w:rPr>
        <w:t>其他相关服务酬金：</w:t>
      </w:r>
      <w:r>
        <w:rPr>
          <w:rFonts w:hint="eastAsia" w:ascii="宋体" w:hAnsi="宋体" w:cs="宋体"/>
          <w:sz w:val="24"/>
          <w:u w:val="single"/>
        </w:rPr>
        <w:t xml:space="preserve">  含在监理酬金中      </w:t>
      </w:r>
      <w:r>
        <w:rPr>
          <w:rFonts w:hint="eastAsia" w:ascii="宋体" w:hAnsi="宋体" w:cs="宋体"/>
          <w:sz w:val="24"/>
        </w:rPr>
        <w:t>。</w:t>
      </w:r>
    </w:p>
    <w:p>
      <w:pPr>
        <w:pStyle w:val="5"/>
        <w:spacing w:line="360" w:lineRule="auto"/>
        <w:rPr>
          <w:rFonts w:ascii="宋体" w:hAnsi="宋体" w:eastAsia="宋体" w:cs="宋体"/>
          <w:szCs w:val="24"/>
        </w:rPr>
      </w:pPr>
      <w:r>
        <w:rPr>
          <w:rFonts w:hint="eastAsia" w:ascii="宋体" w:hAnsi="宋体" w:eastAsia="宋体" w:cs="宋体"/>
          <w:szCs w:val="24"/>
        </w:rPr>
        <w:t>六、期限</w:t>
      </w:r>
      <w:bookmarkEnd w:id="144"/>
      <w:bookmarkEnd w:id="145"/>
      <w:bookmarkEnd w:id="146"/>
      <w:bookmarkEnd w:id="147"/>
    </w:p>
    <w:p>
      <w:pPr>
        <w:adjustRightInd w:val="0"/>
        <w:snapToGrid w:val="0"/>
        <w:spacing w:line="360" w:lineRule="auto"/>
        <w:ind w:firstLine="600" w:firstLineChars="250"/>
        <w:jc w:val="left"/>
        <w:rPr>
          <w:rFonts w:ascii="宋体" w:hAnsi="宋体" w:cs="宋体"/>
          <w:sz w:val="24"/>
        </w:rPr>
      </w:pPr>
      <w:r>
        <w:rPr>
          <w:rFonts w:hint="eastAsia" w:ascii="宋体" w:hAnsi="宋体" w:cs="宋体"/>
          <w:kern w:val="0"/>
          <w:sz w:val="24"/>
        </w:rPr>
        <w:t xml:space="preserve">1. </w:t>
      </w:r>
      <w:r>
        <w:rPr>
          <w:rFonts w:hint="eastAsia" w:ascii="宋体" w:hAnsi="宋体" w:cs="宋体"/>
          <w:sz w:val="24"/>
        </w:rPr>
        <w:t>监理期限：</w:t>
      </w:r>
    </w:p>
    <w:p>
      <w:pPr>
        <w:adjustRightInd w:val="0"/>
        <w:snapToGrid w:val="0"/>
        <w:spacing w:line="360" w:lineRule="auto"/>
        <w:ind w:firstLine="600" w:firstLineChars="250"/>
        <w:jc w:val="left"/>
        <w:rPr>
          <w:rFonts w:ascii="宋体" w:hAnsi="宋体" w:cs="宋体"/>
          <w:sz w:val="24"/>
        </w:rPr>
      </w:pPr>
      <w:r>
        <w:rPr>
          <w:rFonts w:hint="eastAsia" w:ascii="宋体" w:hAnsi="宋体" w:cs="宋体"/>
          <w:sz w:val="24"/>
        </w:rPr>
        <w:t>自项目开工之日至项目质保期满为止。</w:t>
      </w:r>
    </w:p>
    <w:p>
      <w:pPr>
        <w:adjustRightInd w:val="0"/>
        <w:snapToGrid w:val="0"/>
        <w:spacing w:line="360" w:lineRule="auto"/>
        <w:ind w:firstLine="600" w:firstLineChars="250"/>
        <w:rPr>
          <w:rFonts w:ascii="宋体" w:hAnsi="宋体" w:cs="宋体"/>
          <w:sz w:val="24"/>
        </w:rPr>
      </w:pPr>
      <w:r>
        <w:rPr>
          <w:rFonts w:hint="eastAsia" w:ascii="宋体" w:hAnsi="宋体" w:cs="宋体"/>
          <w:kern w:val="0"/>
          <w:sz w:val="24"/>
        </w:rPr>
        <w:t xml:space="preserve">2. </w:t>
      </w:r>
      <w:r>
        <w:rPr>
          <w:rFonts w:hint="eastAsia" w:ascii="宋体" w:hAnsi="宋体" w:cs="宋体"/>
          <w:sz w:val="24"/>
        </w:rPr>
        <w:t>相关服务期限：</w:t>
      </w:r>
    </w:p>
    <w:p>
      <w:pPr>
        <w:adjustRightInd w:val="0"/>
        <w:snapToGrid w:val="0"/>
        <w:spacing w:line="360" w:lineRule="auto"/>
        <w:ind w:firstLine="566" w:firstLineChars="236"/>
        <w:rPr>
          <w:rFonts w:ascii="宋体" w:hAnsi="宋体" w:cs="宋体"/>
          <w:sz w:val="24"/>
        </w:rPr>
      </w:pPr>
      <w:r>
        <w:rPr>
          <w:rFonts w:hint="eastAsia" w:ascii="宋体" w:hAnsi="宋体" w:cs="宋体"/>
          <w:kern w:val="0"/>
          <w:sz w:val="24"/>
        </w:rPr>
        <w:t>（1）勘察阶段</w:t>
      </w:r>
      <w:r>
        <w:rPr>
          <w:rFonts w:hint="eastAsia" w:ascii="宋体" w:hAnsi="宋体" w:cs="宋体"/>
          <w:sz w:val="24"/>
        </w:rPr>
        <w:t>服务期限自</w:t>
      </w:r>
      <w:r>
        <w:rPr>
          <w:rFonts w:hint="eastAsia" w:ascii="宋体" w:hAnsi="宋体" w:cs="宋体"/>
          <w:sz w:val="24"/>
          <w:u w:val="single"/>
        </w:rPr>
        <w:t xml:space="preserve">  /  </w:t>
      </w:r>
      <w:r>
        <w:rPr>
          <w:rFonts w:hint="eastAsia" w:ascii="宋体" w:hAnsi="宋体" w:cs="宋体"/>
          <w:sz w:val="24"/>
        </w:rPr>
        <w:t>年</w:t>
      </w:r>
      <w:r>
        <w:rPr>
          <w:rFonts w:hint="eastAsia" w:ascii="宋体" w:hAnsi="宋体" w:cs="宋体"/>
          <w:sz w:val="24"/>
          <w:u w:val="single"/>
        </w:rPr>
        <w:t xml:space="preserve"> / </w:t>
      </w:r>
      <w:r>
        <w:rPr>
          <w:rFonts w:hint="eastAsia" w:ascii="宋体" w:hAnsi="宋体" w:cs="宋体"/>
          <w:sz w:val="24"/>
        </w:rPr>
        <w:t>月</w:t>
      </w:r>
      <w:r>
        <w:rPr>
          <w:rFonts w:hint="eastAsia" w:ascii="宋体" w:hAnsi="宋体" w:cs="宋体"/>
          <w:sz w:val="24"/>
          <w:u w:val="single"/>
        </w:rPr>
        <w:t xml:space="preserve"> / </w:t>
      </w:r>
      <w:r>
        <w:rPr>
          <w:rFonts w:hint="eastAsia" w:ascii="宋体" w:hAnsi="宋体" w:cs="宋体"/>
          <w:sz w:val="24"/>
        </w:rPr>
        <w:t>日始，至</w:t>
      </w:r>
      <w:r>
        <w:rPr>
          <w:rFonts w:hint="eastAsia" w:ascii="宋体" w:hAnsi="宋体" w:cs="宋体"/>
          <w:sz w:val="24"/>
          <w:u w:val="single"/>
        </w:rPr>
        <w:t xml:space="preserve">  /  </w:t>
      </w:r>
      <w:r>
        <w:rPr>
          <w:rFonts w:hint="eastAsia" w:ascii="宋体" w:hAnsi="宋体" w:cs="宋体"/>
          <w:sz w:val="24"/>
        </w:rPr>
        <w:t>年</w:t>
      </w:r>
      <w:r>
        <w:rPr>
          <w:rFonts w:hint="eastAsia" w:ascii="宋体" w:hAnsi="宋体" w:cs="宋体"/>
          <w:sz w:val="24"/>
          <w:u w:val="single"/>
        </w:rPr>
        <w:t xml:space="preserve"> / </w:t>
      </w:r>
      <w:r>
        <w:rPr>
          <w:rFonts w:hint="eastAsia" w:ascii="宋体" w:hAnsi="宋体" w:cs="宋体"/>
          <w:sz w:val="24"/>
        </w:rPr>
        <w:t>月</w:t>
      </w:r>
      <w:r>
        <w:rPr>
          <w:rFonts w:hint="eastAsia" w:ascii="宋体" w:hAnsi="宋体" w:cs="宋体"/>
          <w:sz w:val="24"/>
          <w:u w:val="single"/>
        </w:rPr>
        <w:t xml:space="preserve"> / </w:t>
      </w:r>
      <w:r>
        <w:rPr>
          <w:rFonts w:hint="eastAsia" w:ascii="宋体" w:hAnsi="宋体" w:cs="宋体"/>
          <w:sz w:val="24"/>
        </w:rPr>
        <w:t>日止。</w:t>
      </w:r>
    </w:p>
    <w:p>
      <w:pPr>
        <w:adjustRightInd w:val="0"/>
        <w:snapToGrid w:val="0"/>
        <w:spacing w:line="360" w:lineRule="auto"/>
        <w:ind w:firstLine="566" w:firstLineChars="236"/>
        <w:rPr>
          <w:rFonts w:ascii="宋体" w:hAnsi="宋体" w:cs="宋体"/>
          <w:sz w:val="24"/>
        </w:rPr>
      </w:pPr>
      <w:r>
        <w:rPr>
          <w:rFonts w:hint="eastAsia" w:ascii="宋体" w:hAnsi="宋体" w:cs="宋体"/>
          <w:kern w:val="0"/>
          <w:sz w:val="24"/>
        </w:rPr>
        <w:t>（2）设计阶段</w:t>
      </w:r>
      <w:r>
        <w:rPr>
          <w:rFonts w:hint="eastAsia" w:ascii="宋体" w:hAnsi="宋体" w:cs="宋体"/>
          <w:sz w:val="24"/>
        </w:rPr>
        <w:t>服务期限自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日始，至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pPr>
        <w:adjustRightInd w:val="0"/>
        <w:snapToGrid w:val="0"/>
        <w:spacing w:line="360" w:lineRule="auto"/>
        <w:ind w:firstLine="566" w:firstLineChars="236"/>
        <w:rPr>
          <w:rFonts w:ascii="宋体" w:hAnsi="宋体" w:cs="宋体"/>
          <w:sz w:val="24"/>
        </w:rPr>
      </w:pPr>
      <w:r>
        <w:rPr>
          <w:rFonts w:hint="eastAsia" w:ascii="宋体" w:hAnsi="宋体" w:cs="宋体"/>
          <w:kern w:val="0"/>
          <w:sz w:val="24"/>
        </w:rPr>
        <w:t>（3）保修阶段</w:t>
      </w:r>
      <w:r>
        <w:rPr>
          <w:rFonts w:hint="eastAsia" w:ascii="宋体" w:hAnsi="宋体" w:cs="宋体"/>
          <w:sz w:val="24"/>
        </w:rPr>
        <w:t>服务期限自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日始，至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pPr>
        <w:adjustRightInd w:val="0"/>
        <w:snapToGrid w:val="0"/>
        <w:spacing w:line="360" w:lineRule="auto"/>
        <w:ind w:firstLine="566" w:firstLineChars="236"/>
        <w:rPr>
          <w:rFonts w:ascii="宋体" w:hAnsi="宋体" w:cs="宋体"/>
          <w:sz w:val="24"/>
        </w:rPr>
      </w:pPr>
      <w:r>
        <w:rPr>
          <w:rFonts w:hint="eastAsia" w:ascii="宋体" w:hAnsi="宋体" w:cs="宋体"/>
          <w:kern w:val="0"/>
          <w:sz w:val="24"/>
        </w:rPr>
        <w:t>（4）</w:t>
      </w:r>
      <w:r>
        <w:rPr>
          <w:rFonts w:hint="eastAsia" w:ascii="宋体" w:hAnsi="宋体" w:cs="宋体"/>
          <w:sz w:val="24"/>
        </w:rPr>
        <w:t>其他相关服务期限自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日始，至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日止。</w:t>
      </w:r>
    </w:p>
    <w:p>
      <w:pPr>
        <w:pStyle w:val="5"/>
        <w:spacing w:line="360" w:lineRule="auto"/>
        <w:rPr>
          <w:rFonts w:ascii="宋体" w:hAnsi="宋体" w:eastAsia="宋体" w:cs="宋体"/>
          <w:szCs w:val="24"/>
        </w:rPr>
      </w:pPr>
      <w:bookmarkStart w:id="148" w:name="_Toc13594"/>
      <w:bookmarkStart w:id="149" w:name="_Toc398111690"/>
      <w:bookmarkStart w:id="150" w:name="_Toc71830928"/>
      <w:bookmarkStart w:id="151" w:name="_Toc9194594"/>
      <w:r>
        <w:rPr>
          <w:rFonts w:hint="eastAsia" w:ascii="宋体" w:hAnsi="宋体" w:eastAsia="宋体" w:cs="宋体"/>
          <w:szCs w:val="24"/>
        </w:rPr>
        <w:t>七、双方承诺</w:t>
      </w:r>
      <w:bookmarkEnd w:id="148"/>
      <w:bookmarkEnd w:id="149"/>
      <w:bookmarkEnd w:id="150"/>
      <w:bookmarkEnd w:id="151"/>
    </w:p>
    <w:p>
      <w:pPr>
        <w:adjustRightInd w:val="0"/>
        <w:snapToGrid w:val="0"/>
        <w:spacing w:line="360" w:lineRule="auto"/>
        <w:ind w:firstLine="600" w:firstLineChars="250"/>
        <w:rPr>
          <w:rFonts w:ascii="宋体" w:hAnsi="宋体" w:cs="宋体"/>
          <w:kern w:val="0"/>
          <w:sz w:val="24"/>
        </w:rPr>
      </w:pPr>
      <w:r>
        <w:rPr>
          <w:rFonts w:hint="eastAsia" w:ascii="宋体" w:hAnsi="宋体" w:cs="宋体"/>
          <w:kern w:val="0"/>
          <w:sz w:val="24"/>
        </w:rPr>
        <w:t>1. 监理人向委托人承诺，按照本合同约定提供监理与相关服务。</w:t>
      </w:r>
    </w:p>
    <w:p>
      <w:pPr>
        <w:adjustRightInd w:val="0"/>
        <w:snapToGrid w:val="0"/>
        <w:spacing w:line="360" w:lineRule="auto"/>
        <w:ind w:firstLine="600" w:firstLineChars="250"/>
        <w:rPr>
          <w:rFonts w:ascii="宋体" w:hAnsi="宋体" w:cs="宋体"/>
          <w:kern w:val="0"/>
          <w:sz w:val="24"/>
        </w:rPr>
      </w:pPr>
      <w:r>
        <w:rPr>
          <w:rFonts w:hint="eastAsia" w:ascii="宋体" w:hAnsi="宋体" w:cs="宋体"/>
          <w:kern w:val="0"/>
          <w:sz w:val="24"/>
        </w:rPr>
        <w:t>2. 委托人向监理人承诺，按照本合同约定派遣相应的人员，提供房屋、资料、设备，并按本合同约定支付酬金。</w:t>
      </w:r>
    </w:p>
    <w:p>
      <w:pPr>
        <w:pStyle w:val="5"/>
        <w:spacing w:line="360" w:lineRule="auto"/>
        <w:rPr>
          <w:rFonts w:ascii="宋体" w:hAnsi="宋体" w:eastAsia="宋体" w:cs="宋体"/>
          <w:szCs w:val="24"/>
        </w:rPr>
      </w:pPr>
      <w:bookmarkStart w:id="152" w:name="_Toc398111691"/>
      <w:bookmarkStart w:id="153" w:name="_Toc9194595"/>
      <w:bookmarkStart w:id="154" w:name="_Toc16211"/>
      <w:bookmarkStart w:id="155" w:name="_Toc71830929"/>
      <w:r>
        <w:rPr>
          <w:rFonts w:hint="eastAsia" w:ascii="宋体" w:hAnsi="宋体" w:eastAsia="宋体" w:cs="宋体"/>
          <w:szCs w:val="24"/>
        </w:rPr>
        <w:t>八、合同订立</w:t>
      </w:r>
      <w:bookmarkEnd w:id="152"/>
      <w:bookmarkEnd w:id="153"/>
      <w:bookmarkEnd w:id="154"/>
      <w:bookmarkEnd w:id="155"/>
    </w:p>
    <w:p>
      <w:pPr>
        <w:adjustRightInd w:val="0"/>
        <w:snapToGrid w:val="0"/>
        <w:spacing w:line="360" w:lineRule="auto"/>
        <w:ind w:firstLine="475" w:firstLineChars="198"/>
        <w:rPr>
          <w:rFonts w:ascii="宋体" w:hAnsi="宋体" w:cs="宋体"/>
          <w:sz w:val="24"/>
        </w:rPr>
      </w:pPr>
      <w:r>
        <w:rPr>
          <w:rFonts w:hint="eastAsia" w:ascii="宋体" w:hAnsi="宋体" w:cs="宋体"/>
          <w:sz w:val="24"/>
        </w:rPr>
        <w:t>1. 订立时间：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2. 订立地点：</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3. 本合同一式</w:t>
      </w:r>
      <w:r>
        <w:rPr>
          <w:rFonts w:hint="eastAsia" w:ascii="宋体" w:hAnsi="宋体" w:cs="宋体"/>
          <w:sz w:val="24"/>
          <w:u w:val="single"/>
        </w:rPr>
        <w:t xml:space="preserve">    </w:t>
      </w:r>
      <w:r>
        <w:rPr>
          <w:rFonts w:hint="eastAsia" w:ascii="宋体" w:hAnsi="宋体" w:cs="宋体"/>
          <w:sz w:val="24"/>
        </w:rPr>
        <w:t>份，具有同等法律效力，双方各执</w:t>
      </w:r>
      <w:r>
        <w:rPr>
          <w:rFonts w:hint="eastAsia" w:ascii="宋体" w:hAnsi="宋体" w:cs="宋体"/>
          <w:sz w:val="24"/>
          <w:u w:val="single"/>
        </w:rPr>
        <w:t xml:space="preserve">     </w:t>
      </w:r>
      <w:r>
        <w:rPr>
          <w:rFonts w:hint="eastAsia" w:ascii="宋体" w:hAnsi="宋体" w:cs="宋体"/>
          <w:sz w:val="24"/>
        </w:rPr>
        <w:t>份。</w:t>
      </w:r>
    </w:p>
    <w:p>
      <w:pPr>
        <w:adjustRightInd w:val="0"/>
        <w:snapToGrid w:val="0"/>
        <w:spacing w:line="360" w:lineRule="auto"/>
        <w:ind w:firstLine="475" w:firstLineChars="198"/>
        <w:rPr>
          <w:rFonts w:ascii="宋体" w:hAnsi="宋体" w:cs="宋体"/>
          <w:sz w:val="24"/>
        </w:rPr>
      </w:pPr>
    </w:p>
    <w:p>
      <w:pPr>
        <w:adjustRightInd w:val="0"/>
        <w:snapToGrid w:val="0"/>
        <w:spacing w:line="360" w:lineRule="auto"/>
        <w:ind w:firstLine="475" w:firstLineChars="198"/>
        <w:rPr>
          <w:rFonts w:ascii="宋体" w:hAnsi="宋体" w:cs="宋体"/>
          <w:sz w:val="24"/>
        </w:rPr>
      </w:pPr>
      <w:r>
        <w:rPr>
          <w:rFonts w:hint="eastAsia" w:ascii="宋体" w:hAnsi="宋体" w:cs="宋体"/>
          <w:sz w:val="24"/>
        </w:rPr>
        <w:t>委托人：</w:t>
      </w:r>
      <w:r>
        <w:rPr>
          <w:rFonts w:hint="eastAsia" w:ascii="宋体" w:hAnsi="宋体" w:cs="宋体"/>
          <w:sz w:val="24"/>
          <w:u w:val="single"/>
        </w:rPr>
        <w:t xml:space="preserve">   （盖章）     </w:t>
      </w:r>
      <w:r>
        <w:rPr>
          <w:rFonts w:hint="eastAsia" w:ascii="宋体" w:hAnsi="宋体" w:cs="宋体"/>
          <w:sz w:val="24"/>
        </w:rPr>
        <w:t xml:space="preserve">              监理人：</w:t>
      </w:r>
      <w:r>
        <w:rPr>
          <w:rFonts w:hint="eastAsia" w:ascii="宋体" w:hAnsi="宋体" w:cs="宋体"/>
          <w:sz w:val="24"/>
          <w:u w:val="single"/>
        </w:rPr>
        <w:t xml:space="preserve">   （盖章）    </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 xml:space="preserve">住所： </w:t>
      </w:r>
      <w:r>
        <w:rPr>
          <w:rFonts w:hint="eastAsia" w:ascii="宋体" w:hAnsi="宋体" w:cs="宋体"/>
          <w:sz w:val="24"/>
          <w:u w:val="single"/>
        </w:rPr>
        <w:t xml:space="preserve">                     </w:t>
      </w:r>
      <w:r>
        <w:rPr>
          <w:rFonts w:hint="eastAsia" w:ascii="宋体" w:hAnsi="宋体" w:cs="宋体"/>
          <w:sz w:val="24"/>
        </w:rPr>
        <w:t xml:space="preserve">          住所： </w:t>
      </w:r>
      <w:r>
        <w:rPr>
          <w:rFonts w:hint="eastAsia" w:ascii="宋体" w:hAnsi="宋体" w:cs="宋体"/>
          <w:sz w:val="24"/>
          <w:u w:val="single"/>
        </w:rPr>
        <w:t xml:space="preserve">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w:t>
      </w:r>
      <w:r>
        <w:rPr>
          <w:rFonts w:hint="eastAsia" w:ascii="宋体" w:hAnsi="宋体" w:cs="宋体"/>
          <w:sz w:val="24"/>
        </w:rPr>
        <w:t xml:space="preserve">           邮政编码：</w:t>
      </w:r>
      <w:r>
        <w:rPr>
          <w:rFonts w:hint="eastAsia" w:ascii="宋体" w:hAnsi="宋体" w:cs="宋体"/>
          <w:sz w:val="24"/>
          <w:u w:val="single"/>
        </w:rPr>
        <w:t xml:space="preserve">                  </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法定代表人或其授权                    法定代表人或其授权</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的代理人：</w:t>
      </w:r>
      <w:r>
        <w:rPr>
          <w:rFonts w:hint="eastAsia" w:ascii="宋体" w:hAnsi="宋体" w:cs="宋体"/>
          <w:sz w:val="24"/>
          <w:u w:val="single"/>
        </w:rPr>
        <w:t xml:space="preserve">（签字）      </w:t>
      </w:r>
      <w:r>
        <w:rPr>
          <w:rFonts w:hint="eastAsia" w:ascii="宋体" w:hAnsi="宋体" w:cs="宋体"/>
          <w:sz w:val="24"/>
        </w:rPr>
        <w:t xml:space="preserve">              的代理人：</w:t>
      </w:r>
      <w:r>
        <w:rPr>
          <w:rFonts w:hint="eastAsia" w:ascii="宋体" w:hAnsi="宋体" w:cs="宋体"/>
          <w:sz w:val="24"/>
          <w:u w:val="single"/>
        </w:rPr>
        <w:t xml:space="preserve">（签字）          </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r>
        <w:rPr>
          <w:rFonts w:hint="eastAsia" w:ascii="宋体" w:hAnsi="宋体" w:cs="宋体"/>
          <w:sz w:val="24"/>
          <w:u w:val="single"/>
        </w:rPr>
        <w:t xml:space="preserve">                  </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账号：</w:t>
      </w:r>
      <w:r>
        <w:rPr>
          <w:rFonts w:hint="eastAsia" w:ascii="宋体" w:hAnsi="宋体" w:cs="宋体"/>
          <w:sz w:val="24"/>
          <w:u w:val="single"/>
        </w:rPr>
        <w:t xml:space="preserve">                      </w:t>
      </w:r>
      <w:r>
        <w:rPr>
          <w:rFonts w:hint="eastAsia" w:ascii="宋体" w:hAnsi="宋体" w:cs="宋体"/>
          <w:sz w:val="24"/>
        </w:rPr>
        <w:t xml:space="preserve">          账号：</w:t>
      </w:r>
      <w:r>
        <w:rPr>
          <w:rFonts w:hint="eastAsia" w:ascii="宋体" w:hAnsi="宋体" w:cs="宋体"/>
          <w:sz w:val="24"/>
          <w:u w:val="single"/>
        </w:rPr>
        <w:t xml:space="preserve">                       </w:t>
      </w:r>
      <w:r>
        <w:rPr>
          <w:rFonts w:hint="eastAsia" w:ascii="宋体" w:hAnsi="宋体" w:cs="宋体"/>
          <w:sz w:val="24"/>
        </w:rPr>
        <w:t xml:space="preserve"> </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电话：</w:t>
      </w:r>
      <w:r>
        <w:rPr>
          <w:rFonts w:hint="eastAsia" w:ascii="宋体" w:hAnsi="宋体" w:cs="宋体"/>
          <w:sz w:val="24"/>
          <w:u w:val="single"/>
        </w:rPr>
        <w:t xml:space="preserve">                       </w:t>
      </w:r>
    </w:p>
    <w:p>
      <w:pPr>
        <w:adjustRightInd w:val="0"/>
        <w:snapToGrid w:val="0"/>
        <w:spacing w:line="360" w:lineRule="auto"/>
        <w:ind w:firstLine="475" w:firstLineChars="198"/>
        <w:rPr>
          <w:rFonts w:ascii="宋体" w:hAnsi="宋体" w:cs="宋体"/>
          <w:sz w:val="24"/>
        </w:rPr>
      </w:pPr>
      <w:r>
        <w:rPr>
          <w:rFonts w:hint="eastAsia" w:ascii="宋体" w:hAnsi="宋体" w:cs="宋体"/>
          <w:sz w:val="24"/>
        </w:rPr>
        <w:t>传真：</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adjustRightInd w:val="0"/>
        <w:snapToGrid w:val="0"/>
        <w:spacing w:line="360" w:lineRule="auto"/>
        <w:ind w:firstLine="475" w:firstLineChars="198"/>
        <w:rPr>
          <w:rFonts w:ascii="宋体" w:hAnsi="宋体" w:cs="宋体"/>
          <w:sz w:val="24"/>
          <w:u w:val="single"/>
        </w:rPr>
      </w:pPr>
      <w:r>
        <w:rPr>
          <w:rFonts w:hint="eastAsia" w:ascii="宋体" w:hAnsi="宋体" w:cs="宋体"/>
          <w:sz w:val="24"/>
        </w:rPr>
        <w:t>电子邮箱：</w:t>
      </w:r>
      <w:r>
        <w:rPr>
          <w:rFonts w:hint="eastAsia" w:ascii="宋体" w:hAnsi="宋体" w:cs="宋体"/>
          <w:sz w:val="24"/>
          <w:u w:val="single"/>
        </w:rPr>
        <w:t xml:space="preserve">                 </w:t>
      </w:r>
      <w:r>
        <w:rPr>
          <w:rFonts w:hint="eastAsia" w:ascii="宋体" w:hAnsi="宋体" w:cs="宋体"/>
          <w:sz w:val="24"/>
        </w:rPr>
        <w:t xml:space="preserve">           电子邮箱：</w:t>
      </w:r>
      <w:r>
        <w:rPr>
          <w:rFonts w:hint="eastAsia" w:ascii="宋体" w:hAnsi="宋体" w:cs="宋体"/>
          <w:sz w:val="24"/>
          <w:u w:val="single"/>
        </w:rPr>
        <w:t xml:space="preserve">                  </w:t>
      </w:r>
    </w:p>
    <w:p>
      <w:pPr>
        <w:adjustRightInd w:val="0"/>
        <w:snapToGrid w:val="0"/>
        <w:spacing w:line="360" w:lineRule="auto"/>
        <w:ind w:firstLine="475" w:firstLineChars="198"/>
        <w:rPr>
          <w:rFonts w:ascii="宋体" w:hAnsi="宋体" w:cs="宋体"/>
          <w:sz w:val="24"/>
          <w:u w:val="single"/>
        </w:rPr>
      </w:pPr>
    </w:p>
    <w:p>
      <w:pPr>
        <w:adjustRightInd w:val="0"/>
        <w:snapToGrid w:val="0"/>
        <w:spacing w:line="360" w:lineRule="auto"/>
        <w:ind w:firstLine="475" w:firstLineChars="198"/>
        <w:rPr>
          <w:rFonts w:ascii="宋体" w:hAnsi="宋体" w:cs="宋体"/>
          <w:sz w:val="24"/>
          <w:u w:val="single"/>
        </w:rPr>
      </w:pPr>
    </w:p>
    <w:p>
      <w:pPr>
        <w:adjustRightInd w:val="0"/>
        <w:snapToGrid w:val="0"/>
        <w:spacing w:line="360" w:lineRule="auto"/>
        <w:ind w:firstLine="475" w:firstLineChars="198"/>
        <w:rPr>
          <w:rFonts w:ascii="宋体" w:hAnsi="宋体" w:cs="宋体"/>
          <w:sz w:val="24"/>
          <w:u w:val="single"/>
        </w:rPr>
      </w:pPr>
    </w:p>
    <w:p>
      <w:pPr>
        <w:adjustRightInd w:val="0"/>
        <w:snapToGrid w:val="0"/>
        <w:spacing w:line="360" w:lineRule="auto"/>
        <w:ind w:firstLine="475" w:firstLineChars="198"/>
        <w:rPr>
          <w:rFonts w:ascii="宋体" w:hAnsi="宋体" w:cs="宋体"/>
          <w:sz w:val="24"/>
          <w:u w:val="single"/>
        </w:rPr>
      </w:pPr>
    </w:p>
    <w:p>
      <w:pPr>
        <w:adjustRightInd w:val="0"/>
        <w:snapToGrid w:val="0"/>
        <w:spacing w:line="360" w:lineRule="auto"/>
        <w:ind w:firstLine="475" w:firstLineChars="198"/>
        <w:rPr>
          <w:rFonts w:ascii="宋体" w:hAnsi="宋体" w:cs="宋体"/>
          <w:sz w:val="24"/>
          <w:u w:val="single"/>
        </w:rPr>
      </w:pPr>
    </w:p>
    <w:p>
      <w:pPr>
        <w:adjustRightInd w:val="0"/>
        <w:snapToGrid w:val="0"/>
        <w:spacing w:line="360" w:lineRule="auto"/>
        <w:ind w:firstLine="475" w:firstLineChars="198"/>
        <w:rPr>
          <w:rFonts w:ascii="宋体" w:hAnsi="宋体" w:cs="宋体"/>
          <w:sz w:val="24"/>
          <w:u w:val="single"/>
        </w:rPr>
      </w:pPr>
    </w:p>
    <w:p>
      <w:pPr>
        <w:adjustRightInd w:val="0"/>
        <w:snapToGrid w:val="0"/>
        <w:spacing w:line="360" w:lineRule="auto"/>
        <w:ind w:firstLine="475" w:firstLineChars="198"/>
        <w:rPr>
          <w:rFonts w:ascii="宋体" w:hAnsi="宋体" w:cs="宋体"/>
          <w:sz w:val="24"/>
          <w:u w:val="single"/>
        </w:rPr>
      </w:pPr>
    </w:p>
    <w:p>
      <w:pPr>
        <w:adjustRightInd w:val="0"/>
        <w:snapToGrid w:val="0"/>
        <w:spacing w:line="360" w:lineRule="auto"/>
        <w:ind w:firstLine="475" w:firstLineChars="198"/>
        <w:rPr>
          <w:rFonts w:ascii="宋体" w:hAnsi="宋体" w:cs="宋体"/>
          <w:sz w:val="24"/>
          <w:u w:val="single"/>
        </w:rPr>
      </w:pPr>
    </w:p>
    <w:p>
      <w:pPr>
        <w:adjustRightInd w:val="0"/>
        <w:snapToGrid w:val="0"/>
        <w:spacing w:line="360" w:lineRule="auto"/>
        <w:ind w:firstLine="475" w:firstLineChars="198"/>
        <w:rPr>
          <w:rFonts w:ascii="宋体" w:hAnsi="宋体" w:cs="宋体"/>
          <w:sz w:val="24"/>
          <w:u w:val="single"/>
        </w:rPr>
      </w:pPr>
    </w:p>
    <w:p>
      <w:pPr>
        <w:adjustRightInd w:val="0"/>
        <w:snapToGrid w:val="0"/>
        <w:spacing w:line="360" w:lineRule="auto"/>
        <w:ind w:firstLine="475" w:firstLineChars="198"/>
        <w:rPr>
          <w:rFonts w:ascii="宋体" w:hAnsi="宋体" w:cs="宋体"/>
          <w:sz w:val="24"/>
          <w:u w:val="single"/>
        </w:rPr>
      </w:pPr>
    </w:p>
    <w:p>
      <w:pPr>
        <w:adjustRightInd w:val="0"/>
        <w:snapToGrid w:val="0"/>
        <w:spacing w:line="360" w:lineRule="auto"/>
        <w:ind w:firstLine="475" w:firstLineChars="198"/>
        <w:rPr>
          <w:rFonts w:ascii="宋体" w:hAnsi="宋体" w:cs="宋体"/>
          <w:sz w:val="24"/>
          <w:u w:val="single"/>
        </w:rPr>
      </w:pPr>
    </w:p>
    <w:p>
      <w:pPr>
        <w:pStyle w:val="4"/>
        <w:spacing w:line="360" w:lineRule="auto"/>
        <w:jc w:val="center"/>
        <w:rPr>
          <w:rFonts w:ascii="宋体" w:hAnsi="宋体" w:eastAsia="宋体" w:cs="宋体"/>
          <w:sz w:val="28"/>
          <w:szCs w:val="28"/>
        </w:rPr>
      </w:pPr>
      <w:bookmarkStart w:id="156" w:name="_Toc31005"/>
      <w:bookmarkStart w:id="157" w:name="_Toc9194596"/>
      <w:bookmarkStart w:id="158" w:name="_Toc71830930"/>
      <w:bookmarkStart w:id="159" w:name="_Toc398111692"/>
      <w:r>
        <w:rPr>
          <w:rFonts w:hint="eastAsia" w:ascii="宋体" w:hAnsi="宋体" w:eastAsia="宋体" w:cs="宋体"/>
          <w:sz w:val="28"/>
          <w:szCs w:val="28"/>
        </w:rPr>
        <w:t>第二部分  通用条件</w:t>
      </w:r>
      <w:bookmarkEnd w:id="156"/>
      <w:bookmarkEnd w:id="157"/>
      <w:bookmarkEnd w:id="158"/>
      <w:bookmarkEnd w:id="159"/>
    </w:p>
    <w:p>
      <w:pPr>
        <w:keepNext/>
        <w:keepLines/>
        <w:spacing w:before="20" w:after="20" w:line="400" w:lineRule="exact"/>
        <w:outlineLvl w:val="2"/>
        <w:rPr>
          <w:rFonts w:ascii="宋体" w:hAnsi="宋体" w:cs="Calibri"/>
          <w:bCs/>
          <w:kern w:val="0"/>
          <w:sz w:val="24"/>
        </w:rPr>
      </w:pPr>
      <w:bookmarkStart w:id="160" w:name="_Toc66888521"/>
      <w:bookmarkStart w:id="161" w:name="_Toc7378"/>
      <w:bookmarkStart w:id="162" w:name="_Toc398111693"/>
      <w:bookmarkStart w:id="163" w:name="_Toc66888628"/>
      <w:bookmarkStart w:id="164" w:name="_Toc9194597"/>
      <w:bookmarkStart w:id="165" w:name="_Toc71830931"/>
      <w:r>
        <w:rPr>
          <w:rFonts w:ascii="宋体" w:hAnsi="宋体" w:cs="Calibri"/>
          <w:bCs/>
          <w:kern w:val="0"/>
          <w:sz w:val="24"/>
        </w:rPr>
        <w:t>1. 定义与解释</w:t>
      </w:r>
      <w:bookmarkEnd w:id="160"/>
      <w:bookmarkEnd w:id="161"/>
      <w:bookmarkEnd w:id="162"/>
      <w:bookmarkEnd w:id="163"/>
      <w:bookmarkEnd w:id="164"/>
      <w:bookmarkEnd w:id="165"/>
    </w:p>
    <w:p>
      <w:pPr>
        <w:spacing w:line="400" w:lineRule="exact"/>
        <w:ind w:left="210" w:leftChars="100"/>
        <w:rPr>
          <w:rFonts w:ascii="宋体" w:hAnsi="宋体" w:cs="Calibri"/>
          <w:bCs/>
          <w:sz w:val="24"/>
        </w:rPr>
      </w:pPr>
      <w:r>
        <w:rPr>
          <w:rFonts w:ascii="宋体" w:hAnsi="宋体" w:cs="Calibri"/>
          <w:sz w:val="24"/>
        </w:rPr>
        <w:t xml:space="preserve">1.1 </w:t>
      </w:r>
      <w:r>
        <w:rPr>
          <w:rFonts w:ascii="宋体" w:hAnsi="宋体" w:cs="Calibri"/>
          <w:bCs/>
          <w:sz w:val="24"/>
        </w:rPr>
        <w:t>定义</w:t>
      </w:r>
    </w:p>
    <w:p>
      <w:pPr>
        <w:adjustRightInd w:val="0"/>
        <w:snapToGrid w:val="0"/>
        <w:spacing w:line="400" w:lineRule="exact"/>
        <w:ind w:firstLine="480" w:firstLineChars="200"/>
        <w:rPr>
          <w:rFonts w:ascii="宋体" w:hAnsi="宋体" w:cs="Calibri"/>
          <w:sz w:val="24"/>
        </w:rPr>
      </w:pPr>
      <w:r>
        <w:rPr>
          <w:rFonts w:ascii="宋体" w:hAnsi="宋体" w:cs="Calibri"/>
          <w:sz w:val="24"/>
        </w:rPr>
        <w:t>除根据上下文另有其意义外，组成本合同的全部文件中的下列名词和用语应具有本款所赋予的含义：</w:t>
      </w:r>
    </w:p>
    <w:p>
      <w:pPr>
        <w:adjustRightInd w:val="0"/>
        <w:snapToGrid w:val="0"/>
        <w:spacing w:line="400" w:lineRule="exact"/>
        <w:ind w:firstLine="480" w:firstLineChars="200"/>
        <w:rPr>
          <w:rFonts w:ascii="宋体" w:hAnsi="宋体" w:cs="Calibri"/>
          <w:sz w:val="24"/>
        </w:rPr>
      </w:pPr>
      <w:r>
        <w:rPr>
          <w:rFonts w:ascii="宋体" w:hAnsi="宋体" w:cs="Calibri"/>
          <w:sz w:val="24"/>
        </w:rPr>
        <w:t>1.1.1 “工程”是指按照本合同约定实施监理与相关服务的建设工程。</w:t>
      </w:r>
    </w:p>
    <w:p>
      <w:pPr>
        <w:adjustRightInd w:val="0"/>
        <w:snapToGrid w:val="0"/>
        <w:spacing w:line="400" w:lineRule="exact"/>
        <w:ind w:firstLine="480" w:firstLineChars="200"/>
        <w:rPr>
          <w:rFonts w:ascii="宋体" w:hAnsi="宋体" w:cs="Calibri"/>
          <w:sz w:val="24"/>
        </w:rPr>
      </w:pPr>
      <w:r>
        <w:rPr>
          <w:rFonts w:ascii="宋体" w:hAnsi="宋体" w:cs="Calibri"/>
          <w:sz w:val="24"/>
        </w:rPr>
        <w:t>1.1.2 “委托人”是指本合同中委托监理与相关服务的一方，及其合法的继承人或受让人。</w:t>
      </w:r>
    </w:p>
    <w:p>
      <w:pPr>
        <w:adjustRightInd w:val="0"/>
        <w:snapToGrid w:val="0"/>
        <w:spacing w:line="400" w:lineRule="exact"/>
        <w:ind w:firstLine="480" w:firstLineChars="200"/>
        <w:rPr>
          <w:rFonts w:ascii="宋体" w:hAnsi="宋体" w:cs="Calibri"/>
          <w:sz w:val="24"/>
        </w:rPr>
      </w:pPr>
      <w:r>
        <w:rPr>
          <w:rFonts w:ascii="宋体" w:hAnsi="宋体" w:cs="Calibri"/>
          <w:sz w:val="24"/>
        </w:rPr>
        <w:t>1.1.3 “监理人”是指本合同中提供监理与相关服务的一方，及其合法的继承人。</w:t>
      </w:r>
    </w:p>
    <w:p>
      <w:pPr>
        <w:adjustRightInd w:val="0"/>
        <w:snapToGrid w:val="0"/>
        <w:spacing w:line="400" w:lineRule="exact"/>
        <w:ind w:firstLine="480" w:firstLineChars="200"/>
        <w:rPr>
          <w:rFonts w:ascii="宋体" w:hAnsi="宋体" w:cs="Calibri"/>
          <w:sz w:val="24"/>
        </w:rPr>
      </w:pPr>
      <w:r>
        <w:rPr>
          <w:rFonts w:ascii="宋体" w:hAnsi="宋体" w:cs="Calibri"/>
          <w:sz w:val="24"/>
        </w:rPr>
        <w:t>1.1.4 “承包人”是指在工程范围内与委托人签订勘察、设计、施工等有关合同的当事人，及其合法的继承人。</w:t>
      </w:r>
    </w:p>
    <w:p>
      <w:pPr>
        <w:spacing w:line="400" w:lineRule="exact"/>
        <w:ind w:firstLine="570"/>
        <w:rPr>
          <w:rFonts w:ascii="宋体" w:hAnsi="宋体" w:cs="Calibri"/>
          <w:sz w:val="24"/>
        </w:rPr>
      </w:pPr>
      <w:r>
        <w:rPr>
          <w:rFonts w:ascii="宋体" w:hAnsi="宋体" w:cs="Calibri"/>
          <w:sz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adjustRightInd w:val="0"/>
        <w:snapToGrid w:val="0"/>
        <w:spacing w:line="400" w:lineRule="exact"/>
        <w:ind w:firstLine="480" w:firstLineChars="200"/>
        <w:rPr>
          <w:rFonts w:ascii="宋体" w:hAnsi="宋体" w:cs="Calibri"/>
          <w:sz w:val="24"/>
        </w:rPr>
      </w:pPr>
      <w:r>
        <w:rPr>
          <w:rFonts w:ascii="宋体" w:hAnsi="宋体" w:cs="Calibri"/>
          <w:sz w:val="24"/>
        </w:rPr>
        <w:t>1.1.6 “相关服务”是指监理人受委托人的委托 ，按照本合同约定，在勘察、设计、保修等阶段提供的服务活动。</w:t>
      </w:r>
    </w:p>
    <w:p>
      <w:pPr>
        <w:adjustRightInd w:val="0"/>
        <w:snapToGrid w:val="0"/>
        <w:spacing w:line="400" w:lineRule="exact"/>
        <w:ind w:firstLine="480" w:firstLineChars="200"/>
        <w:rPr>
          <w:rFonts w:ascii="宋体" w:hAnsi="宋体" w:cs="Calibri"/>
          <w:sz w:val="24"/>
        </w:rPr>
      </w:pPr>
      <w:r>
        <w:rPr>
          <w:rFonts w:ascii="宋体" w:hAnsi="宋体" w:cs="Calibri"/>
          <w:sz w:val="24"/>
        </w:rPr>
        <w:t>1.1.7 “正常工作”指本合同订立时通用条件和专用条件中约定的监理人的工作。</w:t>
      </w:r>
    </w:p>
    <w:p>
      <w:pPr>
        <w:adjustRightInd w:val="0"/>
        <w:snapToGrid w:val="0"/>
        <w:spacing w:line="400" w:lineRule="exact"/>
        <w:ind w:firstLine="480" w:firstLineChars="200"/>
        <w:rPr>
          <w:rFonts w:ascii="宋体" w:hAnsi="宋体" w:cs="Calibri"/>
          <w:sz w:val="24"/>
        </w:rPr>
      </w:pPr>
      <w:r>
        <w:rPr>
          <w:rFonts w:ascii="宋体" w:hAnsi="宋体" w:cs="Calibri"/>
          <w:sz w:val="24"/>
        </w:rPr>
        <w:t>1.1.8 “附加工作”是指本合同约定的正常工作以外监理人的工作。</w:t>
      </w:r>
    </w:p>
    <w:p>
      <w:pPr>
        <w:adjustRightInd w:val="0"/>
        <w:snapToGrid w:val="0"/>
        <w:spacing w:line="400" w:lineRule="exact"/>
        <w:ind w:firstLine="480" w:firstLineChars="200"/>
        <w:rPr>
          <w:rFonts w:ascii="宋体" w:hAnsi="宋体" w:cs="Calibri"/>
          <w:sz w:val="24"/>
        </w:rPr>
      </w:pPr>
      <w:r>
        <w:rPr>
          <w:rFonts w:ascii="宋体" w:hAnsi="宋体" w:cs="Calibri"/>
          <w:sz w:val="24"/>
        </w:rPr>
        <w:t>1.1.9 “项目监理机构”是指监理人派驻工程负责履行本合同的组织机构。</w:t>
      </w:r>
    </w:p>
    <w:p>
      <w:pPr>
        <w:adjustRightInd w:val="0"/>
        <w:snapToGrid w:val="0"/>
        <w:spacing w:line="400" w:lineRule="exact"/>
        <w:ind w:firstLine="480" w:firstLineChars="200"/>
        <w:rPr>
          <w:rFonts w:ascii="宋体" w:hAnsi="宋体" w:cs="Calibri"/>
          <w:sz w:val="24"/>
        </w:rPr>
      </w:pPr>
      <w:r>
        <w:rPr>
          <w:rFonts w:ascii="宋体" w:hAnsi="宋体" w:cs="Calibri"/>
          <w:sz w:val="24"/>
        </w:rPr>
        <w:t>1.1.10 “总监理工程师”是指由监理人的法定代表人书面授权，全面负责履行本合同、主持项目监理机构工作的注册监理工程师。</w:t>
      </w:r>
    </w:p>
    <w:p>
      <w:pPr>
        <w:adjustRightInd w:val="0"/>
        <w:snapToGrid w:val="0"/>
        <w:spacing w:line="400" w:lineRule="exact"/>
        <w:ind w:firstLine="475" w:firstLineChars="198"/>
        <w:rPr>
          <w:rFonts w:ascii="宋体" w:hAnsi="宋体" w:cs="Calibri"/>
          <w:sz w:val="24"/>
        </w:rPr>
      </w:pPr>
      <w:r>
        <w:rPr>
          <w:rFonts w:ascii="宋体" w:hAnsi="宋体" w:cs="Calibri"/>
          <w:sz w:val="24"/>
        </w:rPr>
        <w:t>1.1.11 “酬金”是指监理人履行本合同义务，委托人按照本合同约定给付监理人的金额。</w:t>
      </w:r>
    </w:p>
    <w:p>
      <w:pPr>
        <w:adjustRightInd w:val="0"/>
        <w:snapToGrid w:val="0"/>
        <w:spacing w:line="400" w:lineRule="exact"/>
        <w:ind w:firstLine="475" w:firstLineChars="198"/>
        <w:rPr>
          <w:rFonts w:ascii="宋体" w:hAnsi="宋体" w:cs="Calibri"/>
          <w:sz w:val="24"/>
        </w:rPr>
      </w:pPr>
      <w:r>
        <w:rPr>
          <w:rFonts w:ascii="宋体" w:hAnsi="宋体" w:cs="Calibri"/>
          <w:sz w:val="24"/>
        </w:rPr>
        <w:t>1.1.12 “正常工作</w:t>
      </w:r>
      <w:r>
        <w:rPr>
          <w:rFonts w:ascii="宋体" w:hAnsi="宋体" w:cs="Calibri"/>
          <w:kern w:val="0"/>
          <w:sz w:val="24"/>
        </w:rPr>
        <w:t>酬金”</w:t>
      </w:r>
      <w:r>
        <w:rPr>
          <w:rFonts w:ascii="宋体" w:hAnsi="宋体" w:cs="Calibri"/>
          <w:sz w:val="24"/>
        </w:rPr>
        <w:t>是指监理人完成正常工作，委托人应给付监理人并在协议书中载明的签约</w:t>
      </w:r>
      <w:r>
        <w:rPr>
          <w:rFonts w:ascii="宋体" w:hAnsi="宋体" w:cs="Calibri"/>
          <w:kern w:val="0"/>
          <w:sz w:val="24"/>
        </w:rPr>
        <w:t>酬金额</w:t>
      </w:r>
      <w:r>
        <w:rPr>
          <w:rFonts w:ascii="宋体" w:hAnsi="宋体" w:cs="Calibri"/>
          <w:sz w:val="24"/>
        </w:rPr>
        <w:t>。</w:t>
      </w:r>
    </w:p>
    <w:p>
      <w:pPr>
        <w:adjustRightInd w:val="0"/>
        <w:snapToGrid w:val="0"/>
        <w:spacing w:line="400" w:lineRule="exact"/>
        <w:ind w:firstLine="475" w:firstLineChars="198"/>
        <w:rPr>
          <w:rFonts w:ascii="宋体" w:hAnsi="宋体" w:cs="Calibri"/>
          <w:sz w:val="24"/>
        </w:rPr>
      </w:pPr>
      <w:r>
        <w:rPr>
          <w:rFonts w:ascii="宋体" w:hAnsi="宋体" w:cs="Calibri"/>
          <w:sz w:val="24"/>
        </w:rPr>
        <w:t>1.1.13 “附加工作酬金”是指监理人完成附加工作，委托人应给付监理人的金额。</w:t>
      </w:r>
    </w:p>
    <w:p>
      <w:pPr>
        <w:adjustRightInd w:val="0"/>
        <w:snapToGrid w:val="0"/>
        <w:spacing w:line="400" w:lineRule="exact"/>
        <w:ind w:firstLine="480" w:firstLineChars="200"/>
        <w:rPr>
          <w:rFonts w:ascii="宋体" w:hAnsi="宋体" w:cs="Calibri"/>
          <w:sz w:val="24"/>
        </w:rPr>
      </w:pPr>
      <w:r>
        <w:rPr>
          <w:rFonts w:ascii="宋体" w:hAnsi="宋体" w:cs="Calibri"/>
          <w:sz w:val="24"/>
        </w:rPr>
        <w:t>1.1.14 “一方”是指委托人或监理人；“双方”是指委托人和监理人；“第三方”是指除委托人和监理人以外的有关方。</w:t>
      </w:r>
    </w:p>
    <w:p>
      <w:pPr>
        <w:adjustRightInd w:val="0"/>
        <w:snapToGrid w:val="0"/>
        <w:spacing w:line="400" w:lineRule="exact"/>
        <w:ind w:firstLine="480" w:firstLineChars="200"/>
        <w:rPr>
          <w:rFonts w:ascii="宋体" w:hAnsi="宋体" w:cs="Calibri"/>
          <w:sz w:val="24"/>
        </w:rPr>
      </w:pPr>
      <w:r>
        <w:rPr>
          <w:rFonts w:ascii="宋体" w:hAnsi="宋体" w:cs="Calibri"/>
          <w:sz w:val="24"/>
        </w:rPr>
        <w:t>1.1.15 “书面形式”是指合同书、信件和数据电文（包括电报、电传、传真、电子数据交换和电子邮件）等可以有形地表现所载内容的形式。</w:t>
      </w:r>
    </w:p>
    <w:p>
      <w:pPr>
        <w:adjustRightInd w:val="0"/>
        <w:snapToGrid w:val="0"/>
        <w:spacing w:line="400" w:lineRule="exact"/>
        <w:ind w:firstLine="480" w:firstLineChars="200"/>
        <w:rPr>
          <w:rFonts w:ascii="宋体" w:hAnsi="宋体" w:cs="Calibri"/>
          <w:sz w:val="24"/>
        </w:rPr>
      </w:pPr>
      <w:r>
        <w:rPr>
          <w:rFonts w:ascii="宋体" w:hAnsi="宋体" w:cs="Calibri"/>
          <w:sz w:val="24"/>
        </w:rPr>
        <w:t>1.1.16 “天”是指第一天零时至第二天零时的时间。</w:t>
      </w:r>
    </w:p>
    <w:p>
      <w:pPr>
        <w:adjustRightInd w:val="0"/>
        <w:snapToGrid w:val="0"/>
        <w:spacing w:line="400" w:lineRule="exact"/>
        <w:ind w:firstLine="480" w:firstLineChars="200"/>
        <w:rPr>
          <w:rFonts w:ascii="宋体" w:hAnsi="宋体" w:cs="Calibri"/>
          <w:sz w:val="24"/>
        </w:rPr>
      </w:pPr>
      <w:r>
        <w:rPr>
          <w:rFonts w:ascii="宋体" w:hAnsi="宋体" w:cs="Calibri"/>
          <w:sz w:val="24"/>
        </w:rPr>
        <w:t>1.1.17“月”是指按公历从一个月中任何一天开始的一个公历月时间。</w:t>
      </w:r>
    </w:p>
    <w:p>
      <w:pPr>
        <w:adjustRightInd w:val="0"/>
        <w:snapToGrid w:val="0"/>
        <w:spacing w:line="400" w:lineRule="exact"/>
        <w:ind w:firstLine="420"/>
        <w:rPr>
          <w:rFonts w:ascii="宋体" w:hAnsi="宋体" w:cs="Calibri"/>
          <w:sz w:val="24"/>
        </w:rPr>
      </w:pPr>
      <w:r>
        <w:rPr>
          <w:rFonts w:ascii="宋体" w:hAnsi="宋体" w:cs="Calibri"/>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adjustRightInd w:val="0"/>
        <w:snapToGrid w:val="0"/>
        <w:spacing w:line="400" w:lineRule="exact"/>
        <w:ind w:left="210" w:leftChars="100"/>
        <w:rPr>
          <w:rFonts w:ascii="宋体" w:hAnsi="宋体" w:cs="Calibri"/>
          <w:sz w:val="24"/>
        </w:rPr>
      </w:pPr>
      <w:r>
        <w:rPr>
          <w:rFonts w:ascii="宋体" w:hAnsi="宋体" w:cs="Calibri"/>
          <w:bCs/>
          <w:sz w:val="24"/>
        </w:rPr>
        <w:t xml:space="preserve">1.2 </w:t>
      </w:r>
      <w:r>
        <w:rPr>
          <w:rFonts w:ascii="宋体" w:hAnsi="宋体" w:cs="Calibri"/>
          <w:sz w:val="24"/>
        </w:rPr>
        <w:t>解释</w:t>
      </w:r>
    </w:p>
    <w:p>
      <w:pPr>
        <w:tabs>
          <w:tab w:val="left" w:pos="6140"/>
        </w:tabs>
        <w:adjustRightInd w:val="0"/>
        <w:snapToGrid w:val="0"/>
        <w:spacing w:line="400" w:lineRule="exact"/>
        <w:ind w:firstLine="480" w:firstLineChars="200"/>
        <w:rPr>
          <w:rFonts w:ascii="宋体" w:hAnsi="宋体" w:cs="Calibri"/>
          <w:sz w:val="24"/>
        </w:rPr>
      </w:pPr>
      <w:r>
        <w:rPr>
          <w:rFonts w:ascii="宋体" w:hAnsi="宋体" w:cs="Calibri"/>
          <w:sz w:val="24"/>
        </w:rPr>
        <w:t>1.2.1本合同使用中文书写、解释和说明。如专用条件约定使用两种及以上语言文字时，应以中文为准。</w:t>
      </w:r>
    </w:p>
    <w:p>
      <w:pPr>
        <w:tabs>
          <w:tab w:val="left" w:pos="6140"/>
        </w:tabs>
        <w:adjustRightInd w:val="0"/>
        <w:snapToGrid w:val="0"/>
        <w:spacing w:line="400" w:lineRule="exact"/>
        <w:ind w:firstLine="480" w:firstLineChars="200"/>
        <w:rPr>
          <w:rFonts w:ascii="宋体" w:hAnsi="宋体" w:cs="Calibri"/>
          <w:sz w:val="24"/>
        </w:rPr>
      </w:pPr>
      <w:r>
        <w:rPr>
          <w:rFonts w:ascii="宋体" w:hAnsi="宋体" w:cs="Calibri"/>
          <w:sz w:val="24"/>
        </w:rPr>
        <w:t>1.2.2 组成本合同的下列文件彼此应能相互解释、互为说明。除专用条件另有约定外，本合同文件的解释顺序如下：</w:t>
      </w:r>
    </w:p>
    <w:p>
      <w:pPr>
        <w:adjustRightInd w:val="0"/>
        <w:snapToGrid w:val="0"/>
        <w:spacing w:line="400" w:lineRule="exact"/>
        <w:ind w:firstLine="480" w:firstLineChars="200"/>
        <w:rPr>
          <w:rFonts w:ascii="宋体" w:hAnsi="宋体" w:cs="Calibri"/>
          <w:sz w:val="24"/>
        </w:rPr>
      </w:pPr>
      <w:r>
        <w:rPr>
          <w:rFonts w:ascii="宋体" w:hAnsi="宋体" w:cs="Calibri"/>
          <w:sz w:val="24"/>
        </w:rPr>
        <w:t>（1）协议书；</w:t>
      </w:r>
    </w:p>
    <w:p>
      <w:pPr>
        <w:adjustRightInd w:val="0"/>
        <w:snapToGrid w:val="0"/>
        <w:spacing w:line="400" w:lineRule="exact"/>
        <w:ind w:firstLine="480" w:firstLineChars="200"/>
        <w:rPr>
          <w:rFonts w:ascii="宋体" w:hAnsi="宋体" w:cs="Calibri"/>
          <w:sz w:val="24"/>
        </w:rPr>
      </w:pPr>
      <w:r>
        <w:rPr>
          <w:rFonts w:ascii="宋体" w:hAnsi="宋体" w:cs="Calibri"/>
          <w:sz w:val="24"/>
        </w:rPr>
        <w:t>（2）中标通知书（适用于招标工程）或委托书（适用于非招标工程）；</w:t>
      </w:r>
    </w:p>
    <w:p>
      <w:pPr>
        <w:adjustRightInd w:val="0"/>
        <w:snapToGrid w:val="0"/>
        <w:spacing w:line="400" w:lineRule="exact"/>
        <w:ind w:firstLine="480" w:firstLineChars="200"/>
        <w:rPr>
          <w:rFonts w:ascii="宋体" w:hAnsi="宋体" w:cs="Calibri"/>
          <w:sz w:val="24"/>
        </w:rPr>
      </w:pPr>
      <w:r>
        <w:rPr>
          <w:rFonts w:ascii="宋体" w:hAnsi="宋体" w:cs="Calibri"/>
          <w:sz w:val="24"/>
        </w:rPr>
        <w:t>（3）专用条件及附录A、附录B；</w:t>
      </w:r>
    </w:p>
    <w:p>
      <w:pPr>
        <w:adjustRightInd w:val="0"/>
        <w:snapToGrid w:val="0"/>
        <w:spacing w:line="400" w:lineRule="exact"/>
        <w:ind w:firstLine="480" w:firstLineChars="200"/>
        <w:rPr>
          <w:rFonts w:ascii="宋体" w:hAnsi="宋体" w:cs="Calibri"/>
          <w:sz w:val="24"/>
        </w:rPr>
      </w:pPr>
      <w:r>
        <w:rPr>
          <w:rFonts w:ascii="宋体" w:hAnsi="宋体" w:cs="Calibri"/>
          <w:sz w:val="24"/>
        </w:rPr>
        <w:t>（4）通用条件；</w:t>
      </w:r>
    </w:p>
    <w:p>
      <w:pPr>
        <w:adjustRightInd w:val="0"/>
        <w:snapToGrid w:val="0"/>
        <w:spacing w:line="400" w:lineRule="exact"/>
        <w:ind w:firstLine="480" w:firstLineChars="200"/>
        <w:rPr>
          <w:rFonts w:ascii="宋体" w:hAnsi="宋体" w:cs="Calibri"/>
          <w:sz w:val="24"/>
        </w:rPr>
      </w:pPr>
      <w:r>
        <w:rPr>
          <w:rFonts w:ascii="宋体" w:hAnsi="宋体" w:cs="Calibri"/>
          <w:sz w:val="24"/>
        </w:rPr>
        <w:t>（5）投标文件（适用于招标工程）或监理与相关服务建议书（适用于非招标工程）。</w:t>
      </w:r>
    </w:p>
    <w:p>
      <w:pPr>
        <w:spacing w:line="400" w:lineRule="exact"/>
        <w:ind w:firstLine="480" w:firstLineChars="200"/>
        <w:rPr>
          <w:rFonts w:ascii="宋体" w:hAnsi="宋体" w:cs="Calibri"/>
          <w:sz w:val="24"/>
        </w:rPr>
      </w:pPr>
      <w:r>
        <w:rPr>
          <w:rFonts w:ascii="宋体" w:hAnsi="宋体" w:cs="Calibri"/>
          <w:sz w:val="24"/>
        </w:rPr>
        <w:t>双方签订的补充协议与其他文件发生矛盾或歧义时，属于同一类内容的文件，应以最新签署的为准。</w:t>
      </w:r>
    </w:p>
    <w:p>
      <w:pPr>
        <w:keepNext/>
        <w:keepLines/>
        <w:spacing w:before="20" w:after="20" w:line="400" w:lineRule="exact"/>
        <w:outlineLvl w:val="2"/>
        <w:rPr>
          <w:rFonts w:ascii="宋体" w:hAnsi="宋体" w:cs="Calibri"/>
          <w:bCs/>
          <w:kern w:val="0"/>
          <w:sz w:val="24"/>
        </w:rPr>
      </w:pPr>
      <w:bookmarkStart w:id="166" w:name="_Toc9194598"/>
      <w:bookmarkStart w:id="167" w:name="_Toc66888629"/>
      <w:bookmarkStart w:id="168" w:name="_Toc398111694"/>
      <w:bookmarkStart w:id="169" w:name="_Toc71830932"/>
      <w:bookmarkStart w:id="170" w:name="_Toc66888522"/>
      <w:bookmarkStart w:id="171" w:name="_Toc28454"/>
      <w:r>
        <w:rPr>
          <w:rFonts w:ascii="宋体" w:hAnsi="宋体" w:cs="Calibri"/>
          <w:bCs/>
          <w:kern w:val="0"/>
          <w:sz w:val="24"/>
        </w:rPr>
        <w:t>2. 监理人的义务</w:t>
      </w:r>
      <w:bookmarkEnd w:id="166"/>
      <w:bookmarkEnd w:id="167"/>
      <w:bookmarkEnd w:id="168"/>
      <w:bookmarkEnd w:id="169"/>
      <w:bookmarkEnd w:id="170"/>
      <w:bookmarkEnd w:id="171"/>
    </w:p>
    <w:p>
      <w:pPr>
        <w:adjustRightInd w:val="0"/>
        <w:snapToGrid w:val="0"/>
        <w:spacing w:line="400" w:lineRule="exact"/>
        <w:ind w:left="210" w:leftChars="100"/>
        <w:rPr>
          <w:rFonts w:ascii="宋体" w:hAnsi="宋体" w:cs="Calibri"/>
          <w:bCs/>
          <w:sz w:val="24"/>
        </w:rPr>
      </w:pPr>
      <w:r>
        <w:rPr>
          <w:rFonts w:ascii="宋体" w:hAnsi="宋体" w:cs="Calibri"/>
          <w:sz w:val="24"/>
        </w:rPr>
        <w:t>2.1 监理的范围和工作内容</w:t>
      </w:r>
    </w:p>
    <w:p>
      <w:pPr>
        <w:adjustRightInd w:val="0"/>
        <w:snapToGrid w:val="0"/>
        <w:spacing w:line="400" w:lineRule="exact"/>
        <w:ind w:left="420" w:leftChars="200"/>
        <w:rPr>
          <w:rFonts w:ascii="宋体" w:hAnsi="宋体" w:cs="Calibri"/>
          <w:sz w:val="24"/>
        </w:rPr>
      </w:pPr>
      <w:r>
        <w:rPr>
          <w:rFonts w:ascii="宋体" w:hAnsi="宋体" w:cs="Calibri"/>
          <w:sz w:val="24"/>
        </w:rPr>
        <w:t>2.1.1 监理范围在专用条件中约定。</w:t>
      </w:r>
    </w:p>
    <w:p>
      <w:pPr>
        <w:adjustRightInd w:val="0"/>
        <w:snapToGrid w:val="0"/>
        <w:spacing w:line="400" w:lineRule="exact"/>
        <w:ind w:left="420" w:leftChars="200"/>
        <w:rPr>
          <w:rFonts w:ascii="宋体" w:hAnsi="宋体" w:cs="Calibri"/>
          <w:sz w:val="24"/>
        </w:rPr>
      </w:pPr>
      <w:r>
        <w:rPr>
          <w:rFonts w:ascii="宋体" w:hAnsi="宋体" w:cs="Calibri"/>
          <w:sz w:val="24"/>
        </w:rPr>
        <w:t>2.1.2 除专用条件另有约定外，监理工作内容包括：</w:t>
      </w:r>
    </w:p>
    <w:p>
      <w:pPr>
        <w:adjustRightInd w:val="0"/>
        <w:snapToGrid w:val="0"/>
        <w:spacing w:line="400" w:lineRule="exact"/>
        <w:ind w:firstLine="480" w:firstLineChars="200"/>
        <w:rPr>
          <w:rFonts w:ascii="宋体" w:hAnsi="宋体" w:cs="Calibri"/>
          <w:sz w:val="24"/>
        </w:rPr>
      </w:pPr>
      <w:r>
        <w:rPr>
          <w:rFonts w:ascii="宋体" w:hAnsi="宋体" w:cs="Calibri"/>
          <w:sz w:val="24"/>
        </w:rPr>
        <w:t>（1）收到工程设计文件后编制监理规划，并在第一次工地会议7天前报委托人。根据有关规定和监理工作需要，编制监理实施细则；</w:t>
      </w:r>
    </w:p>
    <w:p>
      <w:pPr>
        <w:adjustRightInd w:val="0"/>
        <w:snapToGrid w:val="0"/>
        <w:spacing w:line="400" w:lineRule="exact"/>
        <w:ind w:firstLine="480" w:firstLineChars="200"/>
        <w:rPr>
          <w:rFonts w:ascii="宋体" w:hAnsi="宋体" w:cs="Calibri"/>
          <w:sz w:val="24"/>
        </w:rPr>
      </w:pPr>
      <w:r>
        <w:rPr>
          <w:rFonts w:ascii="宋体" w:hAnsi="宋体" w:cs="Calibri"/>
          <w:sz w:val="24"/>
        </w:rPr>
        <w:t>（2）熟悉工程设计文件，并参加由委托人主持的图纸会审和设计交底会议；</w:t>
      </w:r>
    </w:p>
    <w:p>
      <w:pPr>
        <w:adjustRightInd w:val="0"/>
        <w:snapToGrid w:val="0"/>
        <w:spacing w:line="400" w:lineRule="exact"/>
        <w:ind w:firstLine="480" w:firstLineChars="200"/>
        <w:rPr>
          <w:rFonts w:ascii="宋体" w:hAnsi="宋体" w:cs="Calibri"/>
          <w:sz w:val="24"/>
        </w:rPr>
      </w:pPr>
      <w:r>
        <w:rPr>
          <w:rFonts w:ascii="宋体" w:hAnsi="宋体" w:cs="Calibri"/>
          <w:sz w:val="24"/>
        </w:rPr>
        <w:t>（3）参加由委托人主持的第一次工地会议；主持监理例会并根据工程需要主持或参加专题会议；</w:t>
      </w:r>
    </w:p>
    <w:p>
      <w:pPr>
        <w:adjustRightInd w:val="0"/>
        <w:snapToGrid w:val="0"/>
        <w:spacing w:line="400" w:lineRule="exact"/>
        <w:ind w:firstLine="480" w:firstLineChars="200"/>
        <w:rPr>
          <w:rFonts w:ascii="宋体" w:hAnsi="宋体" w:cs="Calibri"/>
          <w:sz w:val="24"/>
        </w:rPr>
      </w:pPr>
      <w:r>
        <w:rPr>
          <w:rFonts w:ascii="宋体" w:hAnsi="宋体" w:cs="Calibri"/>
          <w:sz w:val="24"/>
        </w:rPr>
        <w:t>（4）审查施工承包人提交的施工组织设计，重点审查其中的质量安全技术措施、专项施工方案与工程建设强制性标准的符合性；</w:t>
      </w:r>
    </w:p>
    <w:p>
      <w:pPr>
        <w:adjustRightInd w:val="0"/>
        <w:snapToGrid w:val="0"/>
        <w:spacing w:line="400" w:lineRule="exact"/>
        <w:ind w:firstLine="480" w:firstLineChars="200"/>
        <w:rPr>
          <w:rFonts w:ascii="宋体" w:hAnsi="宋体" w:cs="Calibri"/>
          <w:sz w:val="24"/>
        </w:rPr>
      </w:pPr>
      <w:r>
        <w:rPr>
          <w:rFonts w:ascii="宋体" w:hAnsi="宋体" w:cs="Calibri"/>
          <w:sz w:val="24"/>
        </w:rPr>
        <w:t xml:space="preserve">（5）检查施工承包人工程质量、安全生产管理制度及组织机构和人员资格； </w:t>
      </w:r>
    </w:p>
    <w:p>
      <w:pPr>
        <w:adjustRightInd w:val="0"/>
        <w:snapToGrid w:val="0"/>
        <w:spacing w:line="400" w:lineRule="exact"/>
        <w:ind w:firstLine="480" w:firstLineChars="200"/>
        <w:rPr>
          <w:rFonts w:ascii="宋体" w:hAnsi="宋体" w:cs="Calibri"/>
          <w:sz w:val="24"/>
        </w:rPr>
      </w:pPr>
      <w:r>
        <w:rPr>
          <w:rFonts w:ascii="宋体" w:hAnsi="宋体" w:cs="Calibri"/>
          <w:sz w:val="24"/>
        </w:rPr>
        <w:t>（6）检查施工承包人专职安全生产管理人员的配备情况；</w:t>
      </w:r>
    </w:p>
    <w:p>
      <w:pPr>
        <w:adjustRightInd w:val="0"/>
        <w:snapToGrid w:val="0"/>
        <w:spacing w:line="400" w:lineRule="exact"/>
        <w:ind w:firstLine="480" w:firstLineChars="200"/>
        <w:rPr>
          <w:rFonts w:ascii="宋体" w:hAnsi="宋体" w:cs="Calibri"/>
          <w:sz w:val="24"/>
        </w:rPr>
      </w:pPr>
      <w:r>
        <w:rPr>
          <w:rFonts w:ascii="宋体" w:hAnsi="宋体" w:cs="Calibri"/>
          <w:sz w:val="24"/>
        </w:rPr>
        <w:t>（7）审查施工承包人提交的施工进度计划，核查承包人对施工进度计划的调整；</w:t>
      </w:r>
    </w:p>
    <w:p>
      <w:pPr>
        <w:adjustRightInd w:val="0"/>
        <w:snapToGrid w:val="0"/>
        <w:spacing w:line="400" w:lineRule="exact"/>
        <w:ind w:firstLine="480" w:firstLineChars="200"/>
        <w:rPr>
          <w:rFonts w:ascii="宋体" w:hAnsi="宋体" w:cs="Calibri"/>
          <w:sz w:val="24"/>
        </w:rPr>
      </w:pPr>
      <w:r>
        <w:rPr>
          <w:rFonts w:ascii="宋体" w:hAnsi="宋体" w:cs="Calibri"/>
          <w:sz w:val="24"/>
        </w:rPr>
        <w:t>（8）检查施工承包人的试验室；</w:t>
      </w:r>
    </w:p>
    <w:p>
      <w:pPr>
        <w:adjustRightInd w:val="0"/>
        <w:snapToGrid w:val="0"/>
        <w:spacing w:line="400" w:lineRule="exact"/>
        <w:ind w:firstLine="480" w:firstLineChars="200"/>
        <w:rPr>
          <w:rFonts w:ascii="宋体" w:hAnsi="宋体" w:cs="Calibri"/>
          <w:sz w:val="24"/>
        </w:rPr>
      </w:pPr>
      <w:r>
        <w:rPr>
          <w:rFonts w:ascii="宋体" w:hAnsi="宋体" w:cs="Calibri"/>
          <w:sz w:val="24"/>
        </w:rPr>
        <w:t>（9）审核施工分包人资质条件；</w:t>
      </w:r>
    </w:p>
    <w:p>
      <w:pPr>
        <w:adjustRightInd w:val="0"/>
        <w:snapToGrid w:val="0"/>
        <w:spacing w:line="400" w:lineRule="exact"/>
        <w:ind w:firstLine="480" w:firstLineChars="200"/>
        <w:rPr>
          <w:rFonts w:ascii="宋体" w:hAnsi="宋体" w:cs="Calibri"/>
          <w:sz w:val="24"/>
        </w:rPr>
      </w:pPr>
      <w:r>
        <w:rPr>
          <w:rFonts w:ascii="宋体" w:hAnsi="宋体" w:cs="Calibri"/>
          <w:sz w:val="24"/>
        </w:rPr>
        <w:t>（10）查验施工承包人的施工测量放线成果；</w:t>
      </w:r>
    </w:p>
    <w:p>
      <w:pPr>
        <w:adjustRightInd w:val="0"/>
        <w:snapToGrid w:val="0"/>
        <w:spacing w:line="400" w:lineRule="exact"/>
        <w:ind w:firstLine="480" w:firstLineChars="200"/>
        <w:rPr>
          <w:rFonts w:ascii="宋体" w:hAnsi="宋体" w:cs="Calibri"/>
          <w:sz w:val="24"/>
        </w:rPr>
      </w:pPr>
      <w:r>
        <w:rPr>
          <w:rFonts w:ascii="宋体" w:hAnsi="宋体" w:cs="Calibri"/>
          <w:sz w:val="24"/>
        </w:rPr>
        <w:t>（11）审查工程开工条件，对条件具备的签发开工令；</w:t>
      </w:r>
    </w:p>
    <w:p>
      <w:pPr>
        <w:adjustRightInd w:val="0"/>
        <w:snapToGrid w:val="0"/>
        <w:spacing w:line="400" w:lineRule="exact"/>
        <w:ind w:firstLine="480" w:firstLineChars="200"/>
        <w:rPr>
          <w:rFonts w:ascii="宋体" w:hAnsi="宋体" w:cs="Calibri"/>
          <w:sz w:val="24"/>
        </w:rPr>
      </w:pPr>
      <w:r>
        <w:rPr>
          <w:rFonts w:ascii="宋体" w:hAnsi="宋体" w:cs="Calibri"/>
          <w:sz w:val="24"/>
        </w:rPr>
        <w:t>（12）审查施工承包人报送的工程材料、构配件、设备质量证明文件的有效性和符合性，并按规定对用于工程的材料采取平行检验或见证取样方式进行抽检；</w:t>
      </w:r>
    </w:p>
    <w:p>
      <w:pPr>
        <w:adjustRightInd w:val="0"/>
        <w:snapToGrid w:val="0"/>
        <w:spacing w:line="400" w:lineRule="exact"/>
        <w:ind w:firstLine="360" w:firstLineChars="150"/>
        <w:rPr>
          <w:rFonts w:ascii="宋体" w:hAnsi="宋体" w:cs="Calibri"/>
          <w:sz w:val="24"/>
        </w:rPr>
      </w:pPr>
      <w:r>
        <w:rPr>
          <w:rFonts w:ascii="宋体" w:hAnsi="宋体" w:cs="Calibri"/>
          <w:sz w:val="24"/>
        </w:rPr>
        <w:t xml:space="preserve"> （13）审核施工承包人提交的工程款支付申请，签发或出具工程款支付证书，并报委托人审核、批准；</w:t>
      </w:r>
    </w:p>
    <w:p>
      <w:pPr>
        <w:adjustRightInd w:val="0"/>
        <w:snapToGrid w:val="0"/>
        <w:spacing w:line="400" w:lineRule="exact"/>
        <w:ind w:firstLine="480" w:firstLineChars="200"/>
        <w:rPr>
          <w:rFonts w:ascii="宋体" w:hAnsi="宋体" w:cs="Calibri"/>
          <w:sz w:val="24"/>
        </w:rPr>
      </w:pPr>
      <w:r>
        <w:rPr>
          <w:rFonts w:ascii="宋体" w:hAnsi="宋体" w:cs="Calibri"/>
          <w:sz w:val="24"/>
        </w:rPr>
        <w:t>（14）在巡视、旁站和检验过程中，发现工程质量、施工安全存在事故隐患的，要求施工承包人整改并报委托人；</w:t>
      </w:r>
    </w:p>
    <w:p>
      <w:pPr>
        <w:adjustRightInd w:val="0"/>
        <w:snapToGrid w:val="0"/>
        <w:spacing w:line="400" w:lineRule="exact"/>
        <w:ind w:firstLine="480" w:firstLineChars="200"/>
        <w:rPr>
          <w:rFonts w:ascii="宋体" w:hAnsi="宋体" w:cs="Calibri"/>
          <w:sz w:val="24"/>
        </w:rPr>
      </w:pPr>
      <w:r>
        <w:rPr>
          <w:rFonts w:ascii="宋体" w:hAnsi="宋体" w:cs="Calibri"/>
          <w:sz w:val="24"/>
        </w:rPr>
        <w:t>（15）经委托人同意，签发工程暂停令和复工令；</w:t>
      </w:r>
    </w:p>
    <w:p>
      <w:pPr>
        <w:adjustRightInd w:val="0"/>
        <w:snapToGrid w:val="0"/>
        <w:spacing w:line="400" w:lineRule="exact"/>
        <w:ind w:firstLine="360" w:firstLineChars="150"/>
        <w:rPr>
          <w:rFonts w:ascii="宋体" w:hAnsi="宋体" w:cs="Calibri"/>
          <w:sz w:val="24"/>
        </w:rPr>
      </w:pPr>
      <w:r>
        <w:rPr>
          <w:rFonts w:ascii="宋体" w:hAnsi="宋体" w:cs="Calibri"/>
          <w:sz w:val="24"/>
        </w:rPr>
        <w:t xml:space="preserve"> （16）审查施工承包人提交的采用新材料、新工艺、新技术、新设备的论证材料及相关验收标准；</w:t>
      </w:r>
    </w:p>
    <w:p>
      <w:pPr>
        <w:adjustRightInd w:val="0"/>
        <w:snapToGrid w:val="0"/>
        <w:spacing w:line="400" w:lineRule="exact"/>
        <w:ind w:firstLine="480" w:firstLineChars="200"/>
        <w:rPr>
          <w:rFonts w:ascii="宋体" w:hAnsi="宋体" w:cs="Calibri"/>
          <w:sz w:val="24"/>
        </w:rPr>
      </w:pPr>
      <w:r>
        <w:rPr>
          <w:rFonts w:ascii="宋体" w:hAnsi="宋体" w:cs="Calibri"/>
          <w:sz w:val="24"/>
        </w:rPr>
        <w:t>（17）验收隐蔽工程、分部分项工程；</w:t>
      </w:r>
    </w:p>
    <w:p>
      <w:pPr>
        <w:adjustRightInd w:val="0"/>
        <w:snapToGrid w:val="0"/>
        <w:spacing w:line="400" w:lineRule="exact"/>
        <w:ind w:firstLine="480" w:firstLineChars="200"/>
        <w:rPr>
          <w:rFonts w:ascii="宋体" w:hAnsi="宋体" w:cs="Calibri"/>
          <w:sz w:val="24"/>
        </w:rPr>
      </w:pPr>
      <w:r>
        <w:rPr>
          <w:rFonts w:ascii="宋体" w:hAnsi="宋体" w:cs="Calibri"/>
          <w:sz w:val="24"/>
        </w:rPr>
        <w:t>（18）审查施工承包人提交的工程变更申请，协调处理施工进度调整、费用索赔、合同争议等事项；</w:t>
      </w:r>
    </w:p>
    <w:p>
      <w:pPr>
        <w:adjustRightInd w:val="0"/>
        <w:snapToGrid w:val="0"/>
        <w:spacing w:line="400" w:lineRule="exact"/>
        <w:ind w:firstLine="480" w:firstLineChars="200"/>
        <w:rPr>
          <w:rFonts w:ascii="宋体" w:hAnsi="宋体" w:cs="Calibri"/>
          <w:sz w:val="24"/>
        </w:rPr>
      </w:pPr>
      <w:r>
        <w:rPr>
          <w:rFonts w:ascii="宋体" w:hAnsi="宋体" w:cs="Calibri"/>
          <w:sz w:val="24"/>
        </w:rPr>
        <w:t>（19）审查施工承包人提交的竣工验收申请，编写工程质量评估报告；</w:t>
      </w:r>
    </w:p>
    <w:p>
      <w:pPr>
        <w:adjustRightInd w:val="0"/>
        <w:snapToGrid w:val="0"/>
        <w:spacing w:line="400" w:lineRule="exact"/>
        <w:ind w:firstLine="480" w:firstLineChars="200"/>
        <w:rPr>
          <w:rFonts w:ascii="宋体" w:hAnsi="宋体" w:cs="Calibri"/>
          <w:sz w:val="24"/>
        </w:rPr>
      </w:pPr>
      <w:r>
        <w:rPr>
          <w:rFonts w:ascii="宋体" w:hAnsi="宋体" w:cs="Calibri"/>
          <w:sz w:val="24"/>
        </w:rPr>
        <w:t>（20）参加工程竣工验收，签署竣工验收意见；</w:t>
      </w:r>
    </w:p>
    <w:p>
      <w:pPr>
        <w:adjustRightInd w:val="0"/>
        <w:snapToGrid w:val="0"/>
        <w:spacing w:line="400" w:lineRule="exact"/>
        <w:ind w:firstLine="480" w:firstLineChars="200"/>
        <w:rPr>
          <w:rFonts w:ascii="宋体" w:hAnsi="宋体" w:cs="Calibri"/>
          <w:sz w:val="24"/>
        </w:rPr>
      </w:pPr>
      <w:r>
        <w:rPr>
          <w:rFonts w:ascii="宋体" w:hAnsi="宋体" w:cs="Calibri"/>
          <w:sz w:val="24"/>
        </w:rPr>
        <w:t>（21）审查施工承包人提交的竣工结算申请并报委托人；</w:t>
      </w:r>
    </w:p>
    <w:p>
      <w:pPr>
        <w:adjustRightInd w:val="0"/>
        <w:snapToGrid w:val="0"/>
        <w:spacing w:line="400" w:lineRule="exact"/>
        <w:ind w:firstLine="480" w:firstLineChars="200"/>
        <w:rPr>
          <w:rFonts w:ascii="宋体" w:hAnsi="宋体" w:cs="Calibri"/>
          <w:sz w:val="24"/>
        </w:rPr>
      </w:pPr>
      <w:r>
        <w:rPr>
          <w:rFonts w:ascii="宋体" w:hAnsi="宋体" w:cs="Calibri"/>
          <w:sz w:val="24"/>
        </w:rPr>
        <w:t>（22）编制、整理工程监理归档文件并报委托人。</w:t>
      </w:r>
    </w:p>
    <w:p>
      <w:pPr>
        <w:spacing w:line="400" w:lineRule="exact"/>
        <w:ind w:left="420" w:leftChars="200" w:firstLine="120" w:firstLineChars="50"/>
        <w:rPr>
          <w:rFonts w:ascii="宋体" w:hAnsi="宋体" w:cs="Calibri"/>
          <w:sz w:val="24"/>
        </w:rPr>
      </w:pPr>
      <w:r>
        <w:rPr>
          <w:rFonts w:ascii="宋体" w:hAnsi="宋体" w:cs="Calibri"/>
          <w:sz w:val="24"/>
        </w:rPr>
        <w:t>2.1.3 相关服务的范围和内容在附录A中约定。</w:t>
      </w:r>
    </w:p>
    <w:p>
      <w:pPr>
        <w:spacing w:line="400" w:lineRule="exact"/>
        <w:ind w:firstLine="240" w:firstLineChars="100"/>
        <w:rPr>
          <w:rFonts w:ascii="宋体" w:hAnsi="宋体" w:cs="Calibri"/>
          <w:bCs/>
          <w:sz w:val="24"/>
        </w:rPr>
      </w:pPr>
      <w:r>
        <w:rPr>
          <w:rFonts w:ascii="宋体" w:hAnsi="宋体" w:cs="Calibri"/>
          <w:sz w:val="24"/>
        </w:rPr>
        <w:t xml:space="preserve">2.2 </w:t>
      </w:r>
      <w:r>
        <w:rPr>
          <w:rFonts w:ascii="宋体" w:hAnsi="宋体" w:cs="Calibri"/>
          <w:bCs/>
          <w:sz w:val="24"/>
        </w:rPr>
        <w:t>监理与相关服务依据</w:t>
      </w:r>
    </w:p>
    <w:p>
      <w:pPr>
        <w:adjustRightInd w:val="0"/>
        <w:snapToGrid w:val="0"/>
        <w:spacing w:line="400" w:lineRule="exact"/>
        <w:ind w:firstLine="480" w:firstLineChars="200"/>
        <w:rPr>
          <w:rFonts w:ascii="宋体" w:hAnsi="宋体" w:cs="Calibri"/>
          <w:sz w:val="24"/>
        </w:rPr>
      </w:pPr>
      <w:r>
        <w:rPr>
          <w:rFonts w:ascii="宋体" w:hAnsi="宋体" w:cs="Calibri"/>
          <w:sz w:val="24"/>
        </w:rPr>
        <w:t>2.2.1 监理依据包括：</w:t>
      </w:r>
    </w:p>
    <w:p>
      <w:pPr>
        <w:adjustRightInd w:val="0"/>
        <w:snapToGrid w:val="0"/>
        <w:spacing w:line="400" w:lineRule="exact"/>
        <w:ind w:firstLine="600" w:firstLineChars="250"/>
        <w:rPr>
          <w:rFonts w:ascii="宋体" w:hAnsi="宋体" w:cs="Calibri"/>
          <w:sz w:val="24"/>
        </w:rPr>
      </w:pPr>
      <w:r>
        <w:rPr>
          <w:rFonts w:ascii="宋体" w:hAnsi="宋体" w:cs="Calibri"/>
          <w:sz w:val="24"/>
        </w:rPr>
        <w:t>（1）适用的法律、行政法规及部门规章；</w:t>
      </w:r>
    </w:p>
    <w:p>
      <w:pPr>
        <w:adjustRightInd w:val="0"/>
        <w:snapToGrid w:val="0"/>
        <w:spacing w:line="400" w:lineRule="exact"/>
        <w:ind w:firstLine="600" w:firstLineChars="250"/>
        <w:rPr>
          <w:rFonts w:ascii="宋体" w:hAnsi="宋体" w:cs="Calibri"/>
          <w:sz w:val="24"/>
        </w:rPr>
      </w:pPr>
      <w:r>
        <w:rPr>
          <w:rFonts w:ascii="宋体" w:hAnsi="宋体" w:cs="Calibri"/>
          <w:sz w:val="24"/>
        </w:rPr>
        <w:t>（2）与工程有关的标准；</w:t>
      </w:r>
    </w:p>
    <w:p>
      <w:pPr>
        <w:adjustRightInd w:val="0"/>
        <w:snapToGrid w:val="0"/>
        <w:spacing w:line="400" w:lineRule="exact"/>
        <w:ind w:firstLine="600" w:firstLineChars="250"/>
        <w:rPr>
          <w:rFonts w:ascii="宋体" w:hAnsi="宋体" w:cs="Calibri"/>
          <w:sz w:val="24"/>
        </w:rPr>
      </w:pPr>
      <w:r>
        <w:rPr>
          <w:rFonts w:ascii="宋体" w:hAnsi="宋体" w:cs="Calibri"/>
          <w:sz w:val="24"/>
        </w:rPr>
        <w:t>（3）工程设计及有关文件；</w:t>
      </w:r>
    </w:p>
    <w:p>
      <w:pPr>
        <w:adjustRightInd w:val="0"/>
        <w:snapToGrid w:val="0"/>
        <w:spacing w:line="400" w:lineRule="exact"/>
        <w:ind w:firstLine="600" w:firstLineChars="250"/>
        <w:rPr>
          <w:rFonts w:ascii="宋体" w:hAnsi="宋体" w:cs="Calibri"/>
          <w:sz w:val="24"/>
        </w:rPr>
      </w:pPr>
      <w:r>
        <w:rPr>
          <w:rFonts w:ascii="宋体" w:hAnsi="宋体" w:cs="Calibri"/>
          <w:sz w:val="24"/>
        </w:rPr>
        <w:t>（4）本合同及委托人与第三方签订的与实施工程有关的其他合同。</w:t>
      </w:r>
    </w:p>
    <w:p>
      <w:pPr>
        <w:spacing w:line="400" w:lineRule="exact"/>
        <w:ind w:left="210" w:leftChars="100" w:firstLine="480" w:firstLineChars="200"/>
        <w:rPr>
          <w:rFonts w:ascii="宋体" w:hAnsi="宋体" w:cs="Calibri"/>
          <w:bCs/>
          <w:sz w:val="24"/>
        </w:rPr>
      </w:pPr>
      <w:r>
        <w:rPr>
          <w:rFonts w:ascii="宋体" w:hAnsi="宋体" w:cs="Calibri"/>
          <w:bCs/>
          <w:sz w:val="24"/>
        </w:rPr>
        <w:t>双方根据工程的行业和地域特点，在专用条件中具体约定监理依据。</w:t>
      </w:r>
    </w:p>
    <w:p>
      <w:pPr>
        <w:adjustRightInd w:val="0"/>
        <w:snapToGrid w:val="0"/>
        <w:spacing w:line="400" w:lineRule="exact"/>
        <w:ind w:firstLine="480" w:firstLineChars="200"/>
        <w:rPr>
          <w:rFonts w:ascii="宋体" w:hAnsi="宋体" w:cs="Calibri"/>
          <w:sz w:val="24"/>
        </w:rPr>
      </w:pPr>
      <w:r>
        <w:rPr>
          <w:rFonts w:ascii="宋体" w:hAnsi="宋体" w:cs="Calibri"/>
          <w:sz w:val="24"/>
        </w:rPr>
        <w:t>2.2.2 相关服务依据在专用条件中约定。</w:t>
      </w:r>
    </w:p>
    <w:p>
      <w:pPr>
        <w:spacing w:line="400" w:lineRule="exact"/>
        <w:ind w:firstLine="240" w:firstLineChars="100"/>
        <w:rPr>
          <w:rFonts w:ascii="宋体" w:hAnsi="宋体" w:cs="Calibri"/>
          <w:kern w:val="0"/>
          <w:sz w:val="24"/>
        </w:rPr>
      </w:pPr>
      <w:r>
        <w:rPr>
          <w:rFonts w:ascii="宋体" w:hAnsi="宋体" w:cs="Calibri"/>
          <w:kern w:val="0"/>
          <w:sz w:val="24"/>
        </w:rPr>
        <w:t>2.3 项目监理机构和人员</w:t>
      </w:r>
    </w:p>
    <w:p>
      <w:pPr>
        <w:adjustRightInd w:val="0"/>
        <w:snapToGrid w:val="0"/>
        <w:spacing w:line="400" w:lineRule="exact"/>
        <w:ind w:firstLine="645"/>
        <w:rPr>
          <w:rFonts w:ascii="宋体" w:hAnsi="宋体" w:cs="Calibri"/>
          <w:kern w:val="0"/>
          <w:sz w:val="24"/>
        </w:rPr>
      </w:pPr>
      <w:r>
        <w:rPr>
          <w:rFonts w:ascii="宋体" w:hAnsi="宋体" w:cs="Calibri"/>
          <w:kern w:val="0"/>
          <w:sz w:val="24"/>
        </w:rPr>
        <w:t>2.3.1 监理人应组建满足工作需要的项目监理机构，配备必要的检测设备。项目监理机构的主要人员应具有相应的资格条件。</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2.3.2本合同履行过程中，总监理工程师及重要岗位监理人员应保持相对稳定，以保证监理工作正常进行。</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2.3.4 监理人应及时更换有下列情形之一的监理人员：</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（1）严重过失行为的；</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（2）有违法行为不能履行职责的；</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（3）涉嫌犯罪的；</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（4）不能胜任岗位职责的；</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（5）严重违反职业道德的；</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（6）专用条件约定的其他情形。</w:t>
      </w:r>
    </w:p>
    <w:p>
      <w:pPr>
        <w:spacing w:line="400" w:lineRule="exact"/>
        <w:ind w:firstLine="480" w:firstLineChars="200"/>
        <w:rPr>
          <w:rFonts w:ascii="宋体" w:hAnsi="宋体" w:cs="Calibri"/>
          <w:kern w:val="0"/>
          <w:sz w:val="24"/>
        </w:rPr>
      </w:pPr>
      <w:r>
        <w:rPr>
          <w:rFonts w:ascii="宋体" w:hAnsi="宋体" w:cs="Calibri"/>
          <w:kern w:val="0"/>
          <w:sz w:val="24"/>
        </w:rPr>
        <w:t>2.3.5 委托人可要求监理人更换不能胜任本职工作的项目监理机构人员。</w:t>
      </w:r>
    </w:p>
    <w:p>
      <w:pPr>
        <w:spacing w:line="400" w:lineRule="exact"/>
        <w:ind w:left="210" w:leftChars="100"/>
        <w:rPr>
          <w:rFonts w:ascii="宋体" w:hAnsi="宋体" w:cs="Calibri"/>
          <w:kern w:val="0"/>
          <w:sz w:val="24"/>
        </w:rPr>
      </w:pPr>
      <w:r>
        <w:rPr>
          <w:rFonts w:ascii="宋体" w:hAnsi="宋体" w:cs="Calibri"/>
          <w:kern w:val="0"/>
          <w:sz w:val="24"/>
        </w:rPr>
        <w:t>2.4 履行职责</w:t>
      </w:r>
    </w:p>
    <w:p>
      <w:pPr>
        <w:adjustRightInd w:val="0"/>
        <w:snapToGrid w:val="0"/>
        <w:spacing w:line="400" w:lineRule="exact"/>
        <w:ind w:firstLine="480" w:firstLineChars="200"/>
        <w:rPr>
          <w:rFonts w:ascii="宋体" w:hAnsi="宋体" w:cs="Calibri"/>
          <w:sz w:val="24"/>
        </w:rPr>
      </w:pPr>
      <w:r>
        <w:rPr>
          <w:rFonts w:ascii="宋体" w:hAnsi="宋体" w:cs="Calibri"/>
          <w:kern w:val="0"/>
          <w:sz w:val="24"/>
        </w:rPr>
        <w:t>监理人应遵循职业道德准则和行为规范，严格按照法律法规、工程建设有关标准及本合同履行职责。</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2.4.1 在监理与相关服务范围内，委托人和承包人提出的意见和要求，监理人应及时提出处置意见。当委托人与承包人之间发生合同争议时，监理人应协助委托人、承包人协商解决。</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2.4.2 当委托人与承包人之间的合同争议提交仲裁机构仲裁或人民法院审理时，监理人应提供必要的证明资料。</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2.4.3 监理人应在专用条件约定的授权范围内，处理委托人与承包人所签订合同的变更事宜。如果变更超过授权范围，应以书面形式报委托人批准。</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在紧急情况下，为了保护财产和人身安全，监理人所发出的指令未能事先报委托人批准时，应在发出指令后的24小时内以书面形式报委托人。</w:t>
      </w:r>
    </w:p>
    <w:p>
      <w:pPr>
        <w:spacing w:line="400" w:lineRule="exact"/>
        <w:ind w:firstLine="480" w:firstLineChars="200"/>
        <w:rPr>
          <w:rFonts w:ascii="宋体" w:hAnsi="宋体" w:cs="Calibri"/>
          <w:kern w:val="0"/>
          <w:sz w:val="24"/>
        </w:rPr>
      </w:pPr>
      <w:r>
        <w:rPr>
          <w:rFonts w:ascii="宋体" w:hAnsi="宋体" w:cs="Calibri"/>
          <w:kern w:val="0"/>
          <w:sz w:val="24"/>
        </w:rPr>
        <w:t>2.4.4 除专用条件另有约定外，监理人发现承包人的人员不能胜任本职工作的，有权要求承包人予以调换。</w:t>
      </w:r>
    </w:p>
    <w:p>
      <w:pPr>
        <w:spacing w:line="400" w:lineRule="exact"/>
        <w:ind w:left="210" w:leftChars="100"/>
        <w:rPr>
          <w:rFonts w:ascii="宋体" w:hAnsi="宋体" w:cs="Calibri"/>
          <w:kern w:val="0"/>
          <w:sz w:val="24"/>
        </w:rPr>
      </w:pPr>
      <w:r>
        <w:rPr>
          <w:rFonts w:ascii="宋体" w:hAnsi="宋体" w:cs="Calibri"/>
          <w:kern w:val="0"/>
          <w:sz w:val="24"/>
        </w:rPr>
        <w:t>2.5 提交报告</w:t>
      </w:r>
    </w:p>
    <w:p>
      <w:pPr>
        <w:spacing w:line="400" w:lineRule="exact"/>
        <w:ind w:firstLine="480" w:firstLineChars="200"/>
        <w:rPr>
          <w:rFonts w:ascii="宋体" w:hAnsi="宋体" w:cs="Calibri"/>
          <w:sz w:val="24"/>
        </w:rPr>
      </w:pPr>
      <w:r>
        <w:rPr>
          <w:rFonts w:ascii="宋体" w:hAnsi="宋体" w:cs="Calibri"/>
          <w:sz w:val="24"/>
        </w:rPr>
        <w:t>监理人应按专用条件约定的种类、时间和份数向委托人提交监理与相关服务的报告。</w:t>
      </w:r>
    </w:p>
    <w:p>
      <w:pPr>
        <w:spacing w:line="400" w:lineRule="exact"/>
        <w:ind w:left="210" w:leftChars="100"/>
        <w:rPr>
          <w:rFonts w:ascii="宋体" w:hAnsi="宋体" w:cs="Calibri"/>
          <w:kern w:val="0"/>
          <w:sz w:val="24"/>
        </w:rPr>
      </w:pPr>
      <w:r>
        <w:rPr>
          <w:rFonts w:ascii="宋体" w:hAnsi="宋体" w:cs="Calibri"/>
          <w:kern w:val="0"/>
          <w:sz w:val="24"/>
        </w:rPr>
        <w:t>2.6 文件资料</w:t>
      </w:r>
    </w:p>
    <w:p>
      <w:pPr>
        <w:spacing w:line="400" w:lineRule="exact"/>
        <w:ind w:firstLine="480" w:firstLineChars="200"/>
        <w:rPr>
          <w:rFonts w:ascii="宋体" w:hAnsi="宋体" w:cs="Calibri"/>
          <w:sz w:val="24"/>
        </w:rPr>
      </w:pPr>
      <w:r>
        <w:rPr>
          <w:rFonts w:ascii="宋体" w:hAnsi="宋体" w:cs="Calibri"/>
          <w:kern w:val="0"/>
          <w:sz w:val="24"/>
        </w:rPr>
        <w:t>在本合同履行期内，监理人应在现场保留工作所用的图纸、报告及记录监理工</w:t>
      </w:r>
      <w:r>
        <w:rPr>
          <w:rFonts w:ascii="宋体" w:hAnsi="宋体" w:cs="Calibri"/>
          <w:sz w:val="24"/>
        </w:rPr>
        <w:t>作的相关文件。工程竣工后，应当按照档案管理规定将监理有关文件归档。</w:t>
      </w:r>
    </w:p>
    <w:p>
      <w:pPr>
        <w:spacing w:line="400" w:lineRule="exact"/>
        <w:ind w:left="210" w:leftChars="100"/>
        <w:rPr>
          <w:rFonts w:ascii="宋体" w:hAnsi="宋体" w:cs="Calibri"/>
          <w:kern w:val="0"/>
          <w:sz w:val="24"/>
        </w:rPr>
      </w:pPr>
      <w:r>
        <w:rPr>
          <w:rFonts w:ascii="宋体" w:hAnsi="宋体" w:cs="Calibri"/>
          <w:kern w:val="0"/>
          <w:sz w:val="24"/>
        </w:rPr>
        <w:t>2.7 使用委托人的财产</w:t>
      </w:r>
    </w:p>
    <w:p>
      <w:pPr>
        <w:spacing w:line="400" w:lineRule="exact"/>
        <w:ind w:firstLine="480" w:firstLineChars="200"/>
        <w:rPr>
          <w:rFonts w:ascii="宋体" w:hAnsi="宋体" w:cs="Calibri"/>
          <w:sz w:val="24"/>
        </w:rPr>
      </w:pPr>
      <w:r>
        <w:rPr>
          <w:rFonts w:ascii="宋体" w:hAnsi="宋体" w:cs="Calibri"/>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keepLines/>
        <w:spacing w:before="20" w:after="20" w:line="400" w:lineRule="exact"/>
        <w:outlineLvl w:val="2"/>
        <w:rPr>
          <w:rFonts w:ascii="宋体" w:hAnsi="宋体" w:cs="Calibri"/>
          <w:bCs/>
          <w:kern w:val="0"/>
          <w:sz w:val="24"/>
        </w:rPr>
      </w:pPr>
      <w:bookmarkStart w:id="172" w:name="_Toc9194599"/>
      <w:bookmarkStart w:id="173" w:name="_Toc28098"/>
      <w:bookmarkStart w:id="174" w:name="_Toc66888523"/>
      <w:bookmarkStart w:id="175" w:name="_Toc398111695"/>
      <w:bookmarkStart w:id="176" w:name="_Toc66888630"/>
      <w:bookmarkStart w:id="177" w:name="_Toc71830933"/>
      <w:r>
        <w:rPr>
          <w:rFonts w:ascii="宋体" w:hAnsi="宋体" w:cs="Calibri"/>
          <w:bCs/>
          <w:kern w:val="0"/>
          <w:sz w:val="24"/>
        </w:rPr>
        <w:t>3．委托人的义务</w:t>
      </w:r>
      <w:bookmarkEnd w:id="172"/>
      <w:bookmarkEnd w:id="173"/>
      <w:bookmarkEnd w:id="174"/>
      <w:bookmarkEnd w:id="175"/>
      <w:bookmarkEnd w:id="176"/>
      <w:bookmarkEnd w:id="177"/>
    </w:p>
    <w:p>
      <w:pPr>
        <w:spacing w:line="400" w:lineRule="exact"/>
        <w:ind w:left="210" w:leftChars="100"/>
        <w:rPr>
          <w:rFonts w:ascii="宋体" w:hAnsi="宋体" w:cs="Calibri"/>
          <w:kern w:val="0"/>
          <w:sz w:val="24"/>
        </w:rPr>
      </w:pPr>
      <w:r>
        <w:rPr>
          <w:rFonts w:ascii="宋体" w:hAnsi="宋体" w:cs="Calibri"/>
          <w:kern w:val="0"/>
          <w:sz w:val="24"/>
        </w:rPr>
        <w:t>3.1 告知</w:t>
      </w:r>
    </w:p>
    <w:p>
      <w:pPr>
        <w:spacing w:line="400" w:lineRule="exact"/>
        <w:ind w:firstLine="480" w:firstLineChars="200"/>
        <w:rPr>
          <w:rFonts w:ascii="宋体" w:hAnsi="宋体" w:cs="Calibri"/>
          <w:kern w:val="0"/>
          <w:sz w:val="24"/>
        </w:rPr>
      </w:pPr>
      <w:r>
        <w:rPr>
          <w:rFonts w:ascii="宋体" w:hAnsi="宋体" w:cs="Calibri"/>
          <w:kern w:val="0"/>
          <w:sz w:val="24"/>
        </w:rPr>
        <w:t>委托人应在委托人与承包人签订的合同中明确监理人、总监理工程师和授予项目监理机构的权限。如有变更，应及时通知承包人。</w:t>
      </w:r>
    </w:p>
    <w:p>
      <w:pPr>
        <w:spacing w:line="400" w:lineRule="exact"/>
        <w:ind w:left="210" w:leftChars="100"/>
        <w:rPr>
          <w:rFonts w:ascii="宋体" w:hAnsi="宋体" w:cs="Calibri"/>
          <w:kern w:val="0"/>
          <w:sz w:val="24"/>
        </w:rPr>
      </w:pPr>
      <w:r>
        <w:rPr>
          <w:rFonts w:ascii="宋体" w:hAnsi="宋体" w:cs="Calibri"/>
          <w:kern w:val="0"/>
          <w:sz w:val="24"/>
        </w:rPr>
        <w:t>3.2 提供资料</w:t>
      </w:r>
    </w:p>
    <w:p>
      <w:pPr>
        <w:spacing w:line="400" w:lineRule="exact"/>
        <w:ind w:firstLine="480" w:firstLineChars="200"/>
        <w:rPr>
          <w:rFonts w:ascii="宋体" w:hAnsi="宋体" w:cs="Calibri"/>
          <w:sz w:val="24"/>
        </w:rPr>
      </w:pPr>
      <w:r>
        <w:rPr>
          <w:rFonts w:ascii="宋体" w:hAnsi="宋体" w:cs="Calibri"/>
          <w:kern w:val="0"/>
          <w:sz w:val="24"/>
        </w:rPr>
        <w:t>委托人应按照附录B约定，无偿向监理人提供工程有关的资料。</w:t>
      </w:r>
      <w:r>
        <w:rPr>
          <w:rFonts w:ascii="宋体" w:hAnsi="宋体" w:cs="Calibri"/>
          <w:sz w:val="24"/>
        </w:rPr>
        <w:t>在本合同履行过程中，委托人应及时向监理人提供最新的与工程有关的资料。</w:t>
      </w:r>
    </w:p>
    <w:p>
      <w:pPr>
        <w:spacing w:line="400" w:lineRule="exact"/>
        <w:ind w:left="210" w:leftChars="100"/>
        <w:rPr>
          <w:rFonts w:ascii="宋体" w:hAnsi="宋体" w:cs="Calibri"/>
          <w:kern w:val="0"/>
          <w:sz w:val="24"/>
        </w:rPr>
      </w:pPr>
      <w:r>
        <w:rPr>
          <w:rFonts w:ascii="宋体" w:hAnsi="宋体" w:cs="Calibri"/>
          <w:kern w:val="0"/>
          <w:sz w:val="24"/>
        </w:rPr>
        <w:t>3.3 提供工作条件</w:t>
      </w:r>
    </w:p>
    <w:p>
      <w:pPr>
        <w:adjustRightInd w:val="0"/>
        <w:snapToGrid w:val="0"/>
        <w:spacing w:line="400" w:lineRule="exact"/>
        <w:ind w:firstLine="480" w:firstLineChars="200"/>
        <w:rPr>
          <w:rFonts w:ascii="宋体" w:hAnsi="宋体" w:cs="Calibri"/>
          <w:sz w:val="24"/>
        </w:rPr>
      </w:pPr>
      <w:r>
        <w:rPr>
          <w:rFonts w:ascii="宋体" w:hAnsi="宋体" w:cs="Calibri"/>
          <w:sz w:val="24"/>
        </w:rPr>
        <w:t>委托人应为监理人完成监理与相关服务提供必要的条件。</w:t>
      </w:r>
    </w:p>
    <w:p>
      <w:pPr>
        <w:adjustRightInd w:val="0"/>
        <w:snapToGrid w:val="0"/>
        <w:spacing w:line="400" w:lineRule="exact"/>
        <w:ind w:firstLine="480" w:firstLineChars="200"/>
        <w:rPr>
          <w:rFonts w:ascii="宋体" w:hAnsi="宋体" w:cs="Calibri"/>
          <w:sz w:val="24"/>
        </w:rPr>
      </w:pPr>
      <w:r>
        <w:rPr>
          <w:rFonts w:ascii="宋体" w:hAnsi="宋体" w:cs="Calibri"/>
          <w:kern w:val="0"/>
          <w:sz w:val="24"/>
        </w:rPr>
        <w:t xml:space="preserve">3.3.1 </w:t>
      </w:r>
      <w:r>
        <w:rPr>
          <w:rFonts w:ascii="宋体" w:hAnsi="宋体" w:cs="Calibri"/>
          <w:sz w:val="24"/>
        </w:rPr>
        <w:t>委托人应按照附录B约定，派遣相应的人员，提供房屋、设备，供监理人</w:t>
      </w:r>
      <w:r>
        <w:rPr>
          <w:rFonts w:ascii="宋体" w:hAnsi="宋体" w:cs="Calibri"/>
          <w:kern w:val="0"/>
          <w:sz w:val="24"/>
        </w:rPr>
        <w:t>无偿</w:t>
      </w:r>
      <w:r>
        <w:rPr>
          <w:rFonts w:ascii="宋体" w:hAnsi="宋体" w:cs="Calibri"/>
          <w:sz w:val="24"/>
        </w:rPr>
        <w:t>使用。</w:t>
      </w:r>
    </w:p>
    <w:p>
      <w:pPr>
        <w:spacing w:line="400" w:lineRule="exact"/>
        <w:ind w:firstLine="480" w:firstLineChars="200"/>
        <w:rPr>
          <w:rFonts w:ascii="宋体" w:hAnsi="宋体" w:cs="Calibri"/>
          <w:sz w:val="24"/>
        </w:rPr>
      </w:pPr>
      <w:r>
        <w:rPr>
          <w:rFonts w:ascii="宋体" w:hAnsi="宋体" w:cs="Calibri"/>
          <w:kern w:val="0"/>
          <w:sz w:val="24"/>
        </w:rPr>
        <w:t xml:space="preserve">3.3.2 </w:t>
      </w:r>
      <w:r>
        <w:rPr>
          <w:rFonts w:ascii="宋体" w:hAnsi="宋体" w:cs="Calibri"/>
          <w:sz w:val="24"/>
        </w:rPr>
        <w:t>委托人应负责协调工程建设中所有外部关系，为监理人履行本合同提供必要的外部条件。</w:t>
      </w:r>
    </w:p>
    <w:p>
      <w:pPr>
        <w:snapToGrid w:val="0"/>
        <w:spacing w:line="400" w:lineRule="exact"/>
        <w:ind w:left="210" w:leftChars="100" w:firstLine="240" w:firstLineChars="100"/>
        <w:rPr>
          <w:rFonts w:ascii="宋体" w:hAnsi="宋体" w:cs="Calibri"/>
          <w:kern w:val="0"/>
          <w:sz w:val="24"/>
        </w:rPr>
      </w:pPr>
      <w:r>
        <w:rPr>
          <w:rFonts w:ascii="宋体" w:hAnsi="宋体" w:cs="Calibri"/>
          <w:kern w:val="0"/>
          <w:sz w:val="24"/>
        </w:rPr>
        <w:t>3.4 委托人代表</w:t>
      </w:r>
    </w:p>
    <w:p>
      <w:pPr>
        <w:snapToGrid w:val="0"/>
        <w:spacing w:line="400" w:lineRule="exact"/>
        <w:ind w:firstLine="480" w:firstLineChars="200"/>
        <w:rPr>
          <w:rFonts w:ascii="宋体" w:hAnsi="宋体" w:cs="Calibri"/>
          <w:sz w:val="24"/>
        </w:rPr>
      </w:pPr>
      <w:r>
        <w:rPr>
          <w:rFonts w:ascii="宋体" w:hAnsi="宋体" w:cs="Calibri"/>
          <w:sz w:val="24"/>
        </w:rPr>
        <w:t>委托人应授权一名熟悉工程情况的代表，负责与监理人联系。委托人应在双方签订本合同后7天内，将委托人代表的姓名和职责书面告知监理人。当委托人更换委托人代表时，应提前7天通知监理人。</w:t>
      </w:r>
    </w:p>
    <w:p>
      <w:pPr>
        <w:snapToGrid w:val="0"/>
        <w:spacing w:line="400" w:lineRule="exact"/>
        <w:ind w:left="210" w:leftChars="100"/>
        <w:rPr>
          <w:rFonts w:ascii="宋体" w:hAnsi="宋体" w:cs="Calibri"/>
          <w:kern w:val="0"/>
          <w:sz w:val="24"/>
        </w:rPr>
      </w:pPr>
      <w:r>
        <w:rPr>
          <w:rFonts w:ascii="宋体" w:hAnsi="宋体" w:cs="Calibri"/>
          <w:kern w:val="0"/>
          <w:sz w:val="24"/>
        </w:rPr>
        <w:t>3.5 委托人意见或要求</w:t>
      </w:r>
    </w:p>
    <w:p>
      <w:pPr>
        <w:snapToGrid w:val="0"/>
        <w:spacing w:line="400" w:lineRule="exact"/>
        <w:ind w:firstLine="480" w:firstLineChars="200"/>
        <w:rPr>
          <w:rFonts w:ascii="宋体" w:hAnsi="宋体" w:cs="Calibri"/>
          <w:sz w:val="24"/>
        </w:rPr>
      </w:pPr>
      <w:r>
        <w:rPr>
          <w:rFonts w:ascii="宋体" w:hAnsi="宋体" w:cs="Calibri"/>
          <w:sz w:val="24"/>
        </w:rPr>
        <w:t>在本合同约定的监理与相关服务工作范围内，委托人对承包人的任何意见或要求应通知监理人，由监理人向承包人发出相应指令。</w:t>
      </w:r>
    </w:p>
    <w:p>
      <w:pPr>
        <w:snapToGrid w:val="0"/>
        <w:spacing w:line="400" w:lineRule="exact"/>
        <w:ind w:left="210" w:leftChars="100"/>
        <w:rPr>
          <w:rFonts w:ascii="宋体" w:hAnsi="宋体" w:cs="Calibri"/>
          <w:kern w:val="0"/>
          <w:sz w:val="24"/>
        </w:rPr>
      </w:pPr>
      <w:r>
        <w:rPr>
          <w:rFonts w:ascii="宋体" w:hAnsi="宋体" w:cs="Calibri"/>
          <w:kern w:val="0"/>
          <w:sz w:val="24"/>
        </w:rPr>
        <w:t>3.6 答复</w:t>
      </w:r>
    </w:p>
    <w:p>
      <w:pPr>
        <w:snapToGrid w:val="0"/>
        <w:spacing w:line="400" w:lineRule="exact"/>
        <w:ind w:firstLine="480" w:firstLineChars="200"/>
        <w:rPr>
          <w:rFonts w:ascii="宋体" w:hAnsi="宋体" w:cs="Calibri"/>
          <w:sz w:val="24"/>
        </w:rPr>
      </w:pPr>
      <w:r>
        <w:rPr>
          <w:rFonts w:ascii="宋体" w:hAnsi="宋体" w:cs="Calibri"/>
          <w:sz w:val="24"/>
        </w:rPr>
        <w:t>委托人应在专用条件约定的时间内，对监理人以书面形式提交并要求作出决定的事宜，给予书面答复。逾期未答复的，视为委托人认可。</w:t>
      </w:r>
    </w:p>
    <w:p>
      <w:pPr>
        <w:snapToGrid w:val="0"/>
        <w:spacing w:line="400" w:lineRule="exact"/>
        <w:ind w:left="210" w:leftChars="100"/>
        <w:rPr>
          <w:rFonts w:ascii="宋体" w:hAnsi="宋体" w:cs="Calibri"/>
          <w:kern w:val="0"/>
          <w:sz w:val="24"/>
        </w:rPr>
      </w:pPr>
      <w:r>
        <w:rPr>
          <w:rFonts w:ascii="宋体" w:hAnsi="宋体" w:cs="Calibri"/>
          <w:kern w:val="0"/>
          <w:sz w:val="24"/>
        </w:rPr>
        <w:t>3.7 支付</w:t>
      </w:r>
    </w:p>
    <w:p>
      <w:pPr>
        <w:snapToGrid w:val="0"/>
        <w:spacing w:line="400" w:lineRule="exact"/>
        <w:ind w:firstLine="480" w:firstLineChars="200"/>
        <w:rPr>
          <w:rFonts w:ascii="宋体" w:hAnsi="宋体" w:cs="Calibri"/>
          <w:sz w:val="24"/>
        </w:rPr>
      </w:pPr>
      <w:r>
        <w:rPr>
          <w:rFonts w:ascii="宋体" w:hAnsi="宋体" w:cs="Calibri"/>
          <w:sz w:val="24"/>
        </w:rPr>
        <w:t>委托人应按本合同约定，向监理人支付酬金。</w:t>
      </w:r>
    </w:p>
    <w:p>
      <w:pPr>
        <w:keepNext/>
        <w:keepLines/>
        <w:spacing w:before="20" w:after="20" w:line="400" w:lineRule="exact"/>
        <w:outlineLvl w:val="2"/>
        <w:rPr>
          <w:rFonts w:ascii="宋体" w:hAnsi="宋体" w:cs="Calibri"/>
          <w:bCs/>
          <w:kern w:val="0"/>
          <w:sz w:val="24"/>
        </w:rPr>
      </w:pPr>
      <w:bookmarkStart w:id="178" w:name="_Toc18263"/>
      <w:bookmarkStart w:id="179" w:name="_Toc66888524"/>
      <w:bookmarkStart w:id="180" w:name="_Toc71830934"/>
      <w:bookmarkStart w:id="181" w:name="_Toc9194600"/>
      <w:bookmarkStart w:id="182" w:name="_Toc398111696"/>
      <w:bookmarkStart w:id="183" w:name="_Toc66888631"/>
      <w:r>
        <w:rPr>
          <w:rFonts w:ascii="宋体" w:hAnsi="宋体" w:cs="Calibri"/>
          <w:bCs/>
          <w:kern w:val="0"/>
          <w:sz w:val="24"/>
        </w:rPr>
        <w:t>4. 违约责任</w:t>
      </w:r>
      <w:bookmarkEnd w:id="178"/>
      <w:bookmarkEnd w:id="179"/>
      <w:bookmarkEnd w:id="180"/>
      <w:bookmarkEnd w:id="181"/>
      <w:bookmarkEnd w:id="182"/>
      <w:bookmarkEnd w:id="183"/>
    </w:p>
    <w:p>
      <w:pPr>
        <w:spacing w:line="400" w:lineRule="exact"/>
        <w:ind w:left="210" w:leftChars="100"/>
        <w:rPr>
          <w:rFonts w:ascii="宋体" w:hAnsi="宋体" w:cs="Calibri"/>
          <w:kern w:val="0"/>
          <w:sz w:val="24"/>
        </w:rPr>
      </w:pPr>
      <w:r>
        <w:rPr>
          <w:rFonts w:ascii="宋体" w:hAnsi="宋体" w:cs="Calibri"/>
          <w:kern w:val="0"/>
          <w:sz w:val="24"/>
        </w:rPr>
        <w:t>4.1 监理人的违约责任</w:t>
      </w:r>
    </w:p>
    <w:p>
      <w:pPr>
        <w:adjustRightInd w:val="0"/>
        <w:snapToGrid w:val="0"/>
        <w:spacing w:line="400" w:lineRule="exact"/>
        <w:ind w:firstLine="480" w:firstLineChars="200"/>
        <w:rPr>
          <w:rFonts w:ascii="宋体" w:hAnsi="宋体" w:cs="Calibri"/>
          <w:sz w:val="24"/>
        </w:rPr>
      </w:pPr>
      <w:r>
        <w:rPr>
          <w:rFonts w:ascii="宋体" w:hAnsi="宋体" w:cs="Calibri"/>
          <w:kern w:val="0"/>
          <w:sz w:val="24"/>
        </w:rPr>
        <w:t>监理人未履行本合同义务的，应承担相应的责任。</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4.1.1 因监理人违反本合同约定</w:t>
      </w:r>
      <w:r>
        <w:rPr>
          <w:rFonts w:ascii="宋体" w:hAnsi="宋体" w:cs="Calibri"/>
          <w:sz w:val="24"/>
        </w:rPr>
        <w:t>给委托人造成损失的，监理人应当赔偿委托人损失</w:t>
      </w:r>
      <w:r>
        <w:rPr>
          <w:rFonts w:ascii="宋体" w:hAnsi="宋体" w:cs="Calibri"/>
          <w:kern w:val="0"/>
          <w:sz w:val="24"/>
        </w:rPr>
        <w:t>。赔偿金额的确定方法在专用条件中约定。监理人承担部分赔偿责任的，其承担赔偿金额由双方协商确定。</w:t>
      </w:r>
    </w:p>
    <w:p>
      <w:pPr>
        <w:spacing w:line="400" w:lineRule="exact"/>
        <w:ind w:firstLine="480" w:firstLineChars="200"/>
        <w:rPr>
          <w:rFonts w:ascii="宋体" w:hAnsi="宋体" w:cs="Calibri"/>
          <w:kern w:val="0"/>
          <w:sz w:val="24"/>
        </w:rPr>
      </w:pPr>
      <w:r>
        <w:rPr>
          <w:rFonts w:ascii="宋体" w:hAnsi="宋体" w:cs="Calibri"/>
          <w:kern w:val="0"/>
          <w:sz w:val="24"/>
        </w:rPr>
        <w:t>4.1.2 监理人向委托人的索赔不成立时，监理人应赔偿委托人由此发生的费用。</w:t>
      </w:r>
    </w:p>
    <w:p>
      <w:pPr>
        <w:snapToGrid w:val="0"/>
        <w:spacing w:line="400" w:lineRule="exact"/>
        <w:ind w:firstLine="240" w:firstLineChars="100"/>
        <w:rPr>
          <w:rFonts w:ascii="宋体" w:hAnsi="宋体" w:cs="Calibri"/>
          <w:kern w:val="0"/>
          <w:sz w:val="24"/>
        </w:rPr>
      </w:pPr>
      <w:r>
        <w:rPr>
          <w:rFonts w:ascii="宋体" w:hAnsi="宋体" w:cs="Calibri"/>
          <w:kern w:val="0"/>
          <w:sz w:val="24"/>
        </w:rPr>
        <w:t>4.2 委托人的违约责任</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委托人未履行本合同义务的，应承担相应的责任。</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4.2.1 委托人违反本合同约定造成监理人损失的，委托人应予以赔偿。</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4.2.2 委托人向监理人的索赔不成立时，应赔偿监理人由此引起的费用。</w:t>
      </w:r>
    </w:p>
    <w:p>
      <w:pPr>
        <w:spacing w:line="400" w:lineRule="exact"/>
        <w:ind w:firstLine="240" w:firstLineChars="100"/>
        <w:rPr>
          <w:rFonts w:ascii="宋体" w:hAnsi="宋体" w:cs="Calibri"/>
          <w:kern w:val="0"/>
          <w:sz w:val="24"/>
        </w:rPr>
      </w:pPr>
      <w:r>
        <w:rPr>
          <w:rFonts w:ascii="宋体" w:hAnsi="宋体" w:cs="Calibri"/>
          <w:kern w:val="0"/>
          <w:sz w:val="24"/>
        </w:rPr>
        <w:t>4.3 除外责任</w:t>
      </w:r>
    </w:p>
    <w:p>
      <w:pPr>
        <w:adjustRightInd w:val="0"/>
        <w:snapToGrid w:val="0"/>
        <w:spacing w:line="400" w:lineRule="exact"/>
        <w:ind w:firstLine="480" w:firstLineChars="200"/>
        <w:rPr>
          <w:rFonts w:ascii="宋体" w:hAnsi="宋体" w:cs="Calibri"/>
          <w:kern w:val="0"/>
          <w:sz w:val="24"/>
        </w:rPr>
      </w:pPr>
      <w:r>
        <w:rPr>
          <w:rFonts w:ascii="宋体" w:hAnsi="宋体" w:cs="Calibri"/>
          <w:kern w:val="0"/>
          <w:sz w:val="24"/>
        </w:rPr>
        <w:t>因非监理人的原因，且监理人无过错，发生工程质量事故、安全事故、工期延误等造成的损失，监理人不承担赔偿责任。</w:t>
      </w:r>
    </w:p>
    <w:p>
      <w:pPr>
        <w:snapToGrid w:val="0"/>
        <w:spacing w:line="400" w:lineRule="exact"/>
        <w:ind w:firstLine="480" w:firstLineChars="200"/>
        <w:rPr>
          <w:rFonts w:ascii="宋体" w:hAnsi="宋体" w:cs="Calibri"/>
          <w:kern w:val="0"/>
          <w:sz w:val="24"/>
        </w:rPr>
      </w:pPr>
      <w:r>
        <w:rPr>
          <w:rFonts w:ascii="宋体" w:hAnsi="宋体" w:cs="Calibri"/>
          <w:kern w:val="0"/>
          <w:sz w:val="24"/>
        </w:rPr>
        <w:t>因不可抗力导致本合同全部或部分不能履行时，双方各自承担其因此而造成的损失、损害。</w:t>
      </w:r>
    </w:p>
    <w:p>
      <w:pPr>
        <w:keepNext/>
        <w:keepLines/>
        <w:spacing w:before="20" w:after="20" w:line="400" w:lineRule="exact"/>
        <w:outlineLvl w:val="2"/>
        <w:rPr>
          <w:rFonts w:ascii="宋体" w:hAnsi="宋体" w:cs="Calibri"/>
          <w:bCs/>
          <w:kern w:val="0"/>
          <w:sz w:val="24"/>
        </w:rPr>
      </w:pPr>
      <w:bookmarkStart w:id="184" w:name="_Toc66888525"/>
      <w:bookmarkStart w:id="185" w:name="_Toc9194601"/>
      <w:bookmarkStart w:id="186" w:name="_Toc22477"/>
      <w:bookmarkStart w:id="187" w:name="_Toc71830935"/>
      <w:bookmarkStart w:id="188" w:name="_Toc398111697"/>
      <w:bookmarkStart w:id="189" w:name="_Toc66888632"/>
      <w:r>
        <w:rPr>
          <w:rFonts w:ascii="宋体" w:hAnsi="宋体" w:cs="Calibri"/>
          <w:bCs/>
          <w:kern w:val="0"/>
          <w:sz w:val="24"/>
        </w:rPr>
        <w:t>5. 支付</w:t>
      </w:r>
      <w:bookmarkEnd w:id="184"/>
      <w:bookmarkEnd w:id="185"/>
      <w:bookmarkEnd w:id="186"/>
      <w:bookmarkEnd w:id="187"/>
      <w:bookmarkEnd w:id="188"/>
      <w:bookmarkEnd w:id="189"/>
    </w:p>
    <w:p>
      <w:pPr>
        <w:snapToGrid w:val="0"/>
        <w:spacing w:line="400" w:lineRule="exact"/>
        <w:ind w:left="210" w:leftChars="100"/>
        <w:rPr>
          <w:rFonts w:ascii="宋体" w:hAnsi="宋体" w:cs="Calibri"/>
          <w:bCs/>
          <w:sz w:val="24"/>
        </w:rPr>
      </w:pPr>
      <w:r>
        <w:rPr>
          <w:rFonts w:ascii="宋体" w:hAnsi="宋体" w:cs="Calibri"/>
          <w:sz w:val="24"/>
        </w:rPr>
        <w:t xml:space="preserve">5.1 </w:t>
      </w:r>
      <w:r>
        <w:rPr>
          <w:rFonts w:ascii="宋体" w:hAnsi="宋体" w:cs="Calibri"/>
          <w:bCs/>
          <w:sz w:val="24"/>
        </w:rPr>
        <w:t>支付货币</w:t>
      </w:r>
    </w:p>
    <w:p>
      <w:pPr>
        <w:snapToGrid w:val="0"/>
        <w:spacing w:line="400" w:lineRule="exact"/>
        <w:ind w:firstLine="480" w:firstLineChars="200"/>
        <w:rPr>
          <w:rFonts w:ascii="宋体" w:hAnsi="宋体" w:cs="Calibri"/>
          <w:bCs/>
          <w:sz w:val="24"/>
        </w:rPr>
      </w:pPr>
      <w:r>
        <w:rPr>
          <w:rFonts w:ascii="宋体" w:hAnsi="宋体" w:cs="Calibri"/>
          <w:sz w:val="24"/>
        </w:rPr>
        <w:t>除专用条件另有约定外，酬金均以人民币支付。涉及外币支付的，所采用的货币种类、比例和汇率在专用条件中约定。</w:t>
      </w:r>
    </w:p>
    <w:p>
      <w:pPr>
        <w:snapToGrid w:val="0"/>
        <w:spacing w:line="400" w:lineRule="exact"/>
        <w:ind w:left="210" w:leftChars="100"/>
        <w:rPr>
          <w:rFonts w:ascii="宋体" w:hAnsi="宋体" w:cs="Calibri"/>
          <w:bCs/>
          <w:sz w:val="24"/>
        </w:rPr>
      </w:pPr>
      <w:r>
        <w:rPr>
          <w:rFonts w:ascii="宋体" w:hAnsi="宋体" w:cs="Calibri"/>
          <w:sz w:val="24"/>
        </w:rPr>
        <w:t>5.2 支付申请</w:t>
      </w:r>
    </w:p>
    <w:p>
      <w:pPr>
        <w:snapToGrid w:val="0"/>
        <w:spacing w:line="400" w:lineRule="exact"/>
        <w:ind w:firstLine="480" w:firstLineChars="200"/>
        <w:rPr>
          <w:rFonts w:ascii="宋体" w:hAnsi="宋体" w:cs="Calibri"/>
          <w:sz w:val="24"/>
        </w:rPr>
      </w:pPr>
      <w:r>
        <w:rPr>
          <w:rFonts w:ascii="宋体" w:hAnsi="宋体" w:cs="Calibri"/>
          <w:sz w:val="24"/>
        </w:rPr>
        <w:t>监理人应在本合同约定的每次应付款时间的7天前，向委托人提交支付申请书。支付申请书应当说明当期应付款总额，并列出当期应支付的款项及其金额。</w:t>
      </w:r>
    </w:p>
    <w:p>
      <w:pPr>
        <w:snapToGrid w:val="0"/>
        <w:spacing w:line="400" w:lineRule="exact"/>
        <w:rPr>
          <w:rFonts w:ascii="宋体" w:hAnsi="宋体" w:cs="Calibri"/>
          <w:bCs/>
          <w:sz w:val="24"/>
        </w:rPr>
      </w:pPr>
      <w:r>
        <w:rPr>
          <w:rFonts w:ascii="宋体" w:hAnsi="宋体" w:cs="Calibri"/>
          <w:sz w:val="24"/>
        </w:rPr>
        <w:t xml:space="preserve">  5.3 </w:t>
      </w:r>
      <w:r>
        <w:rPr>
          <w:rFonts w:ascii="宋体" w:hAnsi="宋体" w:cs="Calibri"/>
          <w:bCs/>
          <w:sz w:val="24"/>
        </w:rPr>
        <w:t>有争议部分的付款</w:t>
      </w:r>
    </w:p>
    <w:p>
      <w:pPr>
        <w:snapToGrid w:val="0"/>
        <w:spacing w:line="400" w:lineRule="exact"/>
        <w:ind w:firstLine="480" w:firstLineChars="200"/>
        <w:rPr>
          <w:rFonts w:ascii="宋体" w:hAnsi="宋体" w:cs="Calibri"/>
          <w:sz w:val="24"/>
        </w:rPr>
      </w:pPr>
      <w:r>
        <w:rPr>
          <w:rFonts w:ascii="宋体" w:hAnsi="宋体" w:cs="Calibri"/>
          <w:sz w:val="24"/>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keepLines/>
        <w:spacing w:before="20" w:after="20" w:line="400" w:lineRule="exact"/>
        <w:outlineLvl w:val="2"/>
        <w:rPr>
          <w:rFonts w:ascii="宋体" w:hAnsi="宋体" w:cs="Calibri"/>
          <w:bCs/>
          <w:kern w:val="0"/>
          <w:sz w:val="24"/>
        </w:rPr>
      </w:pPr>
      <w:bookmarkStart w:id="190" w:name="_Toc71830936"/>
      <w:bookmarkStart w:id="191" w:name="_Toc9194602"/>
      <w:bookmarkStart w:id="192" w:name="_Toc66888633"/>
      <w:bookmarkStart w:id="193" w:name="_Toc398111698"/>
      <w:bookmarkStart w:id="194" w:name="_Toc13946"/>
      <w:bookmarkStart w:id="195" w:name="_Toc66888526"/>
      <w:r>
        <w:rPr>
          <w:rFonts w:ascii="宋体" w:hAnsi="宋体" w:cs="Calibri"/>
          <w:bCs/>
          <w:kern w:val="0"/>
          <w:sz w:val="24"/>
        </w:rPr>
        <w:t>6. 合同生效、变更、暂停、解除与终止</w:t>
      </w:r>
      <w:bookmarkEnd w:id="190"/>
      <w:bookmarkEnd w:id="191"/>
      <w:bookmarkEnd w:id="192"/>
      <w:bookmarkEnd w:id="193"/>
      <w:bookmarkEnd w:id="194"/>
      <w:bookmarkEnd w:id="195"/>
    </w:p>
    <w:p>
      <w:pPr>
        <w:spacing w:line="400" w:lineRule="exact"/>
        <w:ind w:left="210" w:leftChars="100"/>
        <w:rPr>
          <w:rFonts w:ascii="宋体" w:hAnsi="宋体" w:cs="Calibri"/>
          <w:sz w:val="24"/>
        </w:rPr>
      </w:pPr>
      <w:r>
        <w:rPr>
          <w:rFonts w:ascii="宋体" w:hAnsi="宋体" w:cs="Calibri"/>
          <w:sz w:val="24"/>
        </w:rPr>
        <w:t>6.1生效</w:t>
      </w:r>
    </w:p>
    <w:p>
      <w:pPr>
        <w:spacing w:line="400" w:lineRule="exact"/>
        <w:ind w:firstLine="480" w:firstLineChars="200"/>
        <w:rPr>
          <w:rFonts w:ascii="宋体" w:hAnsi="宋体" w:cs="Calibri"/>
          <w:sz w:val="24"/>
        </w:rPr>
      </w:pPr>
      <w:r>
        <w:rPr>
          <w:rFonts w:ascii="宋体" w:hAnsi="宋体" w:cs="Calibri"/>
          <w:sz w:val="24"/>
        </w:rPr>
        <w:t>除法律另有规定或者专用条件另有约定外，委托人和监理人的法定代表人或其授权代理人在协议书上签字并盖单位章后本合同生效。</w:t>
      </w:r>
    </w:p>
    <w:p>
      <w:pPr>
        <w:snapToGrid w:val="0"/>
        <w:spacing w:line="400" w:lineRule="exact"/>
        <w:ind w:left="210" w:leftChars="100"/>
        <w:rPr>
          <w:rFonts w:ascii="宋体" w:hAnsi="宋体" w:cs="Calibri"/>
          <w:bCs/>
          <w:sz w:val="24"/>
        </w:rPr>
      </w:pPr>
      <w:r>
        <w:rPr>
          <w:rFonts w:ascii="宋体" w:hAnsi="宋体" w:cs="Calibri"/>
          <w:sz w:val="24"/>
        </w:rPr>
        <w:t>6.2</w:t>
      </w:r>
      <w:r>
        <w:rPr>
          <w:rFonts w:ascii="宋体" w:hAnsi="宋体" w:cs="Calibri"/>
          <w:bCs/>
          <w:sz w:val="24"/>
        </w:rPr>
        <w:t>变更</w:t>
      </w:r>
    </w:p>
    <w:p>
      <w:pPr>
        <w:snapToGrid w:val="0"/>
        <w:spacing w:line="400" w:lineRule="exact"/>
        <w:ind w:firstLine="480" w:firstLineChars="200"/>
        <w:rPr>
          <w:rFonts w:ascii="宋体" w:hAnsi="宋体" w:cs="Calibri"/>
          <w:sz w:val="24"/>
        </w:rPr>
      </w:pPr>
      <w:r>
        <w:rPr>
          <w:rFonts w:ascii="宋体" w:hAnsi="宋体" w:cs="Calibri"/>
          <w:sz w:val="24"/>
        </w:rPr>
        <w:t>6.2.1 任何一方提出变更请求时，双方经协商一致后可进行变更。</w:t>
      </w:r>
    </w:p>
    <w:p>
      <w:pPr>
        <w:adjustRightInd w:val="0"/>
        <w:snapToGrid w:val="0"/>
        <w:spacing w:line="400" w:lineRule="exact"/>
        <w:ind w:firstLine="480" w:firstLineChars="200"/>
        <w:rPr>
          <w:rFonts w:ascii="宋体" w:hAnsi="宋体" w:cs="Calibri"/>
          <w:sz w:val="24"/>
        </w:rPr>
      </w:pPr>
      <w:r>
        <w:rPr>
          <w:rFonts w:ascii="宋体" w:hAnsi="宋体" w:cs="Calibri"/>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adjustRightInd w:val="0"/>
        <w:snapToGrid w:val="0"/>
        <w:spacing w:line="400" w:lineRule="exact"/>
        <w:ind w:firstLine="480" w:firstLineChars="200"/>
        <w:rPr>
          <w:rFonts w:ascii="宋体" w:hAnsi="宋体" w:cs="Calibri"/>
          <w:sz w:val="24"/>
        </w:rPr>
      </w:pPr>
      <w:r>
        <w:rPr>
          <w:rFonts w:ascii="宋体" w:hAnsi="宋体" w:cs="Calibri"/>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3天。</w:t>
      </w:r>
    </w:p>
    <w:p>
      <w:pPr>
        <w:snapToGrid w:val="0"/>
        <w:spacing w:line="400" w:lineRule="exact"/>
        <w:ind w:firstLine="480" w:firstLineChars="200"/>
        <w:rPr>
          <w:rFonts w:ascii="宋体" w:hAnsi="宋体" w:cs="Calibri"/>
          <w:sz w:val="24"/>
        </w:rPr>
      </w:pPr>
      <w:r>
        <w:rPr>
          <w:rFonts w:ascii="宋体" w:hAnsi="宋体" w:cs="Calibri"/>
          <w:sz w:val="24"/>
        </w:rPr>
        <w:t>6.2.4合同签订后，遇有与工程相关的法律法规、标准颁布或修订的，双方应遵照执行。由此引起监理与相关服务的范围、时间、酬金变化的，双方应通过协商进行相应调整。</w:t>
      </w:r>
    </w:p>
    <w:p>
      <w:pPr>
        <w:adjustRightInd w:val="0"/>
        <w:snapToGrid w:val="0"/>
        <w:spacing w:line="400" w:lineRule="exact"/>
        <w:ind w:firstLine="480" w:firstLineChars="200"/>
        <w:rPr>
          <w:rFonts w:ascii="宋体" w:hAnsi="宋体" w:cs="Calibri"/>
          <w:sz w:val="24"/>
        </w:rPr>
      </w:pPr>
      <w:r>
        <w:rPr>
          <w:rFonts w:ascii="宋体" w:hAnsi="宋体" w:cs="Calibri"/>
          <w:sz w:val="24"/>
        </w:rPr>
        <w:t>6.2.5 因非监理人原因造成工程概算投资额或建筑安装工程费增加时，正常工作酬金应作相应调整。调整方法在专用条件中约定。</w:t>
      </w:r>
    </w:p>
    <w:p>
      <w:pPr>
        <w:snapToGrid w:val="0"/>
        <w:spacing w:line="400" w:lineRule="exact"/>
        <w:ind w:firstLine="480" w:firstLineChars="200"/>
        <w:rPr>
          <w:rFonts w:ascii="宋体" w:hAnsi="宋体" w:cs="Calibri"/>
          <w:sz w:val="24"/>
        </w:rPr>
      </w:pPr>
      <w:r>
        <w:rPr>
          <w:rFonts w:ascii="宋体" w:hAnsi="宋体" w:cs="Calibri"/>
          <w:sz w:val="24"/>
        </w:rPr>
        <w:t>6.2.6 因工程规模、监理范围的变化导致监理人的正常工作量减少时，正常工作酬金应作相应调整。调整方法在专用条件中约定。</w:t>
      </w:r>
    </w:p>
    <w:p>
      <w:pPr>
        <w:snapToGrid w:val="0"/>
        <w:spacing w:line="400" w:lineRule="exact"/>
        <w:rPr>
          <w:rFonts w:ascii="宋体" w:hAnsi="宋体" w:cs="Calibri"/>
          <w:bCs/>
          <w:sz w:val="24"/>
        </w:rPr>
      </w:pPr>
      <w:r>
        <w:rPr>
          <w:rFonts w:ascii="宋体" w:hAnsi="宋体" w:cs="Calibri"/>
          <w:sz w:val="24"/>
        </w:rPr>
        <w:t xml:space="preserve">  6.3 暂停与</w:t>
      </w:r>
      <w:r>
        <w:rPr>
          <w:rFonts w:ascii="宋体" w:hAnsi="宋体" w:cs="Calibri"/>
          <w:bCs/>
          <w:sz w:val="24"/>
        </w:rPr>
        <w:t>解除</w:t>
      </w:r>
    </w:p>
    <w:p>
      <w:pPr>
        <w:adjustRightInd w:val="0"/>
        <w:snapToGrid w:val="0"/>
        <w:spacing w:line="400" w:lineRule="exact"/>
        <w:ind w:firstLine="480" w:firstLineChars="200"/>
        <w:rPr>
          <w:rFonts w:ascii="宋体" w:hAnsi="宋体" w:cs="Calibri"/>
          <w:sz w:val="24"/>
        </w:rPr>
      </w:pPr>
      <w:r>
        <w:rPr>
          <w:rFonts w:ascii="宋体" w:hAnsi="宋体" w:cs="Calibri"/>
          <w:sz w:val="24"/>
        </w:rPr>
        <w:t>除双方协商一致可以解除本合同外，当一方无正当理由未履行本合同约定的义务时，另一方可以根据本合同约定暂停履行本合同直至解除本合同。</w:t>
      </w:r>
    </w:p>
    <w:p>
      <w:pPr>
        <w:adjustRightInd w:val="0"/>
        <w:snapToGrid w:val="0"/>
        <w:spacing w:line="400" w:lineRule="exact"/>
        <w:ind w:firstLine="480" w:firstLineChars="200"/>
        <w:rPr>
          <w:rFonts w:ascii="宋体" w:hAnsi="宋体" w:cs="Calibri"/>
          <w:sz w:val="24"/>
        </w:rPr>
      </w:pPr>
      <w:r>
        <w:rPr>
          <w:rFonts w:ascii="宋体" w:hAnsi="宋体" w:cs="Calibri"/>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adjustRightInd w:val="0"/>
        <w:snapToGrid w:val="0"/>
        <w:spacing w:line="400" w:lineRule="exact"/>
        <w:ind w:firstLine="480" w:firstLineChars="200"/>
        <w:rPr>
          <w:rFonts w:ascii="宋体" w:hAnsi="宋体" w:cs="Calibri"/>
          <w:sz w:val="24"/>
        </w:rPr>
      </w:pPr>
      <w:r>
        <w:rPr>
          <w:rFonts w:ascii="宋体" w:hAnsi="宋体" w:cs="Calibri"/>
          <w:sz w:val="24"/>
        </w:rPr>
        <w:t>因解除本合同或解除监理人的部分义务导致监理人遭受的损失，除依法可以免除责任的情况外，应由委托人予以补偿，补偿金额由双方协商确定。</w:t>
      </w:r>
    </w:p>
    <w:p>
      <w:pPr>
        <w:adjustRightInd w:val="0"/>
        <w:snapToGrid w:val="0"/>
        <w:spacing w:line="400" w:lineRule="exact"/>
        <w:ind w:firstLine="480" w:firstLineChars="200"/>
        <w:rPr>
          <w:rFonts w:ascii="宋体" w:hAnsi="宋体" w:cs="Calibri"/>
          <w:sz w:val="24"/>
        </w:rPr>
      </w:pPr>
      <w:r>
        <w:rPr>
          <w:rFonts w:ascii="宋体" w:hAnsi="宋体" w:cs="Calibri"/>
          <w:sz w:val="24"/>
        </w:rPr>
        <w:t>解除本合同的协议必须采取书面形式，协议未达成之前，本合同仍然有效。</w:t>
      </w:r>
    </w:p>
    <w:p>
      <w:pPr>
        <w:adjustRightInd w:val="0"/>
        <w:snapToGrid w:val="0"/>
        <w:spacing w:line="400" w:lineRule="exact"/>
        <w:ind w:firstLine="480" w:firstLineChars="200"/>
        <w:rPr>
          <w:rFonts w:ascii="宋体" w:hAnsi="宋体" w:cs="Calibri"/>
          <w:sz w:val="24"/>
        </w:rPr>
      </w:pPr>
      <w:r>
        <w:rPr>
          <w:rFonts w:ascii="宋体" w:hAnsi="宋体" w:cs="Calibri"/>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adjustRightInd w:val="0"/>
        <w:snapToGrid w:val="0"/>
        <w:spacing w:line="400" w:lineRule="exact"/>
        <w:ind w:firstLine="480" w:firstLineChars="200"/>
        <w:rPr>
          <w:rFonts w:ascii="宋体" w:hAnsi="宋体" w:cs="Calibri"/>
          <w:sz w:val="24"/>
        </w:rPr>
      </w:pPr>
      <w:r>
        <w:rPr>
          <w:rFonts w:ascii="宋体" w:hAnsi="宋体" w:cs="Calibri"/>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ascii="宋体" w:hAnsi="宋体" w:cs="Calibri"/>
          <w:kern w:val="0"/>
          <w:sz w:val="24"/>
        </w:rPr>
        <w:t>的</w:t>
      </w:r>
      <w:r>
        <w:rPr>
          <w:rFonts w:ascii="宋体" w:hAnsi="宋体" w:cs="Calibri"/>
          <w:sz w:val="24"/>
        </w:rPr>
        <w:t>酬金支付至本合同解除日，且应承担第4.2款约定的责任。</w:t>
      </w:r>
    </w:p>
    <w:p>
      <w:pPr>
        <w:adjustRightInd w:val="0"/>
        <w:snapToGrid w:val="0"/>
        <w:spacing w:line="400" w:lineRule="exact"/>
        <w:ind w:firstLine="480" w:firstLineChars="200"/>
        <w:rPr>
          <w:rFonts w:ascii="宋体" w:hAnsi="宋体" w:cs="Calibri"/>
          <w:sz w:val="24"/>
        </w:rPr>
      </w:pPr>
      <w:r>
        <w:rPr>
          <w:rFonts w:ascii="宋体" w:hAnsi="宋体" w:cs="Calibri"/>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ascii="宋体" w:hAnsi="宋体" w:cs="Calibri"/>
          <w:kern w:val="0"/>
          <w:sz w:val="24"/>
        </w:rPr>
        <w:t>的</w:t>
      </w:r>
      <w:r>
        <w:rPr>
          <w:rFonts w:ascii="宋体" w:hAnsi="宋体" w:cs="Calibri"/>
          <w:sz w:val="24"/>
        </w:rPr>
        <w:t>酬金支付至</w:t>
      </w:r>
      <w:r>
        <w:rPr>
          <w:rFonts w:ascii="宋体" w:hAnsi="宋体" w:cs="Calibri"/>
          <w:kern w:val="0"/>
          <w:sz w:val="24"/>
        </w:rPr>
        <w:t>限期改正通知到达监理人之日</w:t>
      </w:r>
      <w:r>
        <w:rPr>
          <w:rFonts w:ascii="宋体" w:hAnsi="宋体" w:cs="Calibri"/>
          <w:sz w:val="24"/>
        </w:rPr>
        <w:t>，但监理人应承担第4.1款约定的责任。</w:t>
      </w:r>
    </w:p>
    <w:p>
      <w:pPr>
        <w:adjustRightInd w:val="0"/>
        <w:snapToGrid w:val="0"/>
        <w:spacing w:line="400" w:lineRule="exact"/>
        <w:ind w:firstLine="480" w:firstLineChars="200"/>
        <w:rPr>
          <w:rFonts w:ascii="宋体" w:hAnsi="宋体" w:cs="Calibri"/>
          <w:sz w:val="24"/>
        </w:rPr>
      </w:pPr>
      <w:r>
        <w:rPr>
          <w:rFonts w:ascii="宋体" w:hAnsi="宋体" w:cs="Calibri"/>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snapToGrid w:val="0"/>
        <w:spacing w:line="400" w:lineRule="exact"/>
        <w:ind w:firstLine="480" w:firstLineChars="200"/>
        <w:rPr>
          <w:rFonts w:ascii="宋体" w:hAnsi="宋体" w:cs="Calibri"/>
          <w:kern w:val="0"/>
          <w:sz w:val="24"/>
        </w:rPr>
      </w:pPr>
      <w:r>
        <w:rPr>
          <w:rFonts w:ascii="宋体" w:hAnsi="宋体" w:cs="Calibri"/>
          <w:sz w:val="24"/>
        </w:rPr>
        <w:t>6.3.5 因不可抗力致使本合同部分或全部不能履行时，一方应立即通知另一方，可暂停或解除本合同。</w:t>
      </w:r>
    </w:p>
    <w:p>
      <w:pPr>
        <w:snapToGrid w:val="0"/>
        <w:spacing w:line="400" w:lineRule="exact"/>
        <w:ind w:firstLine="480" w:firstLineChars="200"/>
        <w:rPr>
          <w:rFonts w:ascii="宋体" w:hAnsi="宋体" w:cs="Calibri"/>
          <w:sz w:val="24"/>
        </w:rPr>
      </w:pPr>
      <w:r>
        <w:rPr>
          <w:rFonts w:ascii="宋体" w:hAnsi="宋体" w:cs="Calibri"/>
          <w:sz w:val="24"/>
        </w:rPr>
        <w:t>6.3.6 本合同解除后，本合同约定的有关结算、清理、争议解决方式的条件仍然有效。</w:t>
      </w:r>
    </w:p>
    <w:p>
      <w:pPr>
        <w:snapToGrid w:val="0"/>
        <w:spacing w:line="400" w:lineRule="exact"/>
        <w:ind w:left="210" w:leftChars="100"/>
        <w:rPr>
          <w:rFonts w:ascii="宋体" w:hAnsi="宋体" w:cs="Calibri"/>
          <w:bCs/>
          <w:sz w:val="24"/>
        </w:rPr>
      </w:pPr>
      <w:r>
        <w:rPr>
          <w:rFonts w:ascii="宋体" w:hAnsi="宋体" w:cs="Calibri"/>
          <w:sz w:val="24"/>
        </w:rPr>
        <w:t xml:space="preserve">6.4 </w:t>
      </w:r>
      <w:r>
        <w:rPr>
          <w:rFonts w:ascii="宋体" w:hAnsi="宋体" w:cs="Calibri"/>
          <w:bCs/>
          <w:sz w:val="24"/>
        </w:rPr>
        <w:t>终止</w:t>
      </w:r>
    </w:p>
    <w:p>
      <w:pPr>
        <w:adjustRightInd w:val="0"/>
        <w:snapToGrid w:val="0"/>
        <w:spacing w:line="400" w:lineRule="exact"/>
        <w:ind w:firstLine="480" w:firstLineChars="200"/>
        <w:rPr>
          <w:rFonts w:ascii="宋体" w:hAnsi="宋体" w:cs="Calibri"/>
          <w:sz w:val="24"/>
        </w:rPr>
      </w:pPr>
      <w:r>
        <w:rPr>
          <w:rFonts w:ascii="宋体" w:hAnsi="宋体" w:cs="Calibri"/>
          <w:sz w:val="24"/>
        </w:rPr>
        <w:t>以下条件全部满足时，本合同即告终止：</w:t>
      </w:r>
    </w:p>
    <w:p>
      <w:pPr>
        <w:adjustRightInd w:val="0"/>
        <w:snapToGrid w:val="0"/>
        <w:spacing w:line="400" w:lineRule="exact"/>
        <w:ind w:firstLine="480" w:firstLineChars="200"/>
        <w:rPr>
          <w:rFonts w:ascii="宋体" w:hAnsi="宋体" w:cs="Calibri"/>
          <w:sz w:val="24"/>
        </w:rPr>
      </w:pPr>
      <w:r>
        <w:rPr>
          <w:rFonts w:ascii="宋体" w:hAnsi="宋体" w:cs="Calibri"/>
          <w:sz w:val="24"/>
        </w:rPr>
        <w:t>（1）监理人完成本合同约定的全部工作；</w:t>
      </w:r>
    </w:p>
    <w:p>
      <w:pPr>
        <w:snapToGrid w:val="0"/>
        <w:spacing w:line="400" w:lineRule="exact"/>
        <w:ind w:firstLine="480" w:firstLineChars="200"/>
        <w:rPr>
          <w:rFonts w:ascii="宋体" w:hAnsi="宋体" w:cs="Calibri"/>
          <w:sz w:val="24"/>
        </w:rPr>
      </w:pPr>
      <w:r>
        <w:rPr>
          <w:rFonts w:ascii="宋体" w:hAnsi="宋体" w:cs="Calibri"/>
          <w:sz w:val="24"/>
        </w:rPr>
        <w:t>（2）委托人与监理人结清并支付全部酬金。</w:t>
      </w:r>
    </w:p>
    <w:p>
      <w:pPr>
        <w:keepNext/>
        <w:keepLines/>
        <w:spacing w:before="20" w:after="20" w:line="400" w:lineRule="exact"/>
        <w:outlineLvl w:val="2"/>
        <w:rPr>
          <w:rFonts w:ascii="宋体" w:hAnsi="宋体" w:cs="Calibri"/>
          <w:bCs/>
          <w:kern w:val="0"/>
          <w:sz w:val="24"/>
        </w:rPr>
      </w:pPr>
      <w:bookmarkStart w:id="196" w:name="_Toc398111699"/>
      <w:bookmarkStart w:id="197" w:name="_Toc66888527"/>
      <w:bookmarkStart w:id="198" w:name="_Toc66888634"/>
      <w:bookmarkStart w:id="199" w:name="_Toc29497"/>
      <w:bookmarkStart w:id="200" w:name="_Toc9194603"/>
      <w:bookmarkStart w:id="201" w:name="_Toc71830937"/>
      <w:r>
        <w:rPr>
          <w:rFonts w:ascii="宋体" w:hAnsi="宋体" w:cs="Calibri"/>
          <w:bCs/>
          <w:kern w:val="0"/>
          <w:sz w:val="24"/>
        </w:rPr>
        <w:t>7. 争议解决</w:t>
      </w:r>
      <w:bookmarkEnd w:id="196"/>
      <w:bookmarkEnd w:id="197"/>
      <w:bookmarkEnd w:id="198"/>
      <w:bookmarkEnd w:id="199"/>
      <w:bookmarkEnd w:id="200"/>
      <w:bookmarkEnd w:id="201"/>
    </w:p>
    <w:p>
      <w:pPr>
        <w:snapToGrid w:val="0"/>
        <w:spacing w:line="400" w:lineRule="exact"/>
        <w:ind w:left="210" w:leftChars="100"/>
        <w:rPr>
          <w:rFonts w:ascii="宋体" w:hAnsi="宋体" w:cs="Calibri"/>
          <w:bCs/>
          <w:sz w:val="24"/>
        </w:rPr>
      </w:pPr>
      <w:r>
        <w:rPr>
          <w:rFonts w:ascii="宋体" w:hAnsi="宋体" w:cs="Calibri"/>
          <w:sz w:val="24"/>
        </w:rPr>
        <w:t>7.1</w:t>
      </w:r>
      <w:r>
        <w:rPr>
          <w:rFonts w:ascii="宋体" w:hAnsi="宋体" w:cs="Calibri"/>
          <w:bCs/>
          <w:sz w:val="24"/>
        </w:rPr>
        <w:t>协商</w:t>
      </w:r>
    </w:p>
    <w:p>
      <w:pPr>
        <w:snapToGrid w:val="0"/>
        <w:spacing w:line="400" w:lineRule="exact"/>
        <w:ind w:firstLine="480" w:firstLineChars="200"/>
        <w:rPr>
          <w:rFonts w:ascii="宋体" w:hAnsi="宋体" w:cs="Calibri"/>
          <w:bCs/>
          <w:sz w:val="24"/>
        </w:rPr>
      </w:pPr>
      <w:r>
        <w:rPr>
          <w:rFonts w:ascii="宋体" w:hAnsi="宋体" w:cs="Calibri"/>
          <w:sz w:val="24"/>
        </w:rPr>
        <w:t>双方应本着诚信原则协商解决彼此间的争议。</w:t>
      </w:r>
    </w:p>
    <w:p>
      <w:pPr>
        <w:snapToGrid w:val="0"/>
        <w:spacing w:line="400" w:lineRule="exact"/>
        <w:ind w:left="210" w:leftChars="100"/>
        <w:rPr>
          <w:rFonts w:ascii="宋体" w:hAnsi="宋体" w:cs="Calibri"/>
          <w:bCs/>
          <w:sz w:val="24"/>
        </w:rPr>
      </w:pPr>
      <w:r>
        <w:rPr>
          <w:rFonts w:ascii="宋体" w:hAnsi="宋体" w:cs="Calibri"/>
          <w:sz w:val="24"/>
        </w:rPr>
        <w:t>7.2</w:t>
      </w:r>
      <w:r>
        <w:rPr>
          <w:rFonts w:ascii="宋体" w:hAnsi="宋体" w:cs="Calibri"/>
          <w:bCs/>
          <w:sz w:val="24"/>
        </w:rPr>
        <w:t>调解</w:t>
      </w:r>
    </w:p>
    <w:p>
      <w:pPr>
        <w:snapToGrid w:val="0"/>
        <w:spacing w:line="400" w:lineRule="exact"/>
        <w:ind w:firstLine="480" w:firstLineChars="200"/>
        <w:rPr>
          <w:rFonts w:ascii="宋体" w:hAnsi="宋体" w:cs="Calibri"/>
          <w:bCs/>
          <w:sz w:val="24"/>
        </w:rPr>
      </w:pPr>
      <w:r>
        <w:rPr>
          <w:rFonts w:ascii="宋体" w:hAnsi="宋体" w:cs="Calibri"/>
          <w:sz w:val="24"/>
        </w:rPr>
        <w:t>如果双方不能在14天内或双方商定的其他时间内解决本合同争议，可以将其提交给专用条件约定的或事后达成协议的调解人进行调解。</w:t>
      </w:r>
    </w:p>
    <w:p>
      <w:pPr>
        <w:snapToGrid w:val="0"/>
        <w:spacing w:line="400" w:lineRule="exact"/>
        <w:ind w:left="210" w:leftChars="100"/>
        <w:rPr>
          <w:rFonts w:ascii="宋体" w:hAnsi="宋体" w:cs="Calibri"/>
          <w:bCs/>
          <w:sz w:val="24"/>
        </w:rPr>
      </w:pPr>
      <w:r>
        <w:rPr>
          <w:rFonts w:ascii="宋体" w:hAnsi="宋体" w:cs="Calibri"/>
          <w:sz w:val="24"/>
        </w:rPr>
        <w:t>7.3</w:t>
      </w:r>
      <w:r>
        <w:rPr>
          <w:rFonts w:ascii="宋体" w:hAnsi="宋体" w:cs="Calibri"/>
          <w:bCs/>
          <w:sz w:val="24"/>
        </w:rPr>
        <w:t>仲裁或诉讼</w:t>
      </w:r>
    </w:p>
    <w:p>
      <w:pPr>
        <w:snapToGrid w:val="0"/>
        <w:spacing w:line="400" w:lineRule="exact"/>
        <w:ind w:firstLine="480" w:firstLineChars="200"/>
        <w:rPr>
          <w:rFonts w:ascii="宋体" w:hAnsi="宋体" w:cs="Calibri"/>
          <w:sz w:val="24"/>
        </w:rPr>
      </w:pPr>
      <w:r>
        <w:rPr>
          <w:rFonts w:ascii="宋体" w:hAnsi="宋体" w:cs="Calibri"/>
          <w:sz w:val="24"/>
        </w:rPr>
        <w:t>双方均有权不经调解直接向专用条件约定的仲裁机构申请仲裁或向有管辖权的人民法院提起诉讼。</w:t>
      </w:r>
    </w:p>
    <w:p>
      <w:pPr>
        <w:keepNext/>
        <w:keepLines/>
        <w:spacing w:before="20" w:after="20" w:line="400" w:lineRule="exact"/>
        <w:outlineLvl w:val="2"/>
        <w:rPr>
          <w:rFonts w:ascii="宋体" w:hAnsi="宋体" w:cs="Calibri"/>
          <w:bCs/>
          <w:kern w:val="0"/>
          <w:sz w:val="24"/>
        </w:rPr>
      </w:pPr>
      <w:bookmarkStart w:id="202" w:name="_Toc398111700"/>
      <w:bookmarkStart w:id="203" w:name="_Toc71830938"/>
      <w:bookmarkStart w:id="204" w:name="_Toc66888635"/>
      <w:bookmarkStart w:id="205" w:name="_Toc22486"/>
      <w:bookmarkStart w:id="206" w:name="_Toc9194604"/>
      <w:bookmarkStart w:id="207" w:name="_Toc66888528"/>
      <w:r>
        <w:rPr>
          <w:rFonts w:ascii="宋体" w:hAnsi="宋体" w:cs="Calibri"/>
          <w:bCs/>
          <w:kern w:val="0"/>
          <w:sz w:val="24"/>
        </w:rPr>
        <w:t>8. 其他</w:t>
      </w:r>
      <w:bookmarkEnd w:id="202"/>
      <w:bookmarkEnd w:id="203"/>
      <w:bookmarkEnd w:id="204"/>
      <w:bookmarkEnd w:id="205"/>
      <w:bookmarkEnd w:id="206"/>
      <w:bookmarkEnd w:id="207"/>
    </w:p>
    <w:p>
      <w:pPr>
        <w:spacing w:line="400" w:lineRule="exact"/>
        <w:ind w:left="210" w:leftChars="100"/>
        <w:rPr>
          <w:rFonts w:ascii="宋体" w:hAnsi="宋体" w:cs="Calibri"/>
          <w:bCs/>
          <w:sz w:val="24"/>
        </w:rPr>
      </w:pPr>
      <w:r>
        <w:rPr>
          <w:rFonts w:ascii="宋体" w:hAnsi="宋体" w:cs="Calibri"/>
          <w:sz w:val="24"/>
        </w:rPr>
        <w:t xml:space="preserve">8.1 </w:t>
      </w:r>
      <w:r>
        <w:rPr>
          <w:rFonts w:ascii="宋体" w:hAnsi="宋体" w:cs="Calibri"/>
          <w:bCs/>
          <w:sz w:val="24"/>
        </w:rPr>
        <w:t>外出考察费用</w:t>
      </w:r>
    </w:p>
    <w:p>
      <w:pPr>
        <w:snapToGrid w:val="0"/>
        <w:spacing w:line="400" w:lineRule="exact"/>
        <w:ind w:firstLine="480" w:firstLineChars="200"/>
        <w:rPr>
          <w:rFonts w:ascii="宋体" w:hAnsi="宋体" w:cs="Calibri"/>
          <w:bCs/>
          <w:sz w:val="24"/>
        </w:rPr>
      </w:pPr>
      <w:r>
        <w:rPr>
          <w:rFonts w:ascii="宋体" w:hAnsi="宋体" w:cs="Calibri"/>
          <w:sz w:val="24"/>
        </w:rPr>
        <w:t>经委托人同意，监理人员外出考察发生的费用由委托人审核后支付。</w:t>
      </w:r>
    </w:p>
    <w:p>
      <w:pPr>
        <w:snapToGrid w:val="0"/>
        <w:spacing w:line="400" w:lineRule="exact"/>
        <w:ind w:left="210" w:leftChars="100"/>
        <w:rPr>
          <w:rFonts w:ascii="宋体" w:hAnsi="宋体" w:cs="Calibri"/>
          <w:bCs/>
          <w:sz w:val="24"/>
        </w:rPr>
      </w:pPr>
      <w:r>
        <w:rPr>
          <w:rFonts w:ascii="宋体" w:hAnsi="宋体" w:cs="Calibri"/>
          <w:sz w:val="24"/>
        </w:rPr>
        <w:t xml:space="preserve">8.2 </w:t>
      </w:r>
      <w:r>
        <w:rPr>
          <w:rFonts w:ascii="宋体" w:hAnsi="宋体" w:cs="Calibri"/>
          <w:bCs/>
          <w:sz w:val="24"/>
        </w:rPr>
        <w:t>检测费用</w:t>
      </w:r>
    </w:p>
    <w:p>
      <w:pPr>
        <w:snapToGrid w:val="0"/>
        <w:spacing w:line="400" w:lineRule="exact"/>
        <w:ind w:firstLine="480" w:firstLineChars="200"/>
        <w:rPr>
          <w:rFonts w:ascii="宋体" w:hAnsi="宋体" w:cs="Calibri"/>
          <w:bCs/>
          <w:sz w:val="24"/>
        </w:rPr>
      </w:pPr>
      <w:r>
        <w:rPr>
          <w:rFonts w:ascii="宋体" w:hAnsi="宋体" w:cs="Calibri"/>
          <w:sz w:val="24"/>
        </w:rPr>
        <w:t>委托人要求监理人进行的材料和设备检测所发生的费用，由委托人支付，支付时间在专用条件中约定。</w:t>
      </w:r>
    </w:p>
    <w:p>
      <w:pPr>
        <w:snapToGrid w:val="0"/>
        <w:spacing w:line="400" w:lineRule="exact"/>
        <w:ind w:left="210" w:leftChars="100"/>
        <w:rPr>
          <w:rFonts w:ascii="宋体" w:hAnsi="宋体" w:cs="Calibri"/>
          <w:bCs/>
          <w:sz w:val="24"/>
        </w:rPr>
      </w:pPr>
      <w:r>
        <w:rPr>
          <w:rFonts w:ascii="宋体" w:hAnsi="宋体" w:cs="Calibri"/>
          <w:sz w:val="24"/>
        </w:rPr>
        <w:t xml:space="preserve">8.3 </w:t>
      </w:r>
      <w:r>
        <w:rPr>
          <w:rFonts w:ascii="宋体" w:hAnsi="宋体" w:cs="Calibri"/>
          <w:bCs/>
          <w:sz w:val="24"/>
        </w:rPr>
        <w:t>咨询费用</w:t>
      </w:r>
    </w:p>
    <w:p>
      <w:pPr>
        <w:snapToGrid w:val="0"/>
        <w:spacing w:line="400" w:lineRule="exact"/>
        <w:ind w:firstLine="480" w:firstLineChars="200"/>
        <w:rPr>
          <w:rFonts w:ascii="宋体" w:hAnsi="宋体" w:cs="Calibri"/>
          <w:sz w:val="24"/>
        </w:rPr>
      </w:pPr>
      <w:r>
        <w:rPr>
          <w:rFonts w:ascii="宋体" w:hAnsi="宋体" w:cs="Calibri"/>
          <w:sz w:val="24"/>
        </w:rPr>
        <w:t>经委托人同意，根据工程需要由监理人组织的相关咨询论证会以及聘请相关专家等发生的费用由委托人支付，支付时间在专用条件中约定。</w:t>
      </w:r>
    </w:p>
    <w:p>
      <w:pPr>
        <w:snapToGrid w:val="0"/>
        <w:spacing w:line="400" w:lineRule="exact"/>
        <w:ind w:left="210" w:leftChars="100"/>
        <w:rPr>
          <w:rFonts w:ascii="宋体" w:hAnsi="宋体" w:cs="Calibri"/>
          <w:bCs/>
          <w:sz w:val="24"/>
        </w:rPr>
      </w:pPr>
      <w:r>
        <w:rPr>
          <w:rFonts w:ascii="宋体" w:hAnsi="宋体" w:cs="Calibri"/>
          <w:sz w:val="24"/>
        </w:rPr>
        <w:t xml:space="preserve">8.4 </w:t>
      </w:r>
      <w:r>
        <w:rPr>
          <w:rFonts w:ascii="宋体" w:hAnsi="宋体" w:cs="Calibri"/>
          <w:bCs/>
          <w:sz w:val="24"/>
        </w:rPr>
        <w:t>守法诚信</w:t>
      </w:r>
    </w:p>
    <w:p>
      <w:pPr>
        <w:snapToGrid w:val="0"/>
        <w:spacing w:line="400" w:lineRule="exact"/>
        <w:ind w:firstLine="480" w:firstLineChars="200"/>
        <w:rPr>
          <w:rFonts w:ascii="宋体" w:hAnsi="宋体" w:cs="Calibri"/>
          <w:bCs/>
          <w:sz w:val="24"/>
        </w:rPr>
      </w:pPr>
      <w:r>
        <w:rPr>
          <w:rFonts w:ascii="宋体" w:hAnsi="宋体" w:cs="Calibri"/>
          <w:sz w:val="24"/>
        </w:rPr>
        <w:t>监理人及其工作人员不得从与实施工程有关的第三方处获得任何经济利益。</w:t>
      </w:r>
    </w:p>
    <w:p>
      <w:pPr>
        <w:snapToGrid w:val="0"/>
        <w:spacing w:line="400" w:lineRule="exact"/>
        <w:ind w:left="210" w:leftChars="100"/>
        <w:rPr>
          <w:rFonts w:ascii="宋体" w:hAnsi="宋体" w:cs="Calibri"/>
          <w:bCs/>
          <w:sz w:val="24"/>
        </w:rPr>
      </w:pPr>
      <w:r>
        <w:rPr>
          <w:rFonts w:ascii="宋体" w:hAnsi="宋体" w:cs="Calibri"/>
          <w:sz w:val="24"/>
        </w:rPr>
        <w:t xml:space="preserve">8.5 </w:t>
      </w:r>
      <w:r>
        <w:rPr>
          <w:rFonts w:ascii="宋体" w:hAnsi="宋体" w:cs="Calibri"/>
          <w:bCs/>
          <w:sz w:val="24"/>
        </w:rPr>
        <w:t>保密</w:t>
      </w:r>
    </w:p>
    <w:p>
      <w:pPr>
        <w:snapToGrid w:val="0"/>
        <w:spacing w:line="400" w:lineRule="exact"/>
        <w:ind w:firstLine="480" w:firstLineChars="200"/>
        <w:rPr>
          <w:rFonts w:ascii="宋体" w:hAnsi="宋体" w:cs="Calibri"/>
          <w:bCs/>
          <w:sz w:val="24"/>
        </w:rPr>
      </w:pPr>
      <w:r>
        <w:rPr>
          <w:rFonts w:ascii="宋体" w:hAnsi="宋体" w:cs="Calibri"/>
          <w:sz w:val="24"/>
        </w:rPr>
        <w:t>双方不得泄露对方申明的保密资料，亦不得泄露与实施工程有关的第三方所提供的保密资料，保密事项在专用条件中约定。</w:t>
      </w:r>
    </w:p>
    <w:p>
      <w:pPr>
        <w:snapToGrid w:val="0"/>
        <w:spacing w:line="400" w:lineRule="exact"/>
        <w:ind w:left="210" w:leftChars="100"/>
        <w:rPr>
          <w:rFonts w:ascii="宋体" w:hAnsi="宋体" w:cs="Calibri"/>
          <w:bCs/>
          <w:sz w:val="24"/>
        </w:rPr>
      </w:pPr>
      <w:r>
        <w:rPr>
          <w:rFonts w:ascii="宋体" w:hAnsi="宋体" w:cs="Calibri"/>
          <w:sz w:val="24"/>
        </w:rPr>
        <w:t>8.6</w:t>
      </w:r>
      <w:r>
        <w:rPr>
          <w:rFonts w:ascii="宋体" w:hAnsi="宋体" w:cs="Calibri"/>
          <w:bCs/>
          <w:sz w:val="24"/>
        </w:rPr>
        <w:t>通知</w:t>
      </w:r>
    </w:p>
    <w:p>
      <w:pPr>
        <w:snapToGrid w:val="0"/>
        <w:spacing w:line="400" w:lineRule="exact"/>
        <w:ind w:firstLine="480" w:firstLineChars="200"/>
        <w:rPr>
          <w:rFonts w:ascii="宋体" w:hAnsi="宋体" w:cs="Calibri"/>
          <w:bCs/>
          <w:sz w:val="24"/>
        </w:rPr>
      </w:pPr>
      <w:r>
        <w:rPr>
          <w:rFonts w:ascii="宋体" w:hAnsi="宋体" w:cs="Calibri"/>
          <w:sz w:val="24"/>
        </w:rPr>
        <w:t>本合同涉及的通知均应当采用书面形式，并在送达对方时生效，收件人应书面签收。</w:t>
      </w:r>
    </w:p>
    <w:p>
      <w:pPr>
        <w:snapToGrid w:val="0"/>
        <w:spacing w:line="400" w:lineRule="exact"/>
        <w:ind w:left="210" w:leftChars="100"/>
        <w:rPr>
          <w:rFonts w:ascii="宋体" w:hAnsi="宋体" w:cs="Calibri"/>
          <w:bCs/>
          <w:sz w:val="24"/>
        </w:rPr>
      </w:pPr>
      <w:r>
        <w:rPr>
          <w:rFonts w:ascii="宋体" w:hAnsi="宋体" w:cs="Calibri"/>
          <w:sz w:val="24"/>
        </w:rPr>
        <w:t>8.7</w:t>
      </w:r>
      <w:r>
        <w:rPr>
          <w:rFonts w:ascii="宋体" w:hAnsi="宋体" w:cs="Calibri"/>
          <w:bCs/>
          <w:sz w:val="24"/>
        </w:rPr>
        <w:t>著作权</w:t>
      </w:r>
    </w:p>
    <w:p>
      <w:pPr>
        <w:adjustRightInd w:val="0"/>
        <w:snapToGrid w:val="0"/>
        <w:spacing w:line="400" w:lineRule="exact"/>
        <w:ind w:firstLine="480" w:firstLineChars="200"/>
        <w:rPr>
          <w:rFonts w:ascii="宋体" w:hAnsi="宋体" w:cs="Calibri"/>
          <w:sz w:val="24"/>
        </w:rPr>
      </w:pPr>
      <w:r>
        <w:rPr>
          <w:rFonts w:ascii="宋体" w:hAnsi="宋体" w:cs="Calibri"/>
          <w:sz w:val="24"/>
        </w:rPr>
        <w:t>监理人对其编制的文件拥有著作权。</w:t>
      </w:r>
    </w:p>
    <w:p>
      <w:pPr>
        <w:snapToGrid w:val="0"/>
        <w:spacing w:line="360" w:lineRule="auto"/>
        <w:ind w:firstLine="480" w:firstLineChars="200"/>
        <w:rPr>
          <w:rFonts w:ascii="宋体" w:hAnsi="宋体" w:cs="宋体"/>
          <w:sz w:val="24"/>
        </w:rPr>
      </w:pPr>
      <w:r>
        <w:rPr>
          <w:rFonts w:ascii="宋体" w:hAnsi="宋体" w:cs="Calibri"/>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snapToGrid w:val="0"/>
        <w:spacing w:line="360" w:lineRule="auto"/>
        <w:ind w:firstLine="480" w:firstLineChars="200"/>
        <w:rPr>
          <w:rFonts w:ascii="宋体" w:hAnsi="宋体" w:cs="宋体"/>
          <w:sz w:val="24"/>
        </w:rPr>
      </w:pPr>
    </w:p>
    <w:p>
      <w:pPr>
        <w:widowControl/>
        <w:jc w:val="left"/>
        <w:rPr>
          <w:rFonts w:ascii="宋体" w:hAnsi="宋体" w:cs="宋体"/>
          <w:bCs/>
          <w:kern w:val="0"/>
          <w:sz w:val="28"/>
          <w:szCs w:val="28"/>
        </w:rPr>
      </w:pPr>
      <w:bookmarkStart w:id="208" w:name="_Toc10723"/>
      <w:bookmarkStart w:id="209" w:name="_Toc9194605"/>
      <w:bookmarkStart w:id="210" w:name="_Toc398111701"/>
      <w:bookmarkStart w:id="211" w:name="_Toc71830939"/>
      <w:r>
        <w:rPr>
          <w:rFonts w:ascii="宋体" w:hAnsi="宋体" w:cs="宋体"/>
          <w:sz w:val="28"/>
          <w:szCs w:val="28"/>
        </w:rPr>
        <w:br w:type="page"/>
      </w:r>
    </w:p>
    <w:p>
      <w:pPr>
        <w:pStyle w:val="4"/>
        <w:spacing w:line="360" w:lineRule="auto"/>
        <w:jc w:val="center"/>
        <w:rPr>
          <w:rFonts w:ascii="宋体" w:hAnsi="宋体" w:eastAsia="宋体" w:cs="宋体"/>
          <w:sz w:val="28"/>
          <w:szCs w:val="28"/>
        </w:rPr>
      </w:pPr>
      <w:r>
        <w:rPr>
          <w:rFonts w:hint="eastAsia" w:ascii="宋体" w:hAnsi="宋体" w:eastAsia="宋体" w:cs="宋体"/>
          <w:sz w:val="28"/>
          <w:szCs w:val="28"/>
        </w:rPr>
        <w:t>第三部分  专用条件</w:t>
      </w:r>
      <w:bookmarkEnd w:id="208"/>
      <w:bookmarkEnd w:id="209"/>
      <w:bookmarkEnd w:id="210"/>
      <w:bookmarkEnd w:id="211"/>
    </w:p>
    <w:p>
      <w:pPr>
        <w:keepNext/>
        <w:keepLines/>
        <w:spacing w:before="20" w:after="20" w:line="400" w:lineRule="exact"/>
        <w:outlineLvl w:val="2"/>
        <w:rPr>
          <w:rFonts w:ascii="宋体" w:hAnsi="宋体" w:cs="宋体"/>
          <w:bCs/>
          <w:kern w:val="0"/>
          <w:sz w:val="24"/>
        </w:rPr>
      </w:pPr>
      <w:bookmarkStart w:id="212" w:name="_Toc66888530"/>
      <w:bookmarkStart w:id="213" w:name="_Toc398111702"/>
      <w:bookmarkStart w:id="214" w:name="_Toc9194606"/>
      <w:bookmarkStart w:id="215" w:name="_Toc704"/>
      <w:bookmarkStart w:id="216" w:name="_Toc71830940"/>
      <w:bookmarkStart w:id="217" w:name="_Toc66888637"/>
      <w:r>
        <w:rPr>
          <w:rFonts w:hint="eastAsia" w:ascii="宋体" w:hAnsi="宋体" w:cs="宋体"/>
          <w:bCs/>
          <w:kern w:val="0"/>
          <w:sz w:val="24"/>
        </w:rPr>
        <w:t>1. 定义与解释</w:t>
      </w:r>
      <w:bookmarkEnd w:id="212"/>
      <w:bookmarkEnd w:id="213"/>
      <w:bookmarkEnd w:id="214"/>
      <w:bookmarkEnd w:id="215"/>
      <w:bookmarkEnd w:id="216"/>
      <w:bookmarkEnd w:id="217"/>
    </w:p>
    <w:p>
      <w:pPr>
        <w:adjustRightInd w:val="0"/>
        <w:snapToGrid w:val="0"/>
        <w:spacing w:line="400" w:lineRule="exact"/>
        <w:rPr>
          <w:rFonts w:ascii="宋体" w:hAnsi="宋体" w:cs="宋体"/>
          <w:sz w:val="24"/>
        </w:rPr>
      </w:pPr>
      <w:r>
        <w:rPr>
          <w:rFonts w:hint="eastAsia" w:ascii="宋体" w:hAnsi="宋体" w:cs="宋体"/>
          <w:sz w:val="24"/>
        </w:rPr>
        <w:t xml:space="preserve">  1.2  解释</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1.2.1 本合同文件除使用中文外，还可用</w:t>
      </w:r>
      <w:r>
        <w:rPr>
          <w:rFonts w:hint="eastAsia" w:ascii="宋体" w:hAnsi="宋体" w:cs="宋体"/>
          <w:sz w:val="24"/>
          <w:u w:val="single"/>
        </w:rPr>
        <w:t xml:space="preserve">        /                 </w:t>
      </w:r>
      <w:r>
        <w:rPr>
          <w:rFonts w:hint="eastAsia" w:ascii="宋体" w:hAnsi="宋体" w:cs="宋体"/>
          <w:sz w:val="24"/>
        </w:rPr>
        <w:t>。</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1.2.2 约定本合同文件的解释顺序为：A、委托人与监理人签订的补充条款、承诺书；B、协议书；C、中标通知书；D、专用条件及附录；E、招投标文件；F、投标文件；G、通用条件 。</w:t>
      </w:r>
    </w:p>
    <w:p>
      <w:pPr>
        <w:keepNext/>
        <w:keepLines/>
        <w:spacing w:before="20" w:after="20" w:line="400" w:lineRule="exact"/>
        <w:outlineLvl w:val="2"/>
        <w:rPr>
          <w:rFonts w:ascii="宋体" w:hAnsi="宋体" w:cs="宋体"/>
          <w:bCs/>
          <w:kern w:val="0"/>
          <w:sz w:val="24"/>
        </w:rPr>
      </w:pPr>
      <w:bookmarkStart w:id="218" w:name="_Toc398111703"/>
      <w:bookmarkStart w:id="219" w:name="_Toc66888531"/>
      <w:bookmarkStart w:id="220" w:name="_Toc9194607"/>
      <w:bookmarkStart w:id="221" w:name="_Toc66888638"/>
      <w:bookmarkStart w:id="222" w:name="_Toc24333"/>
      <w:bookmarkStart w:id="223" w:name="_Toc71830941"/>
      <w:r>
        <w:rPr>
          <w:rFonts w:hint="eastAsia" w:ascii="宋体" w:hAnsi="宋体" w:cs="宋体"/>
          <w:bCs/>
          <w:kern w:val="0"/>
          <w:sz w:val="24"/>
        </w:rPr>
        <w:t>2. 监理人义务</w:t>
      </w:r>
      <w:bookmarkEnd w:id="218"/>
      <w:bookmarkEnd w:id="219"/>
      <w:bookmarkEnd w:id="220"/>
      <w:bookmarkEnd w:id="221"/>
      <w:bookmarkEnd w:id="222"/>
      <w:bookmarkEnd w:id="223"/>
    </w:p>
    <w:p>
      <w:pPr>
        <w:adjustRightInd w:val="0"/>
        <w:snapToGrid w:val="0"/>
        <w:spacing w:line="400" w:lineRule="exact"/>
        <w:ind w:firstLine="235" w:firstLineChars="98"/>
        <w:rPr>
          <w:rFonts w:ascii="宋体" w:hAnsi="宋体" w:cs="宋体"/>
          <w:sz w:val="24"/>
        </w:rPr>
      </w:pPr>
      <w:r>
        <w:rPr>
          <w:rFonts w:hint="eastAsia" w:ascii="宋体" w:hAnsi="宋体" w:cs="宋体"/>
          <w:sz w:val="24"/>
        </w:rPr>
        <w:t>2.1 监理的范围和</w:t>
      </w:r>
      <w:r>
        <w:rPr>
          <w:rFonts w:hint="eastAsia" w:ascii="宋体" w:hAnsi="宋体" w:cs="宋体"/>
          <w:bCs/>
          <w:sz w:val="24"/>
        </w:rPr>
        <w:t>内容</w:t>
      </w:r>
    </w:p>
    <w:p>
      <w:pPr>
        <w:adjustRightInd w:val="0"/>
        <w:snapToGrid w:val="0"/>
        <w:spacing w:line="400" w:lineRule="exact"/>
        <w:rPr>
          <w:rFonts w:ascii="宋体" w:hAnsi="宋体" w:cs="宋体"/>
          <w:sz w:val="24"/>
          <w:u w:val="single"/>
        </w:rPr>
      </w:pPr>
      <w:r>
        <w:rPr>
          <w:rFonts w:hint="eastAsia" w:ascii="宋体" w:hAnsi="宋体" w:cs="宋体"/>
          <w:sz w:val="24"/>
        </w:rPr>
        <w:t>2.1.1 监理范围包括：</w:t>
      </w:r>
      <w:r>
        <w:rPr>
          <w:rFonts w:hint="eastAsia" w:ascii="宋体" w:hAnsi="宋体" w:cs="宋体"/>
          <w:sz w:val="24"/>
          <w:u w:val="single"/>
        </w:rPr>
        <w:t>施工准备阶段、施工阶段、竣工验收和保修阶段全过程监理。协助业主办理图纸审查和各项报批工作，对工程进行质量、进度、投资、安全四大控制和合同管理、信息管理、安全生产管理、文明施工管理、组织协调施工单位以及水电气等配套单位的施工现场各方关系，配合业主单位协调、落实、跟踪、解决居民的合理诉求，工程竣工资料审核、竣工结算初审等。</w:t>
      </w:r>
    </w:p>
    <w:p>
      <w:pPr>
        <w:adjustRightInd w:val="0"/>
        <w:snapToGrid w:val="0"/>
        <w:spacing w:line="400" w:lineRule="exact"/>
        <w:rPr>
          <w:rFonts w:ascii="宋体" w:hAnsi="宋体" w:cs="宋体"/>
          <w:sz w:val="24"/>
          <w:u w:val="single"/>
        </w:rPr>
      </w:pPr>
      <w:r>
        <w:rPr>
          <w:rFonts w:hint="eastAsia" w:ascii="宋体" w:hAnsi="宋体" w:cs="宋体"/>
          <w:sz w:val="24"/>
        </w:rPr>
        <w:t>2.1.2 监理工作内容还包括：</w:t>
      </w:r>
    </w:p>
    <w:p>
      <w:pPr>
        <w:spacing w:line="400" w:lineRule="exact"/>
        <w:rPr>
          <w:rFonts w:ascii="宋体" w:hAnsi="宋体" w:cs="宋体"/>
          <w:sz w:val="24"/>
          <w:u w:val="single"/>
        </w:rPr>
      </w:pPr>
      <w:r>
        <w:rPr>
          <w:rFonts w:hint="eastAsia" w:ascii="宋体" w:hAnsi="宋体" w:cs="宋体"/>
          <w:sz w:val="24"/>
          <w:u w:val="single"/>
        </w:rPr>
        <w:t>（1）协助委托人进行设计图纸审查工作，凭借自身的技能和经验，根据本地的实际情况，为设计院提供建设性改进意见，并协调市有关部门完成各项报批工作；</w:t>
      </w:r>
    </w:p>
    <w:p>
      <w:pPr>
        <w:spacing w:line="400" w:lineRule="exact"/>
        <w:rPr>
          <w:rFonts w:ascii="宋体" w:hAnsi="宋体" w:cs="宋体"/>
          <w:sz w:val="24"/>
          <w:u w:val="single"/>
        </w:rPr>
      </w:pPr>
      <w:r>
        <w:rPr>
          <w:rFonts w:hint="eastAsia" w:ascii="宋体" w:hAnsi="宋体" w:cs="宋体"/>
          <w:sz w:val="24"/>
          <w:u w:val="single"/>
        </w:rPr>
        <w:t>（2）审核施工承包单位施工组织设计和施工方案，并督促检查承包单位按规范、规程、标准及图纸进行施工；</w:t>
      </w:r>
    </w:p>
    <w:p>
      <w:pPr>
        <w:spacing w:line="400" w:lineRule="exact"/>
        <w:rPr>
          <w:rFonts w:ascii="宋体" w:hAnsi="宋体" w:cs="宋体"/>
          <w:sz w:val="24"/>
          <w:u w:val="single"/>
        </w:rPr>
      </w:pPr>
      <w:r>
        <w:rPr>
          <w:rFonts w:hint="eastAsia" w:ascii="宋体" w:hAnsi="宋体" w:cs="宋体"/>
          <w:sz w:val="24"/>
          <w:u w:val="single"/>
        </w:rPr>
        <w:t>（3）审核承包单位的各项施工准备工作；</w:t>
      </w:r>
    </w:p>
    <w:p>
      <w:pPr>
        <w:spacing w:line="400" w:lineRule="exact"/>
        <w:rPr>
          <w:rFonts w:ascii="宋体" w:hAnsi="宋体" w:cs="宋体"/>
          <w:sz w:val="24"/>
          <w:u w:val="single"/>
        </w:rPr>
      </w:pPr>
      <w:r>
        <w:rPr>
          <w:rFonts w:hint="eastAsia" w:ascii="宋体" w:hAnsi="宋体" w:cs="宋体"/>
          <w:sz w:val="24"/>
          <w:u w:val="single"/>
        </w:rPr>
        <w:t>（4）审查督促承包单位施工管理制度、质量管理和质量保证体系，确保质量管理和质量保证体系的建立、健全和实施。按省标化地要求进行管理；</w:t>
      </w:r>
    </w:p>
    <w:p>
      <w:pPr>
        <w:spacing w:line="400" w:lineRule="exact"/>
        <w:rPr>
          <w:rFonts w:ascii="宋体" w:hAnsi="宋体" w:cs="宋体"/>
          <w:sz w:val="24"/>
          <w:u w:val="single"/>
        </w:rPr>
      </w:pPr>
      <w:r>
        <w:rPr>
          <w:rFonts w:hint="eastAsia" w:ascii="宋体" w:hAnsi="宋体" w:cs="宋体"/>
          <w:sz w:val="24"/>
          <w:u w:val="single"/>
        </w:rPr>
        <w:t>（5）监理人员应熟悉及消化各专业图纸，了解设计要求、意图。协助组织设计交底、施工图纸会审及审查设计变更；</w:t>
      </w:r>
    </w:p>
    <w:p>
      <w:pPr>
        <w:spacing w:line="400" w:lineRule="exact"/>
        <w:rPr>
          <w:rFonts w:ascii="宋体" w:hAnsi="宋体" w:cs="宋体"/>
          <w:sz w:val="24"/>
          <w:u w:val="single"/>
        </w:rPr>
      </w:pPr>
      <w:r>
        <w:rPr>
          <w:rFonts w:hint="eastAsia" w:ascii="宋体" w:hAnsi="宋体" w:cs="宋体"/>
          <w:sz w:val="24"/>
          <w:u w:val="single"/>
        </w:rPr>
        <w:t>（6）审核承包单位提出的分包单位的资质；</w:t>
      </w:r>
    </w:p>
    <w:p>
      <w:pPr>
        <w:spacing w:line="400" w:lineRule="exact"/>
        <w:rPr>
          <w:rFonts w:ascii="宋体" w:hAnsi="宋体" w:cs="宋体"/>
          <w:sz w:val="24"/>
          <w:u w:val="single"/>
        </w:rPr>
      </w:pPr>
      <w:r>
        <w:rPr>
          <w:rFonts w:hint="eastAsia" w:ascii="宋体" w:hAnsi="宋体" w:cs="宋体"/>
          <w:sz w:val="24"/>
          <w:u w:val="single"/>
        </w:rPr>
        <w:t>（7）实施施工单位的质量、进度、投资三大控制，工程合同和信息管理及工程中的组织协调工作；</w:t>
      </w:r>
    </w:p>
    <w:p>
      <w:pPr>
        <w:spacing w:line="400" w:lineRule="exact"/>
        <w:rPr>
          <w:rFonts w:ascii="宋体" w:hAnsi="宋体" w:cs="宋体"/>
          <w:sz w:val="24"/>
          <w:u w:val="single"/>
        </w:rPr>
      </w:pPr>
      <w:r>
        <w:rPr>
          <w:rFonts w:hint="eastAsia" w:ascii="宋体" w:hAnsi="宋体" w:cs="宋体"/>
          <w:sz w:val="24"/>
          <w:u w:val="single"/>
        </w:rPr>
        <w:t xml:space="preserve">（8）复核计算已完工程量，对工程变更和技术核定调整的工程进行初步审核，签署工程付款凭证,并对结算进行初审； </w:t>
      </w:r>
    </w:p>
    <w:p>
      <w:pPr>
        <w:spacing w:line="400" w:lineRule="exact"/>
        <w:rPr>
          <w:rFonts w:ascii="宋体" w:hAnsi="宋体" w:cs="宋体"/>
          <w:sz w:val="24"/>
          <w:u w:val="single"/>
        </w:rPr>
      </w:pPr>
      <w:r>
        <w:rPr>
          <w:rFonts w:hint="eastAsia" w:ascii="宋体" w:hAnsi="宋体" w:cs="宋体"/>
          <w:sz w:val="24"/>
          <w:u w:val="single"/>
        </w:rPr>
        <w:t>（9）审查工程使用的原材料、半成品、成品和设备质量，按程序进行见证取样、送样、封样。同时配合委托人考察设备供应，进场设备开箱检验及安装调试确认；</w:t>
      </w:r>
    </w:p>
    <w:p>
      <w:pPr>
        <w:spacing w:line="400" w:lineRule="exact"/>
        <w:rPr>
          <w:rFonts w:ascii="宋体" w:hAnsi="宋体" w:cs="宋体"/>
          <w:sz w:val="24"/>
          <w:u w:val="single"/>
        </w:rPr>
      </w:pPr>
      <w:r>
        <w:rPr>
          <w:rFonts w:hint="eastAsia" w:ascii="宋体" w:hAnsi="宋体" w:cs="宋体"/>
          <w:sz w:val="24"/>
          <w:u w:val="single"/>
        </w:rPr>
        <w:t>（10）按时向委托人提供形象进度报告，每月向委托人提交监理月报；</w:t>
      </w:r>
    </w:p>
    <w:p>
      <w:pPr>
        <w:spacing w:line="400" w:lineRule="exact"/>
        <w:rPr>
          <w:rFonts w:ascii="宋体" w:hAnsi="宋体" w:cs="宋体"/>
          <w:sz w:val="24"/>
          <w:u w:val="single"/>
        </w:rPr>
      </w:pPr>
      <w:r>
        <w:rPr>
          <w:rFonts w:hint="eastAsia" w:ascii="宋体" w:hAnsi="宋体" w:cs="宋体"/>
          <w:sz w:val="24"/>
          <w:u w:val="single"/>
        </w:rPr>
        <w:t>（11）分部、分项工程质量签证，组织基础、结构中验和竣工预验收，并提出工程质量评估报告，协助委托人组织竣工验收，办理竣工资料备案手续；</w:t>
      </w:r>
    </w:p>
    <w:p>
      <w:pPr>
        <w:spacing w:line="400" w:lineRule="exact"/>
        <w:rPr>
          <w:rFonts w:ascii="宋体" w:hAnsi="宋体" w:cs="宋体"/>
          <w:sz w:val="24"/>
          <w:u w:val="single"/>
        </w:rPr>
      </w:pPr>
      <w:r>
        <w:rPr>
          <w:rFonts w:hint="eastAsia" w:ascii="宋体" w:hAnsi="宋体" w:cs="宋体"/>
          <w:sz w:val="24"/>
          <w:u w:val="single"/>
        </w:rPr>
        <w:t>（12）按照工程监理规划的要求，采用旁站、巡视和平行检查等形式监理工程质量。负责施工工序过程中的质量控制，对重要工序和关键部位实行旁站监理，对隐蔽工程进行复验签证及时检查质量保证资料记录。若发生工程质量事故，参与分析及处理工程质量事故的全过程；</w:t>
      </w:r>
    </w:p>
    <w:p>
      <w:pPr>
        <w:spacing w:line="400" w:lineRule="exact"/>
        <w:rPr>
          <w:rFonts w:ascii="宋体" w:hAnsi="宋体" w:cs="宋体"/>
          <w:sz w:val="24"/>
          <w:u w:val="single"/>
        </w:rPr>
      </w:pPr>
      <w:r>
        <w:rPr>
          <w:rFonts w:hint="eastAsia" w:ascii="宋体" w:hAnsi="宋体" w:cs="宋体"/>
          <w:sz w:val="24"/>
          <w:u w:val="single"/>
        </w:rPr>
        <w:t>（13）负责竣工图和各项工程质量资料的审查，督促施工单位完成资料的归档工作；</w:t>
      </w:r>
    </w:p>
    <w:p>
      <w:pPr>
        <w:spacing w:line="400" w:lineRule="exact"/>
        <w:rPr>
          <w:rFonts w:ascii="宋体" w:hAnsi="宋体" w:cs="宋体"/>
          <w:sz w:val="24"/>
          <w:u w:val="single"/>
        </w:rPr>
      </w:pPr>
      <w:r>
        <w:rPr>
          <w:rFonts w:hint="eastAsia" w:ascii="宋体" w:hAnsi="宋体" w:cs="宋体"/>
          <w:sz w:val="24"/>
          <w:u w:val="single"/>
        </w:rPr>
        <w:t>（14）应对承包单位在施工场地的工作人员进行安全教育，督促施工单位完成资料的归档工作；并做好巡查记录，监督承包单位不得违反安全管理的规定进行施工。安全监理工程师每天负责对现场安全进行督查，对安全隐患进行排查，要求施工单位整改并跟踪落实整改情况。如发生安全事故，承担法律范围内的相应责任。</w:t>
      </w:r>
    </w:p>
    <w:p>
      <w:pPr>
        <w:spacing w:line="400" w:lineRule="exact"/>
        <w:rPr>
          <w:rFonts w:ascii="宋体" w:hAnsi="宋体" w:cs="宋体"/>
          <w:sz w:val="24"/>
          <w:u w:val="single"/>
        </w:rPr>
      </w:pPr>
      <w:r>
        <w:rPr>
          <w:rFonts w:hint="eastAsia" w:ascii="宋体" w:hAnsi="宋体" w:cs="宋体"/>
          <w:sz w:val="24"/>
          <w:u w:val="single"/>
        </w:rPr>
        <w:t>（15）牵头各参建单位整理相关工程的竣工验收资料（含备案资料），并对工程施工资料审核；</w:t>
      </w:r>
    </w:p>
    <w:p>
      <w:pPr>
        <w:spacing w:line="400" w:lineRule="exact"/>
        <w:rPr>
          <w:rFonts w:ascii="宋体" w:hAnsi="宋体" w:cs="宋体"/>
          <w:sz w:val="24"/>
          <w:u w:val="single"/>
        </w:rPr>
      </w:pPr>
      <w:r>
        <w:rPr>
          <w:rFonts w:hint="eastAsia" w:ascii="宋体" w:hAnsi="宋体" w:cs="宋体"/>
          <w:sz w:val="24"/>
          <w:u w:val="single"/>
        </w:rPr>
        <w:t>（16）提供现场施工应有的检测设备及相关的技术规范，供委托人等相关单位使用及查阅。</w:t>
      </w:r>
    </w:p>
    <w:p>
      <w:pPr>
        <w:spacing w:line="400" w:lineRule="exact"/>
        <w:ind w:firstLine="120" w:firstLineChars="50"/>
        <w:rPr>
          <w:rFonts w:ascii="宋体" w:hAnsi="宋体" w:cs="宋体"/>
          <w:sz w:val="24"/>
          <w:u w:val="single"/>
        </w:rPr>
      </w:pPr>
      <w:r>
        <w:rPr>
          <w:rFonts w:hint="eastAsia" w:ascii="宋体" w:hAnsi="宋体" w:cs="宋体"/>
          <w:sz w:val="24"/>
          <w:u w:val="single"/>
        </w:rPr>
        <w:t>(17)协助委托人做好施工招标及材料设备采购、材料的认质认价等工作。</w:t>
      </w:r>
    </w:p>
    <w:p>
      <w:pPr>
        <w:spacing w:line="400" w:lineRule="exact"/>
        <w:rPr>
          <w:rFonts w:ascii="宋体" w:hAnsi="宋体" w:cs="宋体"/>
          <w:sz w:val="24"/>
          <w:u w:val="single"/>
        </w:rPr>
      </w:pPr>
      <w:r>
        <w:rPr>
          <w:rFonts w:hint="eastAsia" w:ascii="宋体" w:hAnsi="宋体" w:cs="宋体"/>
          <w:sz w:val="24"/>
          <w:u w:val="single"/>
        </w:rPr>
        <w:t>（18）如有甲供材料时，应及时做好施工单位提交的材料计划的审核工作，协助委托人做好各类甲供材料台帐登记及一切相关工作。</w:t>
      </w:r>
    </w:p>
    <w:p>
      <w:pPr>
        <w:spacing w:after="120" w:line="400" w:lineRule="exact"/>
        <w:rPr>
          <w:rFonts w:ascii="宋体" w:hAnsi="宋体" w:cs="宋体"/>
          <w:sz w:val="24"/>
          <w:u w:val="single"/>
        </w:rPr>
      </w:pPr>
      <w:r>
        <w:rPr>
          <w:rFonts w:hint="eastAsia" w:ascii="宋体" w:hAnsi="宋体" w:cs="宋体"/>
          <w:sz w:val="24"/>
          <w:u w:val="single"/>
        </w:rPr>
        <w:t>（19）组织协调施工单位以及水电气等配套单位的施工现场各方关系，配合业主单位协调、落实、跟踪、解决居民的合理诉求。</w:t>
      </w:r>
    </w:p>
    <w:p>
      <w:pPr>
        <w:spacing w:line="400" w:lineRule="exact"/>
        <w:ind w:firstLine="235" w:firstLineChars="98"/>
        <w:rPr>
          <w:rFonts w:ascii="宋体" w:hAnsi="宋体" w:cs="宋体"/>
          <w:sz w:val="24"/>
        </w:rPr>
      </w:pPr>
      <w:r>
        <w:rPr>
          <w:rFonts w:hint="eastAsia" w:ascii="宋体" w:hAnsi="宋体" w:cs="宋体"/>
          <w:sz w:val="24"/>
        </w:rPr>
        <w:t>2.2 监理与相关服务依据</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2.2.1 监理依据包括：</w:t>
      </w:r>
      <w:r>
        <w:rPr>
          <w:rFonts w:hint="eastAsia" w:ascii="宋体" w:hAnsi="宋体" w:cs="宋体"/>
          <w:sz w:val="24"/>
          <w:u w:val="single"/>
        </w:rPr>
        <w:t>《中华人民共和国</w:t>
      </w:r>
      <w:r>
        <w:rPr>
          <w:rFonts w:hint="eastAsia" w:ascii="宋体" w:hAnsi="宋体" w:cs="宋体"/>
          <w:sz w:val="24"/>
          <w:u w:val="single"/>
          <w:lang w:eastAsia="zh-CN"/>
        </w:rPr>
        <w:t>民法典</w:t>
      </w:r>
      <w:r>
        <w:rPr>
          <w:rFonts w:hint="eastAsia" w:ascii="宋体" w:hAnsi="宋体" w:cs="宋体"/>
          <w:sz w:val="24"/>
          <w:u w:val="single"/>
        </w:rPr>
        <w:t>》、《中华人民共和国建筑法》、《</w:t>
      </w:r>
      <w:r>
        <w:rPr>
          <w:rFonts w:hint="eastAsia" w:ascii="宋体" w:hAnsi="宋体" w:cs="宋体"/>
          <w:sz w:val="24"/>
          <w:u w:val="single"/>
          <w:lang w:eastAsia="zh-CN"/>
        </w:rPr>
        <w:t>中华人民共和国招标投标法</w:t>
      </w:r>
      <w:r>
        <w:rPr>
          <w:rFonts w:hint="eastAsia" w:ascii="宋体" w:hAnsi="宋体" w:cs="宋体"/>
          <w:sz w:val="24"/>
          <w:u w:val="single"/>
        </w:rPr>
        <w:t>》、《建筑工程质量管理条例》等现行国家法律</w:t>
      </w:r>
      <w:r>
        <w:rPr>
          <w:rFonts w:hint="eastAsia" w:ascii="宋体" w:hAnsi="宋体" w:cs="宋体"/>
          <w:sz w:val="24"/>
        </w:rPr>
        <w:t>。</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rPr>
        <w:t>2.2.2 相关服务依据包括：</w:t>
      </w:r>
    </w:p>
    <w:p>
      <w:pPr>
        <w:spacing w:line="400" w:lineRule="exact"/>
        <w:ind w:firstLine="480"/>
        <w:rPr>
          <w:rFonts w:ascii="宋体" w:hAnsi="宋体" w:cs="宋体"/>
          <w:sz w:val="24"/>
          <w:u w:val="single"/>
        </w:rPr>
      </w:pPr>
      <w:r>
        <w:rPr>
          <w:rFonts w:hint="eastAsia" w:ascii="宋体" w:hAnsi="宋体" w:cs="宋体"/>
          <w:sz w:val="24"/>
          <w:u w:val="single"/>
        </w:rPr>
        <w:t>（1）本工程的监理合同、工程施工合同及与工程相关的其他合同；</w:t>
      </w:r>
    </w:p>
    <w:p>
      <w:pPr>
        <w:spacing w:line="360" w:lineRule="auto"/>
        <w:ind w:firstLine="480" w:firstLineChars="200"/>
        <w:rPr>
          <w:rFonts w:ascii="宋体" w:hAnsi="宋体" w:cs="宋体"/>
          <w:sz w:val="24"/>
          <w:u w:val="single"/>
        </w:rPr>
      </w:pPr>
      <w:r>
        <w:rPr>
          <w:rFonts w:hint="eastAsia" w:ascii="宋体" w:hAnsi="宋体" w:cs="宋体"/>
          <w:sz w:val="24"/>
          <w:u w:val="single"/>
        </w:rPr>
        <w:t>（2）《建设工程监理规范》（GB50319-2000）；（3）国家和工程所在地现行有关工程建设的法律、法规、政策和规定；（4）本工程的设计文件施工图纸、工程地质勘探报告、设计变更通知单、图纸会审纪要等其他有关技术文件；（5）经委托人认可的监理大纲、监理规划和监理实施细则及施工组织设计、施工方案等；（6）委托人签发的工程监理委托书；（7）现行的工程建设规范和质量验收规范及检验评定标准等，监理人必须提供本工程相关的建设规范至施工现场，便于委托人随时查阅并使用。</w:t>
      </w:r>
    </w:p>
    <w:p>
      <w:pPr>
        <w:spacing w:line="360" w:lineRule="auto"/>
        <w:rPr>
          <w:rFonts w:ascii="宋体" w:hAnsi="宋体" w:cs="宋体"/>
          <w:color w:val="000000"/>
          <w:kern w:val="0"/>
          <w:sz w:val="24"/>
        </w:rPr>
      </w:pPr>
      <w:r>
        <w:rPr>
          <w:rFonts w:hint="eastAsia" w:ascii="宋体" w:hAnsi="宋体" w:cs="宋体"/>
          <w:sz w:val="24"/>
        </w:rPr>
        <w:t xml:space="preserve"> </w:t>
      </w:r>
      <w:r>
        <w:rPr>
          <w:rFonts w:hint="eastAsia" w:ascii="宋体" w:hAnsi="宋体" w:cs="宋体"/>
          <w:color w:val="000000"/>
          <w:sz w:val="24"/>
        </w:rPr>
        <w:t xml:space="preserve"> 2.3</w:t>
      </w:r>
      <w:r>
        <w:rPr>
          <w:rFonts w:hint="eastAsia" w:ascii="宋体" w:hAnsi="宋体" w:cs="宋体"/>
          <w:color w:val="000000"/>
          <w:kern w:val="0"/>
          <w:sz w:val="24"/>
        </w:rPr>
        <w:t>项目监理机构和人员</w:t>
      </w:r>
    </w:p>
    <w:p>
      <w:pPr>
        <w:spacing w:line="360" w:lineRule="auto"/>
        <w:ind w:firstLine="360" w:firstLineChars="150"/>
        <w:rPr>
          <w:rFonts w:hint="eastAsia" w:ascii="宋体" w:hAnsi="宋体" w:cs="宋体"/>
          <w:color w:val="000000"/>
          <w:sz w:val="24"/>
        </w:rPr>
      </w:pPr>
      <w:r>
        <w:rPr>
          <w:rFonts w:hint="eastAsia" w:ascii="宋体" w:hAnsi="宋体" w:cs="宋体"/>
          <w:color w:val="000000"/>
          <w:sz w:val="24"/>
        </w:rPr>
        <w:t>2.3.1本项目设总监1名、专监</w:t>
      </w:r>
      <w:r>
        <w:rPr>
          <w:rFonts w:hint="eastAsia" w:ascii="宋体" w:hAnsi="宋体" w:cs="宋体"/>
          <w:color w:val="000000"/>
          <w:sz w:val="24"/>
          <w:u w:val="single"/>
        </w:rPr>
        <w:t xml:space="preserve">   </w:t>
      </w:r>
      <w:r>
        <w:rPr>
          <w:rFonts w:hint="eastAsia" w:ascii="宋体" w:hAnsi="宋体" w:cs="宋体"/>
          <w:color w:val="000000"/>
          <w:sz w:val="24"/>
        </w:rPr>
        <w:t>名（含安全监理</w:t>
      </w:r>
      <w:r>
        <w:rPr>
          <w:rFonts w:hint="eastAsia" w:ascii="宋体" w:hAnsi="宋体" w:cs="宋体"/>
          <w:color w:val="000000"/>
          <w:sz w:val="24"/>
          <w:u w:val="single"/>
        </w:rPr>
        <w:t xml:space="preserve"> </w:t>
      </w:r>
      <w:r>
        <w:rPr>
          <w:rFonts w:hint="eastAsia" w:ascii="宋体" w:hAnsi="宋体" w:cs="宋体"/>
          <w:color w:val="000000"/>
          <w:sz w:val="24"/>
        </w:rPr>
        <w:t>名）、监理员</w:t>
      </w:r>
      <w:r>
        <w:rPr>
          <w:rFonts w:hint="eastAsia" w:ascii="宋体" w:hAnsi="宋体" w:cs="宋体"/>
          <w:color w:val="000000"/>
          <w:sz w:val="24"/>
          <w:u w:val="single"/>
        </w:rPr>
        <w:t xml:space="preserve">   </w:t>
      </w:r>
      <w:r>
        <w:rPr>
          <w:rFonts w:hint="eastAsia" w:ascii="宋体" w:hAnsi="宋体" w:cs="宋体"/>
          <w:color w:val="000000"/>
          <w:sz w:val="24"/>
        </w:rPr>
        <w:t>名、造价工程师（可兼职）</w:t>
      </w:r>
      <w:r>
        <w:rPr>
          <w:rFonts w:hint="eastAsia" w:ascii="宋体" w:hAnsi="宋体" w:cs="宋体"/>
          <w:color w:val="000000"/>
          <w:sz w:val="24"/>
          <w:u w:val="single"/>
        </w:rPr>
        <w:t xml:space="preserve">  </w:t>
      </w:r>
      <w:r>
        <w:rPr>
          <w:rFonts w:hint="eastAsia" w:ascii="宋体" w:hAnsi="宋体" w:cs="宋体"/>
          <w:color w:val="000000"/>
          <w:sz w:val="24"/>
        </w:rPr>
        <w:t>名 (具体要求详见拟派监理机构人员配备要求)。</w:t>
      </w:r>
    </w:p>
    <w:p>
      <w:pPr>
        <w:pStyle w:val="16"/>
      </w:pPr>
    </w:p>
    <w:p>
      <w:pPr>
        <w:spacing w:line="360" w:lineRule="auto"/>
        <w:ind w:firstLine="3120" w:firstLineChars="1300"/>
        <w:rPr>
          <w:rFonts w:ascii="宋体" w:hAnsi="宋体" w:cs="宋体"/>
          <w:color w:val="000000"/>
          <w:sz w:val="24"/>
        </w:rPr>
      </w:pPr>
      <w:r>
        <w:rPr>
          <w:rFonts w:hint="eastAsia" w:ascii="宋体" w:hAnsi="宋体" w:cs="宋体"/>
          <w:color w:val="000000"/>
          <w:sz w:val="24"/>
        </w:rPr>
        <w:t>项目监理人员一览表</w:t>
      </w:r>
    </w:p>
    <w:tbl>
      <w:tblPr>
        <w:tblStyle w:val="17"/>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9"/>
        <w:gridCol w:w="2190"/>
        <w:gridCol w:w="2970"/>
        <w:gridCol w:w="2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38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岗位</w:t>
            </w:r>
          </w:p>
        </w:tc>
        <w:tc>
          <w:tcPr>
            <w:tcW w:w="2190"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人员数量  要求</w:t>
            </w:r>
          </w:p>
        </w:tc>
        <w:tc>
          <w:tcPr>
            <w:tcW w:w="2970" w:type="dxa"/>
            <w:tcBorders>
              <w:right w:val="single" w:color="auto" w:sz="4" w:space="0"/>
            </w:tcBorders>
            <w:vAlign w:val="center"/>
          </w:tcPr>
          <w:p>
            <w:pPr>
              <w:spacing w:line="400" w:lineRule="exact"/>
              <w:jc w:val="center"/>
              <w:rPr>
                <w:rFonts w:ascii="宋体" w:hAnsi="宋体" w:cs="宋体"/>
                <w:color w:val="000000"/>
                <w:sz w:val="24"/>
              </w:rPr>
            </w:pPr>
            <w:r>
              <w:rPr>
                <w:rFonts w:hint="eastAsia" w:ascii="宋体" w:hAnsi="宋体" w:cs="宋体"/>
                <w:color w:val="000000"/>
                <w:sz w:val="24"/>
              </w:rPr>
              <w:t>持证上岗要求</w:t>
            </w:r>
          </w:p>
        </w:tc>
        <w:tc>
          <w:tcPr>
            <w:tcW w:w="2610" w:type="dxa"/>
            <w:tcBorders>
              <w:left w:val="single" w:color="auto" w:sz="4" w:space="0"/>
            </w:tcBorders>
            <w:vAlign w:val="center"/>
          </w:tcPr>
          <w:p>
            <w:pPr>
              <w:spacing w:line="400" w:lineRule="exact"/>
              <w:jc w:val="center"/>
              <w:rPr>
                <w:rFonts w:ascii="宋体" w:hAnsi="宋体" w:cs="宋体"/>
                <w:color w:val="000000"/>
                <w:sz w:val="24"/>
              </w:rPr>
            </w:pPr>
            <w:r>
              <w:rPr>
                <w:rFonts w:hint="eastAsia" w:ascii="宋体" w:hAnsi="宋体" w:cs="宋体"/>
                <w:color w:val="000000"/>
                <w:sz w:val="24"/>
              </w:rPr>
              <w:t>注册专业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3" w:hRule="atLeast"/>
        </w:trPr>
        <w:tc>
          <w:tcPr>
            <w:tcW w:w="138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总监理工程师</w:t>
            </w:r>
          </w:p>
        </w:tc>
        <w:tc>
          <w:tcPr>
            <w:tcW w:w="2190" w:type="dxa"/>
            <w:vAlign w:val="center"/>
          </w:tcPr>
          <w:p>
            <w:pPr>
              <w:spacing w:line="400" w:lineRule="exact"/>
              <w:jc w:val="center"/>
              <w:rPr>
                <w:rFonts w:ascii="宋体" w:hAnsi="宋体" w:cs="宋体"/>
                <w:color w:val="000000"/>
                <w:sz w:val="24"/>
              </w:rPr>
            </w:pPr>
          </w:p>
        </w:tc>
        <w:tc>
          <w:tcPr>
            <w:tcW w:w="2970" w:type="dxa"/>
            <w:tcBorders>
              <w:right w:val="single" w:color="auto" w:sz="4" w:space="0"/>
            </w:tcBorders>
            <w:vAlign w:val="center"/>
          </w:tcPr>
          <w:p>
            <w:pPr>
              <w:spacing w:line="400" w:lineRule="exact"/>
              <w:jc w:val="center"/>
              <w:rPr>
                <w:rFonts w:ascii="宋体" w:hAnsi="宋体" w:cs="宋体"/>
                <w:color w:val="000000"/>
                <w:sz w:val="24"/>
              </w:rPr>
            </w:pPr>
          </w:p>
        </w:tc>
        <w:tc>
          <w:tcPr>
            <w:tcW w:w="2610" w:type="dxa"/>
            <w:tcBorders>
              <w:left w:val="single" w:color="auto" w:sz="4" w:space="0"/>
            </w:tcBorders>
            <w:vAlign w:val="center"/>
          </w:tcPr>
          <w:p>
            <w:pPr>
              <w:spacing w:line="400" w:lineRule="exact"/>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38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专业监理工程师</w:t>
            </w:r>
          </w:p>
        </w:tc>
        <w:tc>
          <w:tcPr>
            <w:tcW w:w="2190" w:type="dxa"/>
            <w:vAlign w:val="center"/>
          </w:tcPr>
          <w:p>
            <w:pPr>
              <w:spacing w:line="400" w:lineRule="exact"/>
              <w:jc w:val="center"/>
              <w:rPr>
                <w:rFonts w:ascii="宋体" w:hAnsi="宋体" w:cs="宋体"/>
                <w:color w:val="000000"/>
                <w:sz w:val="24"/>
              </w:rPr>
            </w:pPr>
          </w:p>
        </w:tc>
        <w:tc>
          <w:tcPr>
            <w:tcW w:w="2970" w:type="dxa"/>
            <w:tcBorders>
              <w:right w:val="single" w:color="auto" w:sz="4" w:space="0"/>
            </w:tcBorders>
            <w:vAlign w:val="center"/>
          </w:tcPr>
          <w:p>
            <w:pPr>
              <w:spacing w:line="400" w:lineRule="exact"/>
              <w:jc w:val="center"/>
              <w:rPr>
                <w:rFonts w:ascii="宋体" w:hAnsi="宋体" w:cs="宋体"/>
                <w:color w:val="000000"/>
                <w:sz w:val="24"/>
              </w:rPr>
            </w:pPr>
          </w:p>
        </w:tc>
        <w:tc>
          <w:tcPr>
            <w:tcW w:w="2610" w:type="dxa"/>
            <w:tcBorders>
              <w:left w:val="single" w:color="auto" w:sz="4" w:space="0"/>
            </w:tcBorders>
            <w:vAlign w:val="center"/>
          </w:tcPr>
          <w:p>
            <w:pPr>
              <w:spacing w:line="400" w:lineRule="exact"/>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138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监理员</w:t>
            </w:r>
          </w:p>
        </w:tc>
        <w:tc>
          <w:tcPr>
            <w:tcW w:w="2190" w:type="dxa"/>
            <w:vAlign w:val="center"/>
          </w:tcPr>
          <w:p>
            <w:pPr>
              <w:spacing w:line="400" w:lineRule="exact"/>
              <w:jc w:val="center"/>
              <w:rPr>
                <w:rFonts w:ascii="宋体" w:hAnsi="宋体" w:cs="宋体"/>
                <w:color w:val="000000"/>
                <w:sz w:val="24"/>
              </w:rPr>
            </w:pPr>
          </w:p>
        </w:tc>
        <w:tc>
          <w:tcPr>
            <w:tcW w:w="2970" w:type="dxa"/>
            <w:tcBorders>
              <w:right w:val="single" w:color="auto" w:sz="4" w:space="0"/>
            </w:tcBorders>
            <w:vAlign w:val="center"/>
          </w:tcPr>
          <w:p>
            <w:pPr>
              <w:spacing w:line="400" w:lineRule="exact"/>
              <w:jc w:val="center"/>
              <w:rPr>
                <w:rFonts w:ascii="宋体" w:hAnsi="宋体" w:cs="宋体"/>
                <w:color w:val="000000"/>
                <w:sz w:val="24"/>
              </w:rPr>
            </w:pPr>
          </w:p>
        </w:tc>
        <w:tc>
          <w:tcPr>
            <w:tcW w:w="2610" w:type="dxa"/>
            <w:tcBorders>
              <w:left w:val="single" w:color="auto" w:sz="4" w:space="0"/>
            </w:tcBorders>
            <w:vAlign w:val="center"/>
          </w:tcPr>
          <w:p>
            <w:pPr>
              <w:autoSpaceDN w:val="0"/>
              <w:spacing w:line="400" w:lineRule="exact"/>
              <w:textAlignment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 w:hRule="atLeast"/>
        </w:trPr>
        <w:tc>
          <w:tcPr>
            <w:tcW w:w="138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拟派造价工程师（可兼职）</w:t>
            </w:r>
          </w:p>
        </w:tc>
        <w:tc>
          <w:tcPr>
            <w:tcW w:w="2190" w:type="dxa"/>
            <w:vAlign w:val="center"/>
          </w:tcPr>
          <w:p>
            <w:pPr>
              <w:spacing w:line="400" w:lineRule="exact"/>
              <w:jc w:val="center"/>
              <w:rPr>
                <w:rFonts w:ascii="宋体" w:hAnsi="宋体" w:cs="宋体"/>
                <w:color w:val="000000"/>
                <w:sz w:val="24"/>
              </w:rPr>
            </w:pPr>
          </w:p>
        </w:tc>
        <w:tc>
          <w:tcPr>
            <w:tcW w:w="2970" w:type="dxa"/>
            <w:tcBorders>
              <w:right w:val="single" w:color="auto" w:sz="4" w:space="0"/>
            </w:tcBorders>
            <w:vAlign w:val="center"/>
          </w:tcPr>
          <w:p>
            <w:pPr>
              <w:spacing w:line="400" w:lineRule="exact"/>
              <w:jc w:val="center"/>
              <w:rPr>
                <w:rFonts w:ascii="宋体" w:hAnsi="宋体" w:cs="宋体"/>
                <w:color w:val="000000"/>
                <w:sz w:val="24"/>
              </w:rPr>
            </w:pPr>
          </w:p>
        </w:tc>
        <w:tc>
          <w:tcPr>
            <w:tcW w:w="2610" w:type="dxa"/>
            <w:tcBorders>
              <w:left w:val="single" w:color="auto" w:sz="4" w:space="0"/>
            </w:tcBorders>
            <w:vAlign w:val="center"/>
          </w:tcPr>
          <w:p>
            <w:pPr>
              <w:spacing w:line="400" w:lineRule="exact"/>
              <w:jc w:val="center"/>
              <w:rPr>
                <w:rFonts w:ascii="宋体" w:hAnsi="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4" w:hRule="atLeast"/>
        </w:trPr>
        <w:tc>
          <w:tcPr>
            <w:tcW w:w="138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合计</w:t>
            </w:r>
          </w:p>
        </w:tc>
        <w:tc>
          <w:tcPr>
            <w:tcW w:w="2190" w:type="dxa"/>
            <w:vAlign w:val="center"/>
          </w:tcPr>
          <w:p>
            <w:pPr>
              <w:spacing w:line="400" w:lineRule="exact"/>
              <w:jc w:val="center"/>
              <w:rPr>
                <w:rFonts w:ascii="宋体" w:hAnsi="宋体" w:cs="宋体"/>
                <w:color w:val="000000"/>
                <w:sz w:val="24"/>
              </w:rPr>
            </w:pPr>
          </w:p>
        </w:tc>
        <w:tc>
          <w:tcPr>
            <w:tcW w:w="2970" w:type="dxa"/>
            <w:tcBorders>
              <w:right w:val="single" w:color="auto" w:sz="4" w:space="0"/>
            </w:tcBorders>
            <w:vAlign w:val="center"/>
          </w:tcPr>
          <w:p>
            <w:pPr>
              <w:spacing w:line="400" w:lineRule="exact"/>
              <w:jc w:val="center"/>
              <w:rPr>
                <w:rFonts w:ascii="宋体" w:hAnsi="宋体" w:cs="宋体"/>
                <w:color w:val="000000"/>
                <w:sz w:val="24"/>
              </w:rPr>
            </w:pPr>
          </w:p>
        </w:tc>
        <w:tc>
          <w:tcPr>
            <w:tcW w:w="2610" w:type="dxa"/>
            <w:tcBorders>
              <w:left w:val="single" w:color="auto" w:sz="4" w:space="0"/>
            </w:tcBorders>
            <w:vAlign w:val="center"/>
          </w:tcPr>
          <w:p>
            <w:pPr>
              <w:spacing w:line="400" w:lineRule="exact"/>
              <w:jc w:val="center"/>
              <w:rPr>
                <w:rFonts w:ascii="宋体" w:hAnsi="宋体" w:cs="宋体"/>
                <w:color w:val="000000"/>
                <w:sz w:val="24"/>
              </w:rPr>
            </w:pPr>
          </w:p>
        </w:tc>
      </w:tr>
    </w:tbl>
    <w:p>
      <w:pPr>
        <w:widowControl/>
        <w:spacing w:line="400" w:lineRule="exact"/>
        <w:ind w:firstLine="480" w:firstLineChars="200"/>
        <w:jc w:val="left"/>
        <w:outlineLvl w:val="1"/>
        <w:rPr>
          <w:rFonts w:ascii="宋体" w:hAnsi="宋体" w:cs="宋体"/>
          <w:sz w:val="24"/>
        </w:rPr>
      </w:pPr>
      <w:bookmarkStart w:id="224" w:name="_Toc71830942"/>
      <w:r>
        <w:rPr>
          <w:rFonts w:hint="eastAsia" w:ascii="宋体" w:hAnsi="宋体" w:cs="宋体"/>
          <w:sz w:val="24"/>
        </w:rPr>
        <w:t>注：以上人员配备为最低限度要求（拟派所有监理人员必须身体健康，年龄均须男性年龄不得超过55周岁，女性年龄不得超过50周岁，且未退休），监理单位必须按招标人要求适时配备相应监理人员，并确保人员到位，否则将按照合同相关处罚条款予以处罚。至少1名须具有《工程质量检测见证取样人员岗位证书》，否则另需增加一名见证取样人员。</w:t>
      </w:r>
      <w:bookmarkEnd w:id="224"/>
    </w:p>
    <w:p>
      <w:pPr>
        <w:autoSpaceDE w:val="0"/>
        <w:autoSpaceDN w:val="0"/>
        <w:adjustRightInd w:val="0"/>
        <w:spacing w:line="400" w:lineRule="exact"/>
        <w:ind w:firstLine="465"/>
        <w:jc w:val="left"/>
        <w:rPr>
          <w:rFonts w:ascii="宋体" w:hAnsi="宋体" w:cs="宋体"/>
          <w:b/>
          <w:sz w:val="24"/>
        </w:rPr>
      </w:pPr>
      <w:r>
        <w:rPr>
          <w:rFonts w:hint="eastAsia" w:ascii="宋体" w:hAnsi="宋体" w:cs="宋体"/>
          <w:b/>
          <w:sz w:val="24"/>
        </w:rPr>
        <w:t>中标后，上述所有人员配置不得随意更换。确需更换，须经建设单位或相关主管部门认可后方可变更，且须支付违约金（总监更换</w:t>
      </w:r>
      <w:r>
        <w:rPr>
          <w:rFonts w:hint="eastAsia" w:ascii="宋体" w:hAnsi="宋体" w:cs="宋体"/>
          <w:b/>
          <w:sz w:val="24"/>
          <w:lang w:val="en-US" w:eastAsia="zh-CN"/>
        </w:rPr>
        <w:t>2</w:t>
      </w:r>
      <w:r>
        <w:rPr>
          <w:rFonts w:hint="eastAsia" w:ascii="宋体" w:hAnsi="宋体" w:cs="宋体"/>
          <w:b/>
          <w:sz w:val="24"/>
        </w:rPr>
        <w:t>万元/人次，其它人员更换1万元/人次）。</w:t>
      </w:r>
    </w:p>
    <w:p>
      <w:pPr>
        <w:spacing w:line="400" w:lineRule="exact"/>
        <w:ind w:firstLine="480" w:firstLineChars="200"/>
        <w:rPr>
          <w:rFonts w:ascii="宋体" w:hAnsi="宋体" w:cs="宋体"/>
          <w:sz w:val="24"/>
        </w:rPr>
      </w:pPr>
      <w:r>
        <w:rPr>
          <w:rFonts w:hint="eastAsia" w:ascii="宋体" w:hAnsi="宋体" w:cs="宋体"/>
          <w:sz w:val="24"/>
        </w:rPr>
        <w:t>拟派本项目总监理工程师专业以国家注册监理工程师证书注册专业为准，拟派本项目监理人员专业以证书载明所学专业或培训专业为准；证书上未注明专业的，以毕业证书所学专业为准。</w:t>
      </w:r>
    </w:p>
    <w:p>
      <w:pPr>
        <w:adjustRightInd w:val="0"/>
        <w:snapToGrid w:val="0"/>
        <w:spacing w:line="360" w:lineRule="auto"/>
        <w:ind w:firstLine="480" w:firstLineChars="200"/>
        <w:rPr>
          <w:rFonts w:ascii="宋体" w:hAnsi="宋体" w:cs="宋体"/>
          <w:sz w:val="24"/>
        </w:rPr>
      </w:pPr>
      <w:r>
        <w:rPr>
          <w:rFonts w:ascii="宋体" w:hAnsi="宋体" w:cs="宋体"/>
          <w:sz w:val="24"/>
        </w:rPr>
        <w:t>根据《关于进一步加强全省监理人员从业管理的通知》（苏建建管〔2014〕100 号）文件要求，取得企业工商注册所在地省级建设行政主管部门颁发的工程类二级注册执业资格、省监理工程师以及省监理员证书的省外监理人员，在我省只能担任监理员。</w:t>
      </w:r>
    </w:p>
    <w:p>
      <w:pPr>
        <w:adjustRightInd w:val="0"/>
        <w:snapToGrid w:val="0"/>
        <w:spacing w:line="400" w:lineRule="exact"/>
        <w:rPr>
          <w:rFonts w:ascii="宋体" w:hAnsi="宋体" w:cs="宋体"/>
          <w:sz w:val="24"/>
        </w:rPr>
      </w:pPr>
      <w:r>
        <w:rPr>
          <w:rFonts w:hint="eastAsia" w:ascii="宋体" w:hAnsi="宋体" w:cs="宋体"/>
          <w:sz w:val="24"/>
        </w:rPr>
        <w:t>2.3.4更换监理人员的其他情形：</w:t>
      </w:r>
    </w:p>
    <w:p>
      <w:pPr>
        <w:widowControl/>
        <w:spacing w:line="400" w:lineRule="exact"/>
        <w:ind w:firstLine="480" w:firstLineChars="200"/>
        <w:jc w:val="left"/>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1）若委托人在监理工作过程中发现总监不能胜任该职务，则委托人有权要求监理人更换总监工程师，直至通过委托人书面确认，所换总监工程师的资质及业绩条件必须等同于或高于原总监工程师，且必须支付委托人违约金</w:t>
      </w:r>
      <w:r>
        <w:rPr>
          <w:rFonts w:hint="eastAsia" w:ascii="宋体" w:hAnsi="宋体" w:cs="宋体"/>
          <w:sz w:val="24"/>
          <w:u w:val="single"/>
          <w:lang w:val="en-US" w:eastAsia="zh-CN"/>
        </w:rPr>
        <w:t>2</w:t>
      </w:r>
      <w:r>
        <w:rPr>
          <w:rFonts w:hint="eastAsia" w:ascii="宋体" w:hAnsi="宋体" w:cs="宋体"/>
          <w:sz w:val="24"/>
          <w:u w:val="single"/>
        </w:rPr>
        <w:t>万元/人次。</w:t>
      </w:r>
    </w:p>
    <w:p>
      <w:pPr>
        <w:widowControl/>
        <w:spacing w:line="400" w:lineRule="exact"/>
        <w:ind w:firstLine="480" w:firstLineChars="200"/>
        <w:jc w:val="left"/>
        <w:rPr>
          <w:rFonts w:ascii="宋体" w:hAnsi="宋体" w:cs="宋体"/>
          <w:sz w:val="24"/>
          <w:u w:val="single"/>
        </w:rPr>
      </w:pPr>
      <w:r>
        <w:rPr>
          <w:rFonts w:hint="eastAsia" w:ascii="宋体" w:hAnsi="宋体" w:cs="宋体"/>
          <w:sz w:val="24"/>
        </w:rPr>
        <w:t xml:space="preserve"> </w:t>
      </w:r>
      <w:r>
        <w:rPr>
          <w:rFonts w:hint="eastAsia" w:ascii="宋体" w:hAnsi="宋体" w:cs="宋体"/>
          <w:sz w:val="24"/>
          <w:u w:val="single"/>
        </w:rPr>
        <w:t>（2）若委托人在监理工作过程中发现监理人员（不含总监）不能胜任监理工作（委托人对其监理工作不认可、不满意），则委托人有权要求监理方更换监理人员，直至通过委托人认可，且必须支付委托人违约金1万元/人次。</w:t>
      </w:r>
    </w:p>
    <w:p>
      <w:pPr>
        <w:spacing w:line="400" w:lineRule="exact"/>
        <w:ind w:firstLine="600" w:firstLineChars="250"/>
        <w:rPr>
          <w:rFonts w:ascii="宋体" w:hAnsi="宋体" w:cs="宋体"/>
          <w:sz w:val="24"/>
          <w:u w:val="single"/>
        </w:rPr>
      </w:pPr>
      <w:r>
        <w:rPr>
          <w:rFonts w:hint="eastAsia" w:ascii="宋体" w:hAnsi="宋体" w:cs="宋体"/>
          <w:sz w:val="24"/>
          <w:u w:val="single"/>
        </w:rPr>
        <w:t>（3）监理人在监理过程中应严格遵循监理职业道德，当发现下列任一情况，委托人有权向监理人提出调换监理人员的要求，且发生一次，由监理人向委托人支付违约金（同2.3.4），另视情节严重处罚5000-10000元，直至解除本合同：</w:t>
      </w:r>
    </w:p>
    <w:p>
      <w:pPr>
        <w:spacing w:line="400" w:lineRule="exact"/>
        <w:ind w:left="480"/>
        <w:rPr>
          <w:rFonts w:ascii="宋体" w:hAnsi="宋体" w:cs="宋体"/>
          <w:sz w:val="24"/>
          <w:u w:val="single"/>
        </w:rPr>
      </w:pPr>
      <w:r>
        <w:rPr>
          <w:rFonts w:hint="eastAsia" w:ascii="宋体" w:hAnsi="宋体" w:cs="宋体"/>
          <w:sz w:val="24"/>
          <w:u w:val="single"/>
        </w:rPr>
        <w:t>A、监理人员资历和能力不足以胜任所承担的职责时；</w:t>
      </w:r>
    </w:p>
    <w:p>
      <w:pPr>
        <w:spacing w:line="400" w:lineRule="exact"/>
        <w:ind w:left="480"/>
        <w:rPr>
          <w:rFonts w:ascii="宋体" w:hAnsi="宋体" w:cs="宋体"/>
          <w:sz w:val="24"/>
          <w:u w:val="single"/>
        </w:rPr>
      </w:pPr>
      <w:r>
        <w:rPr>
          <w:rFonts w:hint="eastAsia" w:ascii="宋体" w:hAnsi="宋体" w:cs="宋体"/>
          <w:sz w:val="24"/>
          <w:u w:val="single"/>
        </w:rPr>
        <w:t>B、驻现场监理人员不履行职责或履行职责不力时；</w:t>
      </w:r>
    </w:p>
    <w:p>
      <w:pPr>
        <w:spacing w:line="400" w:lineRule="exact"/>
        <w:ind w:left="480"/>
        <w:rPr>
          <w:rFonts w:ascii="宋体" w:hAnsi="宋体" w:cs="宋体"/>
          <w:sz w:val="24"/>
          <w:u w:val="single"/>
        </w:rPr>
      </w:pPr>
      <w:r>
        <w:rPr>
          <w:rFonts w:hint="eastAsia" w:ascii="宋体" w:hAnsi="宋体" w:cs="宋体"/>
          <w:sz w:val="24"/>
          <w:u w:val="single"/>
        </w:rPr>
        <w:t>C、监理人员的行为有损于监理工作应坚持的科学性和廉洁性时；</w:t>
      </w:r>
    </w:p>
    <w:p>
      <w:pPr>
        <w:spacing w:line="400" w:lineRule="exact"/>
        <w:ind w:left="480"/>
        <w:rPr>
          <w:rFonts w:ascii="宋体" w:hAnsi="宋体" w:cs="宋体"/>
          <w:sz w:val="24"/>
          <w:u w:val="single"/>
        </w:rPr>
      </w:pPr>
      <w:r>
        <w:rPr>
          <w:rFonts w:hint="eastAsia" w:ascii="宋体" w:hAnsi="宋体" w:cs="宋体"/>
          <w:sz w:val="24"/>
          <w:u w:val="single"/>
        </w:rPr>
        <w:t>D、监理人或监理人员与承包人发生合伙经营关系时；</w:t>
      </w:r>
    </w:p>
    <w:p>
      <w:pPr>
        <w:spacing w:line="400" w:lineRule="exact"/>
        <w:ind w:left="480"/>
        <w:rPr>
          <w:rFonts w:ascii="宋体" w:hAnsi="宋体" w:cs="宋体"/>
          <w:sz w:val="24"/>
          <w:u w:val="single"/>
        </w:rPr>
      </w:pPr>
      <w:r>
        <w:rPr>
          <w:rFonts w:hint="eastAsia" w:ascii="宋体" w:hAnsi="宋体" w:cs="宋体"/>
          <w:sz w:val="24"/>
          <w:u w:val="single"/>
        </w:rPr>
        <w:t>E、接受承包人请吃或娱乐活动；</w:t>
      </w:r>
    </w:p>
    <w:p>
      <w:pPr>
        <w:spacing w:line="400" w:lineRule="exact"/>
        <w:ind w:left="480"/>
        <w:rPr>
          <w:rFonts w:ascii="宋体" w:hAnsi="宋体" w:cs="宋体"/>
          <w:sz w:val="24"/>
          <w:u w:val="single"/>
        </w:rPr>
      </w:pPr>
      <w:r>
        <w:rPr>
          <w:rFonts w:hint="eastAsia" w:ascii="宋体" w:hAnsi="宋体" w:cs="宋体"/>
          <w:sz w:val="24"/>
          <w:u w:val="single"/>
        </w:rPr>
        <w:t>F、向承包人介绍施工作业人员；</w:t>
      </w:r>
    </w:p>
    <w:p>
      <w:pPr>
        <w:adjustRightInd w:val="0"/>
        <w:snapToGrid w:val="0"/>
        <w:spacing w:line="400" w:lineRule="exact"/>
        <w:ind w:firstLine="480" w:firstLineChars="200"/>
        <w:rPr>
          <w:rFonts w:ascii="宋体" w:hAnsi="宋体" w:cs="宋体"/>
          <w:sz w:val="24"/>
        </w:rPr>
      </w:pPr>
      <w:r>
        <w:rPr>
          <w:rFonts w:hint="eastAsia" w:ascii="宋体" w:hAnsi="宋体" w:cs="宋体"/>
          <w:sz w:val="24"/>
          <w:u w:val="single"/>
        </w:rPr>
        <w:t>G、向承包人介绍材料供应商。</w:t>
      </w:r>
    </w:p>
    <w:p>
      <w:pPr>
        <w:spacing w:line="400" w:lineRule="exact"/>
        <w:ind w:firstLine="235" w:firstLineChars="98"/>
        <w:rPr>
          <w:rFonts w:ascii="宋体" w:hAnsi="宋体" w:cs="宋体"/>
          <w:sz w:val="24"/>
        </w:rPr>
      </w:pPr>
      <w:r>
        <w:rPr>
          <w:rFonts w:hint="eastAsia" w:ascii="宋体" w:hAnsi="宋体" w:cs="宋体"/>
          <w:sz w:val="24"/>
        </w:rPr>
        <w:t xml:space="preserve">2.4 </w:t>
      </w:r>
      <w:r>
        <w:rPr>
          <w:rFonts w:hint="eastAsia" w:ascii="宋体" w:hAnsi="宋体" w:cs="宋体"/>
          <w:kern w:val="0"/>
          <w:sz w:val="24"/>
        </w:rPr>
        <w:t>履行职责</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rPr>
        <w:t>2.4.1 对监理人的授权范围：</w:t>
      </w:r>
      <w:r>
        <w:rPr>
          <w:rFonts w:hint="eastAsia" w:ascii="宋体" w:hAnsi="宋体" w:cs="宋体"/>
          <w:sz w:val="24"/>
          <w:u w:val="single"/>
        </w:rPr>
        <w:t xml:space="preserve">对本工程质量、进度、投资、安全四大控制，对安全生产、文明施工、信息管理、组织协调施工现场和各方关系，以及《委托监理合同》内发包人委托的职权。 </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需要取得发包人批准才能行使的职权：</w:t>
      </w:r>
      <w:r>
        <w:rPr>
          <w:rFonts w:hint="eastAsia" w:ascii="宋体" w:hAnsi="宋体" w:cs="宋体"/>
          <w:sz w:val="24"/>
          <w:u w:val="single"/>
        </w:rPr>
        <w:t>工程开工令、停工令、工程款支付、工程量签证以及其他超出发包人授权之外的职权</w:t>
      </w:r>
      <w:r>
        <w:rPr>
          <w:rFonts w:hint="eastAsia" w:ascii="宋体" w:hAnsi="宋体" w:cs="宋体"/>
          <w:sz w:val="24"/>
        </w:rPr>
        <w:t>。</w:t>
      </w:r>
    </w:p>
    <w:p>
      <w:pPr>
        <w:adjustRightInd w:val="0"/>
        <w:snapToGrid w:val="0"/>
        <w:spacing w:line="400" w:lineRule="exact"/>
        <w:ind w:firstLine="480" w:firstLineChars="200"/>
        <w:rPr>
          <w:rFonts w:ascii="宋体" w:hAnsi="宋体" w:cs="宋体"/>
          <w:kern w:val="0"/>
          <w:sz w:val="24"/>
        </w:rPr>
      </w:pPr>
      <w:r>
        <w:rPr>
          <w:rFonts w:hint="eastAsia" w:ascii="宋体" w:hAnsi="宋体" w:cs="宋体"/>
          <w:kern w:val="0"/>
          <w:sz w:val="24"/>
        </w:rPr>
        <w:t>在涉及工程延期及图纸的变更，监理人须征得委托人同意。</w:t>
      </w:r>
    </w:p>
    <w:p>
      <w:pPr>
        <w:adjustRightInd w:val="0"/>
        <w:snapToGrid w:val="0"/>
        <w:spacing w:line="400" w:lineRule="exact"/>
        <w:ind w:firstLine="360" w:firstLineChars="150"/>
        <w:rPr>
          <w:rFonts w:ascii="宋体" w:hAnsi="宋体" w:cs="宋体"/>
          <w:sz w:val="24"/>
        </w:rPr>
      </w:pPr>
      <w:r>
        <w:rPr>
          <w:rFonts w:hint="eastAsia" w:ascii="宋体" w:hAnsi="宋体" w:cs="宋体"/>
          <w:kern w:val="0"/>
          <w:sz w:val="24"/>
        </w:rPr>
        <w:t>2.4.2 监理人有权要求承包人调换其人员</w:t>
      </w:r>
      <w:r>
        <w:rPr>
          <w:rFonts w:hint="eastAsia" w:ascii="宋体" w:hAnsi="宋体" w:cs="宋体"/>
          <w:sz w:val="24"/>
        </w:rPr>
        <w:t>的限制条件：</w:t>
      </w:r>
      <w:r>
        <w:rPr>
          <w:rFonts w:hint="eastAsia" w:ascii="宋体" w:hAnsi="宋体" w:cs="宋体"/>
          <w:sz w:val="24"/>
          <w:u w:val="single"/>
        </w:rPr>
        <w:t>须经发包人同意</w:t>
      </w:r>
      <w:r>
        <w:rPr>
          <w:rFonts w:hint="eastAsia" w:ascii="宋体" w:hAnsi="宋体" w:cs="宋体"/>
          <w:sz w:val="24"/>
        </w:rPr>
        <w:t xml:space="preserve">。  </w:t>
      </w:r>
    </w:p>
    <w:p>
      <w:pPr>
        <w:adjustRightInd w:val="0"/>
        <w:snapToGrid w:val="0"/>
        <w:spacing w:line="400" w:lineRule="exact"/>
        <w:ind w:firstLine="120" w:firstLineChars="50"/>
        <w:rPr>
          <w:rFonts w:ascii="宋体" w:hAnsi="宋体" w:cs="宋体"/>
          <w:sz w:val="24"/>
        </w:rPr>
      </w:pPr>
      <w:r>
        <w:rPr>
          <w:rFonts w:hint="eastAsia" w:ascii="宋体" w:hAnsi="宋体" w:cs="宋体"/>
          <w:kern w:val="0"/>
          <w:sz w:val="24"/>
        </w:rPr>
        <w:t xml:space="preserve">2.5 </w:t>
      </w:r>
      <w:r>
        <w:rPr>
          <w:rFonts w:hint="eastAsia" w:ascii="宋体" w:hAnsi="宋体" w:cs="宋体"/>
          <w:sz w:val="24"/>
        </w:rPr>
        <w:t>提交</w:t>
      </w:r>
      <w:r>
        <w:rPr>
          <w:rFonts w:hint="eastAsia" w:ascii="宋体" w:hAnsi="宋体" w:cs="宋体"/>
          <w:kern w:val="0"/>
          <w:sz w:val="24"/>
        </w:rPr>
        <w:t>报告</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监理人应提交报告的种类(</w:t>
      </w:r>
      <w:r>
        <w:rPr>
          <w:rFonts w:hint="eastAsia" w:ascii="宋体" w:hAnsi="宋体" w:cs="宋体"/>
          <w:kern w:val="0"/>
          <w:sz w:val="24"/>
        </w:rPr>
        <w:t>包括监理规划、监理月报及约定的专项报告)</w:t>
      </w:r>
      <w:r>
        <w:rPr>
          <w:rFonts w:hint="eastAsia" w:ascii="宋体" w:hAnsi="宋体" w:cs="宋体"/>
          <w:sz w:val="24"/>
        </w:rPr>
        <w:t>、时间和份数</w:t>
      </w:r>
      <w:r>
        <w:rPr>
          <w:rFonts w:hint="eastAsia" w:ascii="宋体" w:hAnsi="宋体" w:cs="宋体"/>
          <w:kern w:val="0"/>
          <w:sz w:val="24"/>
        </w:rPr>
        <w:t>：</w:t>
      </w:r>
      <w:r>
        <w:rPr>
          <w:rFonts w:hint="eastAsia" w:ascii="宋体" w:hAnsi="宋体" w:cs="宋体"/>
          <w:kern w:val="0"/>
          <w:sz w:val="24"/>
          <w:u w:val="single"/>
        </w:rPr>
        <w:t>监理规划在开工前5天，监理月报在</w:t>
      </w:r>
      <w:r>
        <w:rPr>
          <w:rFonts w:hint="eastAsia" w:ascii="宋体" w:hAnsi="宋体" w:cs="宋体"/>
          <w:sz w:val="24"/>
          <w:u w:val="single"/>
        </w:rPr>
        <w:t>每月10日前，</w:t>
      </w:r>
      <w:r>
        <w:rPr>
          <w:rFonts w:hint="eastAsia" w:ascii="宋体" w:hAnsi="宋体" w:cs="宋体"/>
          <w:kern w:val="0"/>
          <w:sz w:val="24"/>
          <w:u w:val="single"/>
        </w:rPr>
        <w:t>约定的专项报告及其他内容须在委托人要求的时间内，份数：5份</w:t>
      </w:r>
      <w:r>
        <w:rPr>
          <w:rFonts w:hint="eastAsia" w:ascii="宋体" w:hAnsi="宋体" w:cs="宋体"/>
          <w:sz w:val="24"/>
        </w:rPr>
        <w:t>。</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rPr>
        <w:t>未按时提交上述资料，监理人应向委托人支付违约金500元/次。</w:t>
      </w:r>
    </w:p>
    <w:p>
      <w:pPr>
        <w:spacing w:line="400" w:lineRule="exact"/>
        <w:rPr>
          <w:rFonts w:ascii="宋体" w:hAnsi="宋体" w:cs="宋体"/>
          <w:kern w:val="0"/>
          <w:sz w:val="24"/>
        </w:rPr>
      </w:pPr>
      <w:r>
        <w:rPr>
          <w:rFonts w:hint="eastAsia" w:ascii="宋体" w:hAnsi="宋体" w:cs="宋体"/>
          <w:kern w:val="0"/>
          <w:sz w:val="24"/>
        </w:rPr>
        <w:t xml:space="preserve"> 2.6 使用委托人的财产</w:t>
      </w:r>
    </w:p>
    <w:p>
      <w:pPr>
        <w:spacing w:line="400" w:lineRule="exact"/>
        <w:rPr>
          <w:rFonts w:ascii="宋体" w:hAnsi="宋体" w:cs="宋体"/>
          <w:kern w:val="0"/>
          <w:sz w:val="24"/>
        </w:rPr>
      </w:pPr>
      <w:r>
        <w:rPr>
          <w:rFonts w:hint="eastAsia" w:ascii="宋体" w:hAnsi="宋体" w:cs="宋体"/>
          <w:kern w:val="0"/>
          <w:sz w:val="24"/>
        </w:rPr>
        <w:t xml:space="preserve">     </w:t>
      </w:r>
      <w:r>
        <w:rPr>
          <w:rFonts w:hint="eastAsia" w:ascii="宋体" w:hAnsi="宋体" w:cs="宋体"/>
          <w:sz w:val="24"/>
        </w:rPr>
        <w:t>附录B中由委托人无偿提供的房屋、设备的所有权属于：</w:t>
      </w:r>
      <w:r>
        <w:rPr>
          <w:rFonts w:hint="eastAsia" w:ascii="宋体" w:hAnsi="宋体" w:cs="宋体"/>
          <w:sz w:val="24"/>
          <w:u w:val="single"/>
        </w:rPr>
        <w:t xml:space="preserve">  委托人   </w:t>
      </w:r>
      <w:r>
        <w:rPr>
          <w:rFonts w:hint="eastAsia" w:ascii="宋体" w:hAnsi="宋体" w:cs="宋体"/>
          <w:sz w:val="24"/>
        </w:rPr>
        <w:t>。</w:t>
      </w:r>
    </w:p>
    <w:p>
      <w:pPr>
        <w:spacing w:line="400" w:lineRule="exact"/>
        <w:ind w:firstLine="480" w:firstLineChars="200"/>
        <w:rPr>
          <w:rFonts w:ascii="宋体" w:hAnsi="宋体" w:cs="宋体"/>
          <w:kern w:val="0"/>
          <w:sz w:val="24"/>
        </w:rPr>
      </w:pPr>
      <w:r>
        <w:rPr>
          <w:rFonts w:hint="eastAsia" w:ascii="宋体" w:hAnsi="宋体" w:cs="宋体"/>
          <w:sz w:val="24"/>
        </w:rPr>
        <w:t>监理人应在本合同终止后</w:t>
      </w:r>
      <w:r>
        <w:rPr>
          <w:rFonts w:hint="eastAsia" w:ascii="宋体" w:hAnsi="宋体" w:cs="宋体"/>
          <w:sz w:val="24"/>
          <w:u w:val="single"/>
        </w:rPr>
        <w:t xml:space="preserve">  5 </w:t>
      </w:r>
      <w:r>
        <w:rPr>
          <w:rFonts w:hint="eastAsia" w:ascii="宋体" w:hAnsi="宋体" w:cs="宋体"/>
          <w:sz w:val="24"/>
        </w:rPr>
        <w:t>天内移交委托人无偿提供的房屋、设备，移交的时间和方式为：</w:t>
      </w:r>
      <w:r>
        <w:rPr>
          <w:rFonts w:hint="eastAsia" w:ascii="宋体" w:hAnsi="宋体" w:cs="宋体"/>
          <w:sz w:val="24"/>
          <w:u w:val="single"/>
        </w:rPr>
        <w:t xml:space="preserve"> 由委托人当场验收</w:t>
      </w:r>
      <w:r>
        <w:rPr>
          <w:rFonts w:hint="eastAsia" w:ascii="宋体" w:hAnsi="宋体" w:cs="宋体"/>
          <w:sz w:val="24"/>
        </w:rPr>
        <w:t>。</w:t>
      </w:r>
    </w:p>
    <w:p>
      <w:pPr>
        <w:keepNext/>
        <w:keepLines/>
        <w:spacing w:before="20" w:after="20" w:line="400" w:lineRule="exact"/>
        <w:outlineLvl w:val="2"/>
        <w:rPr>
          <w:rFonts w:ascii="宋体" w:hAnsi="宋体" w:cs="宋体"/>
          <w:bCs/>
          <w:kern w:val="0"/>
          <w:sz w:val="24"/>
        </w:rPr>
      </w:pPr>
      <w:bookmarkStart w:id="225" w:name="_Toc66888639"/>
      <w:bookmarkStart w:id="226" w:name="_Toc9194608"/>
      <w:bookmarkStart w:id="227" w:name="_Toc398111704"/>
      <w:bookmarkStart w:id="228" w:name="_Toc66888532"/>
      <w:bookmarkStart w:id="229" w:name="_Toc22957"/>
      <w:bookmarkStart w:id="230" w:name="_Toc71830943"/>
      <w:r>
        <w:rPr>
          <w:rFonts w:hint="eastAsia" w:ascii="宋体" w:hAnsi="宋体" w:cs="宋体"/>
          <w:bCs/>
          <w:kern w:val="0"/>
          <w:sz w:val="24"/>
        </w:rPr>
        <w:t>3. 委托人义务</w:t>
      </w:r>
      <w:bookmarkEnd w:id="225"/>
      <w:bookmarkEnd w:id="226"/>
      <w:bookmarkEnd w:id="227"/>
      <w:bookmarkEnd w:id="228"/>
      <w:bookmarkEnd w:id="229"/>
      <w:bookmarkEnd w:id="230"/>
      <w:r>
        <w:rPr>
          <w:rFonts w:hint="eastAsia" w:ascii="宋体" w:hAnsi="宋体" w:cs="宋体"/>
          <w:bCs/>
          <w:kern w:val="0"/>
          <w:sz w:val="24"/>
        </w:rPr>
        <w:t xml:space="preserve">  </w:t>
      </w:r>
    </w:p>
    <w:p>
      <w:pPr>
        <w:snapToGrid w:val="0"/>
        <w:spacing w:line="400" w:lineRule="exact"/>
        <w:rPr>
          <w:rFonts w:ascii="宋体" w:hAnsi="宋体" w:cs="宋体"/>
          <w:sz w:val="24"/>
        </w:rPr>
      </w:pPr>
      <w:r>
        <w:rPr>
          <w:rFonts w:hint="eastAsia" w:ascii="宋体" w:hAnsi="宋体" w:cs="宋体"/>
          <w:sz w:val="24"/>
        </w:rPr>
        <w:t xml:space="preserve">  </w:t>
      </w:r>
      <w:r>
        <w:rPr>
          <w:rFonts w:hint="eastAsia" w:ascii="宋体" w:hAnsi="宋体" w:cs="宋体"/>
          <w:kern w:val="0"/>
          <w:sz w:val="24"/>
        </w:rPr>
        <w:t>3.1 委托人代表</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rPr>
        <w:t>委托人代表为：</w:t>
      </w:r>
      <w:r>
        <w:rPr>
          <w:rFonts w:hint="eastAsia" w:ascii="宋体" w:hAnsi="宋体" w:cs="宋体"/>
          <w:sz w:val="24"/>
          <w:u w:val="single"/>
        </w:rPr>
        <w:t xml:space="preserve">                  </w:t>
      </w:r>
      <w:r>
        <w:rPr>
          <w:rFonts w:hint="eastAsia" w:ascii="宋体" w:hAnsi="宋体" w:cs="宋体"/>
          <w:sz w:val="24"/>
        </w:rPr>
        <w:t>。</w:t>
      </w:r>
    </w:p>
    <w:p>
      <w:pPr>
        <w:adjustRightInd w:val="0"/>
        <w:snapToGrid w:val="0"/>
        <w:spacing w:line="400" w:lineRule="exact"/>
        <w:ind w:firstLine="235" w:firstLineChars="98"/>
        <w:rPr>
          <w:rFonts w:ascii="宋体" w:hAnsi="宋体" w:cs="宋体"/>
          <w:kern w:val="0"/>
          <w:sz w:val="24"/>
        </w:rPr>
      </w:pPr>
      <w:r>
        <w:rPr>
          <w:rFonts w:hint="eastAsia" w:ascii="宋体" w:hAnsi="宋体" w:cs="宋体"/>
          <w:kern w:val="0"/>
          <w:sz w:val="24"/>
        </w:rPr>
        <w:t>3.2 答复</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委托人同意在</w:t>
      </w:r>
      <w:r>
        <w:rPr>
          <w:rFonts w:hint="eastAsia" w:ascii="宋体" w:hAnsi="宋体" w:cs="宋体"/>
          <w:sz w:val="24"/>
          <w:u w:val="single"/>
        </w:rPr>
        <w:t xml:space="preserve">   7   </w:t>
      </w:r>
      <w:r>
        <w:rPr>
          <w:rFonts w:hint="eastAsia" w:ascii="宋体" w:hAnsi="宋体" w:cs="宋体"/>
          <w:sz w:val="24"/>
        </w:rPr>
        <w:t>天内，对监理人书面提交并要求做出决定的事宜给予书面答复。</w:t>
      </w:r>
    </w:p>
    <w:p>
      <w:pPr>
        <w:keepNext/>
        <w:keepLines/>
        <w:spacing w:before="20" w:after="20" w:line="400" w:lineRule="exact"/>
        <w:outlineLvl w:val="2"/>
        <w:rPr>
          <w:rFonts w:ascii="宋体" w:hAnsi="宋体" w:cs="宋体"/>
          <w:bCs/>
          <w:kern w:val="0"/>
          <w:sz w:val="24"/>
        </w:rPr>
      </w:pPr>
      <w:bookmarkStart w:id="231" w:name="_Toc71830944"/>
      <w:bookmarkStart w:id="232" w:name="_Toc9194609"/>
      <w:bookmarkStart w:id="233" w:name="_Toc66888533"/>
      <w:bookmarkStart w:id="234" w:name="_Toc11945"/>
      <w:bookmarkStart w:id="235" w:name="_Toc398111705"/>
      <w:bookmarkStart w:id="236" w:name="_Toc66888640"/>
      <w:r>
        <w:rPr>
          <w:rFonts w:hint="eastAsia" w:ascii="宋体" w:hAnsi="宋体" w:cs="宋体"/>
          <w:bCs/>
          <w:kern w:val="0"/>
          <w:sz w:val="24"/>
        </w:rPr>
        <w:t>4. 违约责任</w:t>
      </w:r>
      <w:bookmarkEnd w:id="231"/>
      <w:bookmarkEnd w:id="232"/>
      <w:bookmarkEnd w:id="233"/>
      <w:bookmarkEnd w:id="234"/>
      <w:bookmarkEnd w:id="235"/>
      <w:bookmarkEnd w:id="236"/>
    </w:p>
    <w:p>
      <w:pPr>
        <w:spacing w:line="400" w:lineRule="exact"/>
        <w:ind w:left="210" w:leftChars="100"/>
        <w:rPr>
          <w:rFonts w:ascii="宋体" w:hAnsi="宋体" w:cs="宋体"/>
          <w:kern w:val="0"/>
          <w:sz w:val="24"/>
        </w:rPr>
      </w:pPr>
      <w:r>
        <w:rPr>
          <w:rFonts w:hint="eastAsia" w:ascii="宋体" w:hAnsi="宋体" w:cs="宋体"/>
          <w:kern w:val="0"/>
          <w:sz w:val="24"/>
        </w:rPr>
        <w:t>4.1 监理人的违约责任</w:t>
      </w:r>
    </w:p>
    <w:p>
      <w:pPr>
        <w:adjustRightInd w:val="0"/>
        <w:snapToGrid w:val="0"/>
        <w:spacing w:line="400" w:lineRule="exact"/>
        <w:ind w:firstLine="480" w:firstLineChars="200"/>
        <w:rPr>
          <w:rFonts w:ascii="宋体" w:hAnsi="宋体" w:cs="宋体"/>
          <w:kern w:val="0"/>
          <w:sz w:val="24"/>
        </w:rPr>
      </w:pPr>
      <w:r>
        <w:rPr>
          <w:rFonts w:hint="eastAsia" w:ascii="宋体" w:hAnsi="宋体" w:cs="宋体"/>
          <w:kern w:val="0"/>
          <w:sz w:val="24"/>
        </w:rPr>
        <w:t>4.1.1监理人赔偿金额按下列方法确定：</w:t>
      </w:r>
    </w:p>
    <w:p>
      <w:pPr>
        <w:adjustRightInd w:val="0"/>
        <w:snapToGrid w:val="0"/>
        <w:spacing w:line="400" w:lineRule="exact"/>
        <w:ind w:firstLine="480" w:firstLineChars="200"/>
        <w:rPr>
          <w:rFonts w:ascii="宋体" w:hAnsi="宋体" w:cs="宋体"/>
          <w:kern w:val="0"/>
          <w:sz w:val="24"/>
        </w:rPr>
      </w:pPr>
      <w:r>
        <w:rPr>
          <w:rFonts w:hint="eastAsia" w:ascii="宋体" w:hAnsi="宋体" w:cs="宋体"/>
          <w:sz w:val="24"/>
        </w:rPr>
        <w:t>赔偿金＝直接经济损失×正常工作酬金÷最终结算审计总造价。</w:t>
      </w:r>
    </w:p>
    <w:p>
      <w:pPr>
        <w:snapToGrid w:val="0"/>
        <w:spacing w:line="400" w:lineRule="exact"/>
        <w:ind w:firstLine="240" w:firstLineChars="100"/>
        <w:rPr>
          <w:rFonts w:ascii="宋体" w:hAnsi="宋体" w:cs="宋体"/>
          <w:kern w:val="0"/>
          <w:sz w:val="24"/>
        </w:rPr>
      </w:pPr>
      <w:r>
        <w:rPr>
          <w:rFonts w:hint="eastAsia" w:ascii="宋体" w:hAnsi="宋体" w:cs="宋体"/>
          <w:kern w:val="0"/>
          <w:sz w:val="24"/>
        </w:rPr>
        <w:t>4.2 委托人的违约责任</w:t>
      </w:r>
    </w:p>
    <w:p>
      <w:pPr>
        <w:spacing w:line="400" w:lineRule="exact"/>
        <w:ind w:firstLine="480" w:firstLineChars="200"/>
        <w:rPr>
          <w:rFonts w:ascii="宋体" w:hAnsi="宋体" w:cs="宋体"/>
          <w:kern w:val="0"/>
          <w:sz w:val="24"/>
        </w:rPr>
      </w:pPr>
      <w:r>
        <w:rPr>
          <w:rFonts w:hint="eastAsia" w:ascii="宋体" w:hAnsi="宋体" w:cs="宋体"/>
          <w:sz w:val="24"/>
        </w:rPr>
        <w:t>4.2.1 委托人</w:t>
      </w:r>
      <w:r>
        <w:rPr>
          <w:rFonts w:hint="eastAsia" w:ascii="宋体" w:hAnsi="宋体" w:cs="宋体"/>
          <w:kern w:val="0"/>
          <w:sz w:val="24"/>
        </w:rPr>
        <w:t>逾期付款利息按下列方法确定：</w:t>
      </w:r>
      <w:bookmarkStart w:id="237" w:name="_Toc398111706"/>
      <w:bookmarkStart w:id="238" w:name="_Toc18123"/>
      <w:r>
        <w:rPr>
          <w:rFonts w:hint="eastAsia" w:ascii="宋体" w:hAnsi="宋体" w:cs="宋体"/>
          <w:kern w:val="0"/>
          <w:sz w:val="24"/>
        </w:rPr>
        <w:t>不计。</w:t>
      </w:r>
    </w:p>
    <w:p>
      <w:pPr>
        <w:keepNext/>
        <w:keepLines/>
        <w:spacing w:before="20" w:after="20" w:line="400" w:lineRule="exact"/>
        <w:outlineLvl w:val="2"/>
        <w:rPr>
          <w:rFonts w:ascii="宋体" w:hAnsi="宋体" w:cs="宋体"/>
          <w:bCs/>
          <w:kern w:val="0"/>
          <w:sz w:val="24"/>
        </w:rPr>
      </w:pPr>
      <w:bookmarkStart w:id="239" w:name="_Toc71830945"/>
      <w:bookmarkStart w:id="240" w:name="_Toc66888534"/>
      <w:bookmarkStart w:id="241" w:name="_Toc9194610"/>
      <w:bookmarkStart w:id="242" w:name="_Toc66888641"/>
      <w:r>
        <w:rPr>
          <w:rFonts w:hint="eastAsia" w:ascii="宋体" w:hAnsi="宋体" w:cs="宋体"/>
          <w:bCs/>
          <w:kern w:val="0"/>
          <w:sz w:val="24"/>
        </w:rPr>
        <w:t>5. 支付</w:t>
      </w:r>
      <w:bookmarkEnd w:id="237"/>
      <w:bookmarkEnd w:id="238"/>
      <w:bookmarkEnd w:id="239"/>
      <w:bookmarkEnd w:id="240"/>
      <w:bookmarkEnd w:id="241"/>
      <w:bookmarkEnd w:id="242"/>
    </w:p>
    <w:p>
      <w:pPr>
        <w:snapToGrid w:val="0"/>
        <w:spacing w:line="400" w:lineRule="exact"/>
        <w:rPr>
          <w:rFonts w:ascii="宋体" w:hAnsi="宋体" w:cs="宋体"/>
          <w:bCs/>
          <w:sz w:val="24"/>
        </w:rPr>
      </w:pPr>
      <w:r>
        <w:rPr>
          <w:rFonts w:hint="eastAsia" w:ascii="宋体" w:hAnsi="宋体" w:cs="宋体"/>
          <w:sz w:val="24"/>
        </w:rPr>
        <w:t xml:space="preserve">  5.1 </w:t>
      </w:r>
      <w:r>
        <w:rPr>
          <w:rFonts w:hint="eastAsia" w:ascii="宋体" w:hAnsi="宋体" w:cs="宋体"/>
          <w:bCs/>
          <w:sz w:val="24"/>
        </w:rPr>
        <w:t>支付货币</w:t>
      </w:r>
    </w:p>
    <w:p>
      <w:pPr>
        <w:snapToGrid w:val="0"/>
        <w:spacing w:line="400" w:lineRule="exact"/>
        <w:ind w:firstLine="480" w:firstLineChars="200"/>
        <w:rPr>
          <w:rFonts w:ascii="宋体" w:hAnsi="宋体" w:cs="宋体"/>
          <w:sz w:val="24"/>
        </w:rPr>
      </w:pPr>
      <w:r>
        <w:rPr>
          <w:rFonts w:hint="eastAsia" w:ascii="宋体" w:hAnsi="宋体" w:cs="宋体"/>
          <w:sz w:val="24"/>
        </w:rPr>
        <w:t>币种为：</w:t>
      </w:r>
      <w:r>
        <w:rPr>
          <w:rFonts w:hint="eastAsia" w:ascii="宋体" w:hAnsi="宋体" w:cs="宋体"/>
          <w:sz w:val="24"/>
          <w:u w:val="single"/>
        </w:rPr>
        <w:t xml:space="preserve">  人民币    </w:t>
      </w:r>
      <w:r>
        <w:rPr>
          <w:rFonts w:hint="eastAsia" w:ascii="宋体" w:hAnsi="宋体" w:cs="宋体"/>
          <w:sz w:val="24"/>
        </w:rPr>
        <w:t xml:space="preserve">。 </w:t>
      </w:r>
    </w:p>
    <w:p>
      <w:pPr>
        <w:snapToGrid w:val="0"/>
        <w:spacing w:line="400" w:lineRule="exact"/>
        <w:ind w:firstLine="240" w:firstLineChars="100"/>
        <w:rPr>
          <w:rFonts w:ascii="宋体" w:hAnsi="宋体" w:cs="宋体"/>
          <w:kern w:val="0"/>
          <w:sz w:val="24"/>
        </w:rPr>
      </w:pPr>
      <w:r>
        <w:rPr>
          <w:rFonts w:hint="eastAsia" w:ascii="宋体" w:hAnsi="宋体" w:cs="宋体"/>
          <w:kern w:val="0"/>
          <w:sz w:val="24"/>
        </w:rPr>
        <w:t>5.3 支付酬金</w:t>
      </w:r>
    </w:p>
    <w:p>
      <w:pPr>
        <w:autoSpaceDE w:val="0"/>
        <w:autoSpaceDN w:val="0"/>
        <w:adjustRightInd w:val="0"/>
        <w:spacing w:line="400" w:lineRule="exact"/>
        <w:ind w:firstLine="480" w:firstLineChars="200"/>
        <w:jc w:val="left"/>
        <w:rPr>
          <w:rFonts w:hint="eastAsia" w:ascii="宋体" w:hAnsi="宋体" w:cs="宋体"/>
          <w:color w:val="FF0000"/>
          <w:sz w:val="24"/>
        </w:rPr>
      </w:pPr>
      <w:r>
        <w:rPr>
          <w:rFonts w:hint="eastAsia" w:ascii="宋体" w:hAnsi="宋体" w:cs="仿宋"/>
          <w:kern w:val="0"/>
          <w:sz w:val="24"/>
        </w:rPr>
        <w:t>5.3.1</w:t>
      </w:r>
      <w:r>
        <w:rPr>
          <w:rFonts w:hint="eastAsia" w:ascii="宋体" w:hAnsi="宋体" w:cs="宋体"/>
          <w:color w:val="FF0000"/>
          <w:sz w:val="24"/>
        </w:rPr>
        <w:t>监理费收费参照国家发展和改革委员会、建设部联合下发的《关于印发&lt;建设工程监理与相关服务收费管理规定&gt;的通知》(发改价格[2007]670号)文的施工</w:t>
      </w:r>
      <w:r>
        <w:rPr>
          <w:rFonts w:ascii="宋体" w:hAnsi="宋体" w:cs="宋体"/>
          <w:color w:val="FF0000"/>
          <w:sz w:val="24"/>
        </w:rPr>
        <w:t>监理</w:t>
      </w:r>
      <w:r>
        <w:rPr>
          <w:rFonts w:hint="eastAsia" w:ascii="宋体" w:hAnsi="宋体" w:cs="宋体"/>
          <w:color w:val="FF0000"/>
          <w:sz w:val="24"/>
        </w:rPr>
        <w:t>服务收费基价表并结合投标浮动幅度值计算，</w:t>
      </w:r>
      <w:r>
        <w:rPr>
          <w:rFonts w:ascii="宋体" w:hAnsi="宋体" w:cs="宋体"/>
          <w:color w:val="FF0000"/>
          <w:sz w:val="24"/>
        </w:rPr>
        <w:t>具体</w:t>
      </w:r>
      <w:r>
        <w:rPr>
          <w:rFonts w:hint="eastAsia" w:ascii="宋体" w:hAnsi="宋体" w:cs="宋体"/>
          <w:color w:val="FF0000"/>
          <w:sz w:val="24"/>
        </w:rPr>
        <w:t>公式</w:t>
      </w:r>
      <w:r>
        <w:rPr>
          <w:rFonts w:ascii="宋体" w:hAnsi="宋体" w:cs="宋体"/>
          <w:color w:val="FF0000"/>
          <w:sz w:val="24"/>
        </w:rPr>
        <w:t>如下</w:t>
      </w:r>
      <w:r>
        <w:rPr>
          <w:rFonts w:hint="eastAsia" w:ascii="宋体" w:hAnsi="宋体" w:cs="宋体"/>
          <w:color w:val="FF0000"/>
          <w:sz w:val="24"/>
        </w:rPr>
        <w:t>。</w:t>
      </w:r>
    </w:p>
    <w:p>
      <w:pPr>
        <w:autoSpaceDE w:val="0"/>
        <w:autoSpaceDN w:val="0"/>
        <w:adjustRightInd w:val="0"/>
        <w:spacing w:line="400" w:lineRule="exact"/>
        <w:ind w:firstLine="480" w:firstLineChars="200"/>
        <w:jc w:val="left"/>
        <w:rPr>
          <w:rFonts w:ascii="宋体" w:hAnsi="宋体" w:cs="宋体"/>
          <w:color w:val="FF0000"/>
          <w:sz w:val="24"/>
        </w:rPr>
      </w:pPr>
      <w:r>
        <w:rPr>
          <w:rFonts w:hint="eastAsia" w:ascii="宋体" w:hAnsi="宋体" w:cs="宋体"/>
          <w:color w:val="FF0000"/>
          <w:sz w:val="24"/>
        </w:rPr>
        <w:t>监理服务收费＝施工监理服务收费基准价×(1+中标浮动幅度值）中标浮动幅度值</w:t>
      </w:r>
      <w:r>
        <w:rPr>
          <w:rFonts w:hint="eastAsia" w:ascii="宋体" w:hAnsi="宋体" w:cs="宋体"/>
          <w:color w:val="FF0000"/>
          <w:sz w:val="24"/>
          <w:lang w:eastAsia="zh-CN"/>
        </w:rPr>
        <w:t>为</w:t>
      </w:r>
      <w:r>
        <w:rPr>
          <w:rFonts w:hint="eastAsia" w:ascii="宋体" w:hAnsi="宋体" w:cs="宋体"/>
          <w:color w:val="FF0000"/>
          <w:sz w:val="24"/>
          <w:u w:val="single"/>
          <w:lang w:val="en-US" w:eastAsia="zh-CN"/>
        </w:rPr>
        <w:t xml:space="preserve"> </w:t>
      </w:r>
      <w:r>
        <w:rPr>
          <w:rFonts w:hint="eastAsia" w:ascii="宋体" w:hAnsi="宋体" w:cs="宋体"/>
          <w:color w:val="FF0000"/>
          <w:sz w:val="24"/>
        </w:rPr>
        <w:t>；</w:t>
      </w:r>
    </w:p>
    <w:p>
      <w:pPr>
        <w:autoSpaceDE w:val="0"/>
        <w:autoSpaceDN w:val="0"/>
        <w:adjustRightInd w:val="0"/>
        <w:spacing w:line="400" w:lineRule="exact"/>
        <w:ind w:firstLine="480" w:firstLineChars="200"/>
        <w:jc w:val="left"/>
        <w:rPr>
          <w:rFonts w:ascii="宋体" w:hAnsi="宋体" w:cs="宋体"/>
          <w:color w:val="FF0000"/>
          <w:sz w:val="24"/>
        </w:rPr>
      </w:pPr>
      <w:r>
        <w:rPr>
          <w:rFonts w:hint="eastAsia" w:ascii="宋体" w:hAnsi="宋体" w:cs="宋体"/>
          <w:color w:val="FF0000"/>
          <w:sz w:val="24"/>
        </w:rPr>
        <w:t>施工监理服务收费基准价=施工监理服务收费基价×专业调整系数（1.0）×工程复杂程度调整系数（1.0）×高程调整系数（1.0）；</w:t>
      </w:r>
    </w:p>
    <w:p>
      <w:pPr>
        <w:autoSpaceDE w:val="0"/>
        <w:autoSpaceDN w:val="0"/>
        <w:adjustRightInd w:val="0"/>
        <w:spacing w:line="400" w:lineRule="exact"/>
        <w:ind w:firstLine="480" w:firstLineChars="200"/>
        <w:jc w:val="left"/>
        <w:rPr>
          <w:rFonts w:hint="eastAsia" w:ascii="宋体" w:hAnsi="宋体" w:cs="宋体"/>
          <w:color w:val="FF0000"/>
          <w:sz w:val="24"/>
          <w:highlight w:val="none"/>
        </w:rPr>
      </w:pPr>
      <w:r>
        <w:rPr>
          <w:rFonts w:hint="eastAsia" w:ascii="宋体" w:hAnsi="宋体" w:cs="宋体"/>
          <w:color w:val="FF0000"/>
          <w:sz w:val="24"/>
        </w:rPr>
        <w:t>施工监理服务收费基价是以本项目工程结算审计后的总造价（含修缮改造、配套等监理服务范围内的工程，</w:t>
      </w:r>
      <w:r>
        <w:rPr>
          <w:rFonts w:hint="eastAsia" w:ascii="宋体" w:hAnsi="宋体" w:cs="宋体"/>
          <w:color w:val="FF0000"/>
          <w:sz w:val="24"/>
          <w:highlight w:val="none"/>
        </w:rPr>
        <w:t>智能化设备除外）为计费额，按《施工监理服务费收费基价表》的标准，采用直线内插法确定的收费基价。</w:t>
      </w:r>
    </w:p>
    <w:p>
      <w:pPr>
        <w:autoSpaceDE w:val="0"/>
        <w:autoSpaceDN w:val="0"/>
        <w:adjustRightInd w:val="0"/>
        <w:spacing w:line="400" w:lineRule="exact"/>
        <w:ind w:firstLine="480" w:firstLineChars="200"/>
        <w:jc w:val="left"/>
        <w:rPr>
          <w:rFonts w:ascii="宋体" w:hAnsi="宋体" w:cs="宋体"/>
          <w:color w:val="FF0000"/>
          <w:sz w:val="24"/>
          <w:highlight w:val="none"/>
        </w:rPr>
      </w:pPr>
      <w:r>
        <w:rPr>
          <w:rFonts w:hint="eastAsia" w:ascii="宋体" w:hAnsi="宋体" w:cs="宋体"/>
          <w:color w:val="FF0000"/>
          <w:sz w:val="24"/>
          <w:highlight w:val="none"/>
        </w:rPr>
        <w:t>监理费最终结算数以审计审定数为准。</w:t>
      </w:r>
    </w:p>
    <w:p>
      <w:pPr>
        <w:snapToGrid w:val="0"/>
        <w:spacing w:line="480" w:lineRule="exact"/>
        <w:ind w:firstLine="720" w:firstLineChars="300"/>
        <w:rPr>
          <w:rFonts w:hint="eastAsia" w:ascii="宋体" w:hAnsi="宋体" w:cs="仿宋"/>
          <w:sz w:val="24"/>
          <w:highlight w:val="none"/>
        </w:rPr>
      </w:pPr>
      <w:r>
        <w:rPr>
          <w:rFonts w:ascii="宋体" w:hAnsi="宋体" w:cs="仿宋"/>
          <w:kern w:val="0"/>
          <w:sz w:val="24"/>
          <w:highlight w:val="none"/>
        </w:rPr>
        <w:t>5.3.2</w:t>
      </w:r>
      <w:r>
        <w:rPr>
          <w:rFonts w:hint="eastAsia" w:ascii="宋体" w:hAnsi="宋体" w:cs="仿宋"/>
          <w:kern w:val="0"/>
          <w:sz w:val="24"/>
          <w:highlight w:val="none"/>
        </w:rPr>
        <w:t>正常工作</w:t>
      </w:r>
      <w:r>
        <w:rPr>
          <w:rFonts w:hint="eastAsia" w:ascii="宋体" w:hAnsi="宋体" w:cs="仿宋"/>
          <w:sz w:val="24"/>
          <w:highlight w:val="none"/>
        </w:rPr>
        <w:t>酬金的</w:t>
      </w:r>
      <w:r>
        <w:rPr>
          <w:rFonts w:hint="eastAsia" w:ascii="宋体" w:hAnsi="宋体" w:cs="仿宋"/>
          <w:kern w:val="0"/>
          <w:sz w:val="24"/>
          <w:highlight w:val="none"/>
        </w:rPr>
        <w:t>支付</w:t>
      </w:r>
      <w:r>
        <w:rPr>
          <w:rFonts w:hint="eastAsia" w:ascii="宋体" w:hAnsi="宋体" w:cs="仿宋"/>
          <w:sz w:val="24"/>
          <w:highlight w:val="none"/>
        </w:rPr>
        <w:t>：</w:t>
      </w:r>
    </w:p>
    <w:p>
      <w:pPr>
        <w:widowControl/>
        <w:spacing w:line="480" w:lineRule="exact"/>
        <w:ind w:firstLine="470" w:firstLineChars="196"/>
        <w:jc w:val="left"/>
        <w:rPr>
          <w:rFonts w:hint="eastAsia" w:ascii="宋体" w:hAnsi="宋体" w:cs="仿宋"/>
          <w:color w:val="FF0000"/>
          <w:sz w:val="24"/>
          <w:highlight w:val="none"/>
        </w:rPr>
      </w:pPr>
      <w:r>
        <w:rPr>
          <w:rFonts w:hint="eastAsia" w:ascii="宋体" w:hAnsi="宋体" w:cs="仿宋"/>
          <w:color w:val="FF0000"/>
          <w:sz w:val="24"/>
          <w:highlight w:val="none"/>
        </w:rPr>
        <w:t>（1）竣工验收合格后，支付暂估合同价×50%的监理费；</w:t>
      </w:r>
    </w:p>
    <w:p>
      <w:pPr>
        <w:widowControl/>
        <w:spacing w:line="480" w:lineRule="exact"/>
        <w:ind w:firstLine="470" w:firstLineChars="196"/>
        <w:jc w:val="left"/>
        <w:rPr>
          <w:rFonts w:hint="eastAsia" w:ascii="宋体" w:hAnsi="宋体" w:cs="仿宋"/>
          <w:color w:val="FF0000"/>
          <w:kern w:val="0"/>
          <w:sz w:val="24"/>
        </w:rPr>
      </w:pPr>
      <w:r>
        <w:rPr>
          <w:rFonts w:hint="eastAsia" w:ascii="宋体" w:hAnsi="宋体" w:cs="仿宋"/>
          <w:color w:val="FF0000"/>
          <w:sz w:val="24"/>
        </w:rPr>
        <w:t>（</w:t>
      </w:r>
      <w:r>
        <w:rPr>
          <w:rFonts w:hint="eastAsia" w:ascii="宋体" w:hAnsi="宋体" w:cs="仿宋"/>
          <w:color w:val="FF0000"/>
          <w:sz w:val="24"/>
          <w:lang w:val="en-US" w:eastAsia="zh-CN"/>
        </w:rPr>
        <w:t>2</w:t>
      </w:r>
      <w:r>
        <w:rPr>
          <w:rFonts w:hint="eastAsia" w:ascii="宋体" w:hAnsi="宋体" w:cs="仿宋"/>
          <w:color w:val="FF0000"/>
          <w:sz w:val="24"/>
        </w:rPr>
        <w:t>）完成工程竣工结算审计结束后，监理费付至95%。</w:t>
      </w:r>
      <w:r>
        <w:rPr>
          <w:rFonts w:hint="eastAsia" w:ascii="宋体" w:hAnsi="宋体" w:cs="仿宋"/>
          <w:color w:val="FF0000"/>
          <w:kern w:val="0"/>
          <w:sz w:val="24"/>
        </w:rPr>
        <w:t>若监理初审价与最终审计价误差率超过5%（含5%），核减监理费的3%。</w:t>
      </w:r>
    </w:p>
    <w:p>
      <w:pPr>
        <w:widowControl/>
        <w:spacing w:line="480" w:lineRule="exact"/>
        <w:ind w:firstLine="470" w:firstLineChars="196"/>
        <w:jc w:val="left"/>
        <w:rPr>
          <w:rFonts w:hint="eastAsia" w:ascii="宋体" w:hAnsi="宋体" w:cs="仿宋"/>
          <w:sz w:val="24"/>
        </w:rPr>
      </w:pPr>
      <w:r>
        <w:rPr>
          <w:rFonts w:hint="eastAsia" w:ascii="宋体" w:hAnsi="宋体" w:cs="仿宋"/>
          <w:color w:val="FF0000"/>
          <w:sz w:val="24"/>
        </w:rPr>
        <w:t>（</w:t>
      </w:r>
      <w:r>
        <w:rPr>
          <w:rFonts w:hint="eastAsia" w:ascii="宋体" w:hAnsi="宋体" w:cs="仿宋"/>
          <w:color w:val="FF0000"/>
          <w:sz w:val="24"/>
          <w:lang w:val="en-US" w:eastAsia="zh-CN"/>
        </w:rPr>
        <w:t>3</w:t>
      </w:r>
      <w:r>
        <w:rPr>
          <w:rFonts w:hint="eastAsia" w:ascii="宋体" w:hAnsi="宋体" w:cs="仿宋"/>
          <w:color w:val="FF0000"/>
          <w:sz w:val="24"/>
        </w:rPr>
        <w:t>）余款在工程质量保修期满后一次性付清（不计利息</w:t>
      </w:r>
      <w:r>
        <w:rPr>
          <w:rFonts w:hint="eastAsia" w:ascii="宋体" w:hAnsi="宋体" w:cs="仿宋"/>
          <w:sz w:val="24"/>
        </w:rPr>
        <w:t>）。</w:t>
      </w:r>
    </w:p>
    <w:p>
      <w:pPr>
        <w:autoSpaceDE w:val="0"/>
        <w:autoSpaceDN w:val="0"/>
        <w:adjustRightInd w:val="0"/>
        <w:spacing w:line="480" w:lineRule="exact"/>
        <w:ind w:firstLine="480" w:firstLineChars="200"/>
        <w:jc w:val="left"/>
        <w:rPr>
          <w:rFonts w:hint="eastAsia" w:ascii="宋体" w:hAnsi="宋体" w:cs="仿宋"/>
          <w:b/>
          <w:bCs/>
          <w:kern w:val="0"/>
          <w:sz w:val="24"/>
        </w:rPr>
      </w:pPr>
      <w:r>
        <w:rPr>
          <w:rFonts w:hint="eastAsia" w:ascii="宋体" w:hAnsi="宋体" w:cs="仿宋"/>
          <w:sz w:val="24"/>
        </w:rPr>
        <w:t>（</w:t>
      </w:r>
      <w:r>
        <w:rPr>
          <w:rFonts w:hint="eastAsia" w:ascii="宋体" w:hAnsi="宋体" w:cs="仿宋"/>
          <w:sz w:val="24"/>
          <w:lang w:val="en-US" w:eastAsia="zh-CN"/>
        </w:rPr>
        <w:t>4</w:t>
      </w:r>
      <w:r>
        <w:rPr>
          <w:rFonts w:hint="eastAsia" w:ascii="宋体" w:hAnsi="宋体" w:cs="仿宋"/>
          <w:sz w:val="24"/>
        </w:rPr>
        <w:t>）暂估合同价计算</w:t>
      </w:r>
      <w:r>
        <w:rPr>
          <w:rFonts w:ascii="宋体" w:hAnsi="宋体" w:cs="仿宋"/>
          <w:sz w:val="24"/>
        </w:rPr>
        <w:t>时，</w:t>
      </w:r>
      <w:r>
        <w:rPr>
          <w:rFonts w:hint="eastAsia" w:ascii="宋体" w:hAnsi="宋体" w:cs="仿宋"/>
          <w:sz w:val="24"/>
        </w:rPr>
        <w:t>监理服务收费基价的计费额暂按</w:t>
      </w:r>
      <w:r>
        <w:rPr>
          <w:rFonts w:hint="eastAsia" w:ascii="宋体" w:hAnsi="宋体" w:cs="仿宋"/>
          <w:kern w:val="0"/>
          <w:sz w:val="24"/>
        </w:rPr>
        <w:t>施工单位工程</w:t>
      </w:r>
      <w:r>
        <w:rPr>
          <w:rFonts w:hint="eastAsia" w:ascii="宋体" w:hAnsi="宋体" w:cs="仿宋"/>
          <w:sz w:val="24"/>
        </w:rPr>
        <w:t>中标价计算。监理服务收费最终按监理服务范围结算审定价为计费额扣除各种违约罚款相应调整。结算监理酬金中已包含保修阶段的服务酬金。</w:t>
      </w:r>
    </w:p>
    <w:p>
      <w:pPr>
        <w:widowControl/>
        <w:spacing w:line="480" w:lineRule="exact"/>
        <w:ind w:firstLine="470" w:firstLineChars="196"/>
        <w:jc w:val="left"/>
        <w:rPr>
          <w:rFonts w:hint="eastAsia" w:ascii="宋体" w:hAnsi="宋体" w:cs="仿宋"/>
          <w:sz w:val="24"/>
        </w:rPr>
      </w:pPr>
      <w:r>
        <w:rPr>
          <w:rFonts w:hint="eastAsia" w:ascii="宋体" w:hAnsi="宋体" w:cs="仿宋"/>
          <w:sz w:val="24"/>
        </w:rPr>
        <w:t>每次付款前需按照增值税相关规定,由监理人填写资金拨付申请报表交委托人汇总并上报,待批准后付款，同时提供项目属地税务部门开具的发票。</w:t>
      </w:r>
    </w:p>
    <w:p>
      <w:pPr>
        <w:autoSpaceDE w:val="0"/>
        <w:autoSpaceDN w:val="0"/>
        <w:adjustRightInd w:val="0"/>
        <w:spacing w:line="400" w:lineRule="exact"/>
        <w:ind w:firstLine="602" w:firstLineChars="250"/>
        <w:jc w:val="left"/>
        <w:rPr>
          <w:rFonts w:ascii="宋体" w:hAnsi="宋体" w:cs="宋体"/>
          <w:b/>
          <w:bCs/>
          <w:kern w:val="0"/>
          <w:sz w:val="24"/>
        </w:rPr>
      </w:pPr>
      <w:r>
        <w:rPr>
          <w:rFonts w:hint="eastAsia" w:ascii="宋体" w:hAnsi="宋体" w:cs="宋体"/>
          <w:b/>
          <w:kern w:val="0"/>
          <w:sz w:val="24"/>
        </w:rPr>
        <w:t>5.3.3</w:t>
      </w:r>
      <w:r>
        <w:rPr>
          <w:rFonts w:hint="eastAsia" w:ascii="宋体" w:hAnsi="宋体" w:cs="宋体"/>
          <w:b/>
          <w:sz w:val="24"/>
        </w:rPr>
        <w:t>工期延长的，委托人不支付附加工作报酬</w:t>
      </w:r>
      <w:r>
        <w:rPr>
          <w:rFonts w:hint="eastAsia" w:ascii="宋体" w:hAnsi="宋体" w:cs="宋体"/>
          <w:b/>
          <w:bCs/>
          <w:kern w:val="0"/>
          <w:sz w:val="24"/>
        </w:rPr>
        <w:t>。</w:t>
      </w:r>
    </w:p>
    <w:p>
      <w:pPr>
        <w:keepNext/>
        <w:keepLines/>
        <w:spacing w:before="20" w:after="20" w:line="400" w:lineRule="exact"/>
        <w:outlineLvl w:val="2"/>
        <w:rPr>
          <w:rFonts w:ascii="宋体" w:hAnsi="宋体" w:cs="宋体"/>
          <w:bCs/>
          <w:kern w:val="0"/>
          <w:sz w:val="24"/>
        </w:rPr>
      </w:pPr>
      <w:bookmarkStart w:id="243" w:name="_Toc18450"/>
      <w:bookmarkStart w:id="244" w:name="_Toc66888535"/>
      <w:bookmarkStart w:id="245" w:name="_Toc9194611"/>
      <w:bookmarkStart w:id="246" w:name="_Toc398111707"/>
      <w:bookmarkStart w:id="247" w:name="_Toc71830946"/>
      <w:bookmarkStart w:id="248" w:name="_Toc66888642"/>
      <w:r>
        <w:rPr>
          <w:rFonts w:hint="eastAsia" w:ascii="宋体" w:hAnsi="宋体" w:cs="宋体"/>
          <w:bCs/>
          <w:kern w:val="0"/>
          <w:sz w:val="24"/>
        </w:rPr>
        <w:t>6. 合同生效、变更、暂停、解除与终止</w:t>
      </w:r>
      <w:bookmarkEnd w:id="243"/>
      <w:bookmarkEnd w:id="244"/>
      <w:bookmarkEnd w:id="245"/>
      <w:bookmarkEnd w:id="246"/>
      <w:bookmarkEnd w:id="247"/>
      <w:bookmarkEnd w:id="248"/>
    </w:p>
    <w:p>
      <w:pPr>
        <w:adjustRightInd w:val="0"/>
        <w:snapToGrid w:val="0"/>
        <w:spacing w:line="400" w:lineRule="exact"/>
        <w:ind w:firstLine="240" w:firstLineChars="100"/>
        <w:rPr>
          <w:rFonts w:ascii="宋体" w:hAnsi="宋体" w:cs="宋体"/>
          <w:sz w:val="24"/>
        </w:rPr>
      </w:pPr>
      <w:r>
        <w:rPr>
          <w:rFonts w:hint="eastAsia" w:ascii="宋体" w:hAnsi="宋体" w:cs="宋体"/>
          <w:sz w:val="24"/>
        </w:rPr>
        <w:t>6.1 生效</w:t>
      </w:r>
    </w:p>
    <w:p>
      <w:pPr>
        <w:adjustRightInd w:val="0"/>
        <w:snapToGrid w:val="0"/>
        <w:spacing w:line="400" w:lineRule="exact"/>
        <w:ind w:firstLine="480"/>
        <w:rPr>
          <w:rFonts w:ascii="宋体" w:hAnsi="宋体" w:cs="宋体"/>
          <w:sz w:val="24"/>
        </w:rPr>
      </w:pPr>
      <w:r>
        <w:rPr>
          <w:rFonts w:hint="eastAsia" w:ascii="宋体" w:hAnsi="宋体" w:cs="宋体"/>
          <w:sz w:val="24"/>
        </w:rPr>
        <w:t>本合同生效条件：</w:t>
      </w:r>
      <w:r>
        <w:rPr>
          <w:rFonts w:hint="eastAsia" w:ascii="宋体" w:hAnsi="宋体" w:cs="宋体"/>
          <w:sz w:val="24"/>
          <w:u w:val="single"/>
        </w:rPr>
        <w:t>监理人交纳履约保证金，且双方签字并盖章</w:t>
      </w:r>
      <w:r>
        <w:rPr>
          <w:rFonts w:hint="eastAsia" w:ascii="宋体" w:hAnsi="宋体" w:cs="宋体"/>
          <w:sz w:val="24"/>
        </w:rPr>
        <w:t>。</w:t>
      </w:r>
    </w:p>
    <w:p>
      <w:pPr>
        <w:adjustRightInd w:val="0"/>
        <w:snapToGrid w:val="0"/>
        <w:spacing w:line="400" w:lineRule="exact"/>
        <w:ind w:firstLine="235" w:firstLineChars="98"/>
        <w:rPr>
          <w:rFonts w:ascii="宋体" w:hAnsi="宋体" w:cs="宋体"/>
          <w:sz w:val="24"/>
        </w:rPr>
      </w:pPr>
      <w:r>
        <w:rPr>
          <w:rFonts w:hint="eastAsia" w:ascii="宋体" w:hAnsi="宋体" w:cs="宋体"/>
          <w:sz w:val="24"/>
        </w:rPr>
        <w:t>6.2 变更</w:t>
      </w:r>
    </w:p>
    <w:p>
      <w:pPr>
        <w:adjustRightInd w:val="0"/>
        <w:snapToGrid w:val="0"/>
        <w:spacing w:line="400" w:lineRule="exact"/>
        <w:ind w:firstLine="480" w:firstLineChars="200"/>
        <w:rPr>
          <w:rFonts w:ascii="宋体" w:hAnsi="宋体" w:cs="宋体"/>
          <w:sz w:val="24"/>
        </w:rPr>
      </w:pPr>
      <w:bookmarkStart w:id="249" w:name="_Toc31340"/>
      <w:bookmarkStart w:id="250" w:name="_Toc398111708"/>
      <w:bookmarkStart w:id="251" w:name="_Toc9194612"/>
      <w:r>
        <w:rPr>
          <w:rFonts w:hint="eastAsia" w:ascii="宋体" w:hAnsi="宋体" w:cs="宋体"/>
          <w:sz w:val="24"/>
        </w:rPr>
        <w:t>6.2.2 除不可抗力外， 因非监理人原因导致本合同期限延长时，附加工作酬金按下列方法确定：</w:t>
      </w:r>
      <w:r>
        <w:rPr>
          <w:rFonts w:hint="eastAsia" w:ascii="宋体" w:hAnsi="宋体" w:cs="宋体"/>
          <w:sz w:val="24"/>
          <w:u w:val="single"/>
        </w:rPr>
        <w:t xml:space="preserve">  无  </w:t>
      </w:r>
      <w:r>
        <w:rPr>
          <w:rFonts w:hint="eastAsia" w:ascii="宋体" w:hAnsi="宋体" w:cs="宋体"/>
          <w:sz w:val="24"/>
        </w:rPr>
        <w:t>。</w:t>
      </w:r>
    </w:p>
    <w:p>
      <w:pPr>
        <w:snapToGrid w:val="0"/>
        <w:spacing w:line="400" w:lineRule="exact"/>
        <w:ind w:firstLine="480" w:firstLineChars="200"/>
        <w:rPr>
          <w:rFonts w:ascii="宋体" w:hAnsi="宋体" w:cs="宋体"/>
          <w:sz w:val="24"/>
        </w:rPr>
      </w:pPr>
      <w:r>
        <w:rPr>
          <w:rFonts w:hint="eastAsia" w:ascii="宋体" w:hAnsi="宋体" w:cs="宋体"/>
          <w:sz w:val="24"/>
        </w:rPr>
        <w:t>6.2.3附加工作酬金按下列方法确定：</w:t>
      </w:r>
      <w:r>
        <w:rPr>
          <w:rFonts w:hint="eastAsia" w:ascii="宋体" w:hAnsi="宋体" w:cs="宋体"/>
          <w:sz w:val="24"/>
          <w:u w:val="single"/>
        </w:rPr>
        <w:t xml:space="preserve">  无  </w:t>
      </w:r>
      <w:r>
        <w:rPr>
          <w:rFonts w:hint="eastAsia" w:ascii="宋体" w:hAnsi="宋体" w:cs="宋体"/>
          <w:sz w:val="24"/>
        </w:rPr>
        <w:t>。</w:t>
      </w:r>
    </w:p>
    <w:p>
      <w:pPr>
        <w:snapToGrid w:val="0"/>
        <w:spacing w:line="400" w:lineRule="exact"/>
        <w:ind w:firstLine="480" w:firstLineChars="200"/>
        <w:rPr>
          <w:rFonts w:ascii="宋体" w:hAnsi="宋体" w:cs="宋体"/>
          <w:sz w:val="24"/>
        </w:rPr>
      </w:pPr>
      <w:r>
        <w:rPr>
          <w:rFonts w:hint="eastAsia" w:ascii="宋体" w:hAnsi="宋体" w:cs="宋体"/>
          <w:sz w:val="24"/>
        </w:rPr>
        <w:t xml:space="preserve">6.2.5 正常工作酬金增加额按下列方法确定： </w:t>
      </w:r>
    </w:p>
    <w:p>
      <w:pPr>
        <w:adjustRightInd w:val="0"/>
        <w:snapToGrid w:val="0"/>
        <w:spacing w:line="400" w:lineRule="exact"/>
        <w:ind w:firstLine="480"/>
        <w:rPr>
          <w:rFonts w:ascii="宋体" w:hAnsi="宋体" w:cs="宋体"/>
          <w:kern w:val="0"/>
          <w:sz w:val="24"/>
        </w:rPr>
      </w:pPr>
      <w:r>
        <w:rPr>
          <w:rFonts w:hint="eastAsia" w:ascii="宋体" w:hAnsi="宋体" w:cs="宋体"/>
          <w:sz w:val="24"/>
        </w:rPr>
        <w:t>正常工作酬金增加额</w:t>
      </w:r>
      <w:r>
        <w:rPr>
          <w:rFonts w:hint="eastAsia" w:ascii="宋体" w:hAnsi="宋体" w:cs="宋体"/>
          <w:kern w:val="0"/>
          <w:sz w:val="24"/>
        </w:rPr>
        <w:t>=工程投资额</w:t>
      </w:r>
      <w:r>
        <w:rPr>
          <w:rFonts w:hint="eastAsia" w:ascii="宋体" w:hAnsi="宋体" w:cs="宋体"/>
          <w:sz w:val="24"/>
        </w:rPr>
        <w:t>或建筑安装工程费</w:t>
      </w:r>
      <w:r>
        <w:rPr>
          <w:rFonts w:hint="eastAsia" w:ascii="宋体" w:hAnsi="宋体" w:cs="宋体"/>
          <w:kern w:val="0"/>
          <w:sz w:val="24"/>
        </w:rPr>
        <w:t>增加额×正常工作酬金÷工程概算投资额（或建筑安装工程费）</w:t>
      </w:r>
    </w:p>
    <w:p>
      <w:pPr>
        <w:snapToGrid w:val="0"/>
        <w:spacing w:line="400" w:lineRule="exact"/>
        <w:ind w:firstLine="480" w:firstLineChars="200"/>
        <w:rPr>
          <w:rFonts w:ascii="宋体" w:hAnsi="宋体" w:cs="宋体"/>
          <w:sz w:val="24"/>
        </w:rPr>
      </w:pPr>
      <w:r>
        <w:rPr>
          <w:rFonts w:hint="eastAsia" w:ascii="宋体" w:hAnsi="宋体" w:cs="宋体"/>
          <w:sz w:val="24"/>
        </w:rPr>
        <w:t>6.2.6 因工程规模、监理范围的变化导致监理人的正常工作量减少时，按减少工作量的比例从协议书约定的正常工作酬金中扣减相同比例的酬金。</w:t>
      </w:r>
    </w:p>
    <w:p>
      <w:pPr>
        <w:keepNext/>
        <w:keepLines/>
        <w:spacing w:before="20" w:after="20" w:line="400" w:lineRule="exact"/>
        <w:outlineLvl w:val="2"/>
        <w:rPr>
          <w:rFonts w:ascii="宋体" w:hAnsi="宋体" w:cs="宋体"/>
          <w:bCs/>
          <w:kern w:val="0"/>
          <w:sz w:val="24"/>
        </w:rPr>
      </w:pPr>
      <w:bookmarkStart w:id="252" w:name="_Toc66888643"/>
      <w:bookmarkStart w:id="253" w:name="_Toc66888536"/>
      <w:bookmarkStart w:id="254" w:name="_Toc71830947"/>
      <w:r>
        <w:rPr>
          <w:rFonts w:hint="eastAsia" w:ascii="宋体" w:hAnsi="宋体" w:cs="宋体"/>
          <w:bCs/>
          <w:kern w:val="0"/>
          <w:sz w:val="24"/>
        </w:rPr>
        <w:t>7. 争议解决</w:t>
      </w:r>
      <w:bookmarkEnd w:id="249"/>
      <w:bookmarkEnd w:id="250"/>
      <w:bookmarkEnd w:id="251"/>
      <w:bookmarkEnd w:id="252"/>
      <w:bookmarkEnd w:id="253"/>
      <w:bookmarkEnd w:id="254"/>
    </w:p>
    <w:p>
      <w:pPr>
        <w:snapToGrid w:val="0"/>
        <w:spacing w:line="400" w:lineRule="exact"/>
        <w:ind w:firstLine="235" w:firstLineChars="98"/>
        <w:rPr>
          <w:rFonts w:ascii="宋体" w:hAnsi="宋体" w:cs="宋体"/>
          <w:sz w:val="24"/>
        </w:rPr>
      </w:pPr>
      <w:r>
        <w:rPr>
          <w:rFonts w:hint="eastAsia" w:ascii="宋体" w:hAnsi="宋体" w:cs="宋体"/>
          <w:sz w:val="24"/>
        </w:rPr>
        <w:t xml:space="preserve">7.1 </w:t>
      </w:r>
      <w:r>
        <w:rPr>
          <w:rFonts w:hint="eastAsia" w:ascii="宋体" w:hAnsi="宋体" w:cs="宋体"/>
          <w:bCs/>
          <w:sz w:val="24"/>
        </w:rPr>
        <w:t>调解</w:t>
      </w:r>
    </w:p>
    <w:p>
      <w:pPr>
        <w:snapToGrid w:val="0"/>
        <w:spacing w:line="400" w:lineRule="exact"/>
        <w:ind w:firstLine="470" w:firstLineChars="196"/>
        <w:rPr>
          <w:rFonts w:ascii="宋体" w:hAnsi="宋体" w:cs="宋体"/>
          <w:sz w:val="24"/>
        </w:rPr>
      </w:pPr>
      <w:r>
        <w:rPr>
          <w:rFonts w:hint="eastAsia" w:ascii="宋体" w:hAnsi="宋体" w:cs="宋体"/>
          <w:sz w:val="24"/>
        </w:rPr>
        <w:t>本合同争议进行调解时，可提交</w:t>
      </w:r>
      <w:r>
        <w:rPr>
          <w:rFonts w:hint="eastAsia" w:ascii="宋体" w:hAnsi="宋体" w:cs="宋体"/>
          <w:sz w:val="24"/>
          <w:u w:val="single"/>
        </w:rPr>
        <w:t xml:space="preserve">  /   </w:t>
      </w:r>
      <w:r>
        <w:rPr>
          <w:rFonts w:hint="eastAsia" w:ascii="宋体" w:hAnsi="宋体" w:cs="宋体"/>
          <w:sz w:val="24"/>
        </w:rPr>
        <w:t>进行调解。</w:t>
      </w:r>
    </w:p>
    <w:p>
      <w:pPr>
        <w:snapToGrid w:val="0"/>
        <w:spacing w:line="400" w:lineRule="exact"/>
        <w:ind w:firstLine="235" w:firstLineChars="98"/>
        <w:rPr>
          <w:rFonts w:ascii="宋体" w:hAnsi="宋体" w:cs="宋体"/>
          <w:sz w:val="24"/>
        </w:rPr>
      </w:pPr>
      <w:r>
        <w:rPr>
          <w:rFonts w:hint="eastAsia" w:ascii="宋体" w:hAnsi="宋体" w:cs="宋体"/>
          <w:sz w:val="24"/>
        </w:rPr>
        <w:t xml:space="preserve">7.2 </w:t>
      </w:r>
      <w:r>
        <w:rPr>
          <w:rFonts w:hint="eastAsia" w:ascii="宋体" w:hAnsi="宋体" w:cs="宋体"/>
          <w:bCs/>
          <w:sz w:val="24"/>
        </w:rPr>
        <w:t>仲裁或诉讼</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合同争议的最终解决方式为下列第</w:t>
      </w:r>
      <w:r>
        <w:rPr>
          <w:rFonts w:hint="eastAsia" w:ascii="宋体" w:hAnsi="宋体" w:cs="宋体"/>
          <w:sz w:val="24"/>
          <w:u w:val="single"/>
        </w:rPr>
        <w:t xml:space="preserve">    (2)    </w:t>
      </w:r>
      <w:r>
        <w:rPr>
          <w:rFonts w:hint="eastAsia" w:ascii="宋体" w:hAnsi="宋体" w:cs="宋体"/>
          <w:sz w:val="24"/>
        </w:rPr>
        <w:t>种方式：</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（1）提请</w:t>
      </w:r>
      <w:r>
        <w:rPr>
          <w:rFonts w:hint="eastAsia" w:ascii="宋体" w:hAnsi="宋体" w:cs="宋体"/>
          <w:sz w:val="24"/>
          <w:u w:val="single"/>
        </w:rPr>
        <w:t xml:space="preserve">        </w:t>
      </w:r>
      <w:r>
        <w:rPr>
          <w:rFonts w:hint="eastAsia" w:ascii="宋体" w:hAnsi="宋体" w:cs="宋体"/>
          <w:sz w:val="24"/>
        </w:rPr>
        <w:t>仲裁委员会进行仲裁。</w:t>
      </w:r>
    </w:p>
    <w:p>
      <w:pPr>
        <w:adjustRightInd w:val="0"/>
        <w:snapToGrid w:val="0"/>
        <w:spacing w:line="400" w:lineRule="exact"/>
        <w:ind w:firstLine="480" w:firstLineChars="200"/>
        <w:rPr>
          <w:rFonts w:ascii="宋体" w:hAnsi="宋体" w:cs="宋体"/>
          <w:sz w:val="24"/>
        </w:rPr>
      </w:pPr>
      <w:r>
        <w:rPr>
          <w:rFonts w:hint="eastAsia" w:ascii="宋体" w:hAnsi="宋体" w:cs="宋体"/>
          <w:sz w:val="24"/>
        </w:rPr>
        <w:t>（2）向</w:t>
      </w:r>
      <w:r>
        <w:rPr>
          <w:rFonts w:hint="eastAsia" w:ascii="宋体" w:hAnsi="宋体" w:cs="宋体"/>
          <w:sz w:val="24"/>
          <w:u w:val="single"/>
        </w:rPr>
        <w:t xml:space="preserve">  工程所在地   </w:t>
      </w:r>
      <w:r>
        <w:rPr>
          <w:rFonts w:hint="eastAsia" w:ascii="宋体" w:hAnsi="宋体" w:cs="宋体"/>
          <w:sz w:val="24"/>
        </w:rPr>
        <w:t>人民法院提起诉讼。</w:t>
      </w:r>
    </w:p>
    <w:p>
      <w:pPr>
        <w:keepNext/>
        <w:keepLines/>
        <w:spacing w:before="20" w:after="20" w:line="400" w:lineRule="exact"/>
        <w:outlineLvl w:val="2"/>
        <w:rPr>
          <w:rFonts w:ascii="宋体" w:hAnsi="宋体" w:cs="宋体"/>
          <w:bCs/>
          <w:kern w:val="0"/>
          <w:sz w:val="24"/>
        </w:rPr>
      </w:pPr>
      <w:bookmarkStart w:id="255" w:name="_Toc9194613"/>
      <w:bookmarkStart w:id="256" w:name="_Toc71830948"/>
      <w:bookmarkStart w:id="257" w:name="_Toc66888537"/>
      <w:bookmarkStart w:id="258" w:name="_Toc66888644"/>
      <w:bookmarkStart w:id="259" w:name="_Toc398111709"/>
      <w:bookmarkStart w:id="260" w:name="_Toc18239"/>
      <w:r>
        <w:rPr>
          <w:rFonts w:hint="eastAsia" w:ascii="宋体" w:hAnsi="宋体" w:cs="宋体"/>
          <w:bCs/>
          <w:kern w:val="0"/>
          <w:sz w:val="24"/>
        </w:rPr>
        <w:t>8. 其他</w:t>
      </w:r>
      <w:bookmarkEnd w:id="255"/>
      <w:bookmarkEnd w:id="256"/>
      <w:bookmarkEnd w:id="257"/>
      <w:bookmarkEnd w:id="258"/>
      <w:bookmarkEnd w:id="259"/>
      <w:bookmarkEnd w:id="260"/>
    </w:p>
    <w:p>
      <w:pPr>
        <w:adjustRightInd w:val="0"/>
        <w:snapToGrid w:val="0"/>
        <w:spacing w:line="400" w:lineRule="exact"/>
        <w:rPr>
          <w:rFonts w:ascii="宋体" w:hAnsi="宋体" w:cs="宋体"/>
          <w:bCs/>
          <w:sz w:val="24"/>
        </w:rPr>
      </w:pPr>
      <w:r>
        <w:rPr>
          <w:rFonts w:hint="eastAsia" w:ascii="宋体" w:hAnsi="宋体" w:cs="宋体"/>
          <w:b/>
          <w:bCs/>
          <w:sz w:val="24"/>
        </w:rPr>
        <w:t xml:space="preserve">  </w:t>
      </w:r>
      <w:r>
        <w:rPr>
          <w:rFonts w:hint="eastAsia" w:ascii="宋体" w:hAnsi="宋体" w:cs="宋体"/>
          <w:bCs/>
          <w:sz w:val="24"/>
        </w:rPr>
        <w:t>8.2 检测费用</w:t>
      </w:r>
    </w:p>
    <w:p>
      <w:pPr>
        <w:adjustRightInd w:val="0"/>
        <w:snapToGrid w:val="0"/>
        <w:spacing w:line="400" w:lineRule="exact"/>
        <w:ind w:firstLine="465"/>
        <w:rPr>
          <w:rFonts w:ascii="宋体" w:hAnsi="宋体" w:cs="宋体"/>
          <w:bCs/>
          <w:sz w:val="24"/>
        </w:rPr>
      </w:pPr>
      <w:r>
        <w:rPr>
          <w:rFonts w:hint="eastAsia" w:ascii="宋体" w:hAnsi="宋体" w:cs="宋体"/>
          <w:bCs/>
          <w:sz w:val="24"/>
        </w:rPr>
        <w:t>委托人应在检测工作完成后</w:t>
      </w:r>
      <w:r>
        <w:rPr>
          <w:rFonts w:hint="eastAsia" w:ascii="宋体" w:hAnsi="宋体" w:cs="宋体"/>
          <w:sz w:val="24"/>
          <w:u w:val="single"/>
        </w:rPr>
        <w:t xml:space="preserve">  /   </w:t>
      </w:r>
      <w:r>
        <w:rPr>
          <w:rFonts w:hint="eastAsia" w:ascii="宋体" w:hAnsi="宋体" w:cs="宋体"/>
          <w:bCs/>
          <w:sz w:val="24"/>
        </w:rPr>
        <w:t>天内支付检测费用。</w:t>
      </w:r>
    </w:p>
    <w:p>
      <w:pPr>
        <w:adjustRightInd w:val="0"/>
        <w:snapToGrid w:val="0"/>
        <w:spacing w:line="400" w:lineRule="exact"/>
        <w:rPr>
          <w:rFonts w:ascii="宋体" w:hAnsi="宋体" w:cs="宋体"/>
          <w:bCs/>
          <w:sz w:val="24"/>
        </w:rPr>
      </w:pPr>
      <w:r>
        <w:rPr>
          <w:rFonts w:hint="eastAsia" w:ascii="宋体" w:hAnsi="宋体" w:cs="宋体"/>
          <w:bCs/>
          <w:sz w:val="24"/>
        </w:rPr>
        <w:t xml:space="preserve">  8.3咨询费用</w:t>
      </w:r>
    </w:p>
    <w:p>
      <w:pPr>
        <w:adjustRightInd w:val="0"/>
        <w:snapToGrid w:val="0"/>
        <w:spacing w:line="400" w:lineRule="exact"/>
        <w:ind w:firstLine="465"/>
        <w:rPr>
          <w:rFonts w:ascii="宋体" w:hAnsi="宋体" w:cs="宋体"/>
          <w:bCs/>
          <w:sz w:val="24"/>
        </w:rPr>
      </w:pPr>
      <w:r>
        <w:rPr>
          <w:rFonts w:hint="eastAsia" w:ascii="宋体" w:hAnsi="宋体" w:cs="宋体"/>
          <w:bCs/>
          <w:sz w:val="24"/>
        </w:rPr>
        <w:t>委托人应在咨询工作完成后</w:t>
      </w:r>
      <w:r>
        <w:rPr>
          <w:rFonts w:hint="eastAsia" w:ascii="宋体" w:hAnsi="宋体" w:cs="宋体"/>
          <w:sz w:val="24"/>
          <w:u w:val="single"/>
        </w:rPr>
        <w:t xml:space="preserve">   /  </w:t>
      </w:r>
      <w:r>
        <w:rPr>
          <w:rFonts w:hint="eastAsia" w:ascii="宋体" w:hAnsi="宋体" w:cs="宋体"/>
          <w:bCs/>
          <w:sz w:val="24"/>
        </w:rPr>
        <w:t>天内支付咨询费用。</w:t>
      </w:r>
    </w:p>
    <w:p>
      <w:pPr>
        <w:adjustRightInd w:val="0"/>
        <w:snapToGrid w:val="0"/>
        <w:spacing w:line="400" w:lineRule="exact"/>
        <w:rPr>
          <w:rFonts w:ascii="宋体" w:hAnsi="宋体" w:cs="宋体"/>
          <w:bCs/>
          <w:sz w:val="24"/>
        </w:rPr>
      </w:pPr>
      <w:r>
        <w:rPr>
          <w:rFonts w:hint="eastAsia" w:ascii="宋体" w:hAnsi="宋体" w:cs="宋体"/>
          <w:bCs/>
          <w:sz w:val="24"/>
        </w:rPr>
        <w:t xml:space="preserve">  8.4 奖励</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合理化建议的奖励金额按下列方法确定为：</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奖励金额＝工程投资节省额×奖励金额的比率；</w:t>
      </w:r>
    </w:p>
    <w:p>
      <w:pPr>
        <w:adjustRightInd w:val="0"/>
        <w:snapToGrid w:val="0"/>
        <w:spacing w:line="400" w:lineRule="exact"/>
        <w:ind w:firstLine="480" w:firstLineChars="200"/>
        <w:rPr>
          <w:rFonts w:ascii="宋体" w:hAnsi="宋体" w:cs="宋体"/>
          <w:bCs/>
          <w:sz w:val="24"/>
        </w:rPr>
      </w:pPr>
      <w:r>
        <w:rPr>
          <w:rFonts w:hint="eastAsia" w:ascii="宋体" w:hAnsi="宋体" w:cs="宋体"/>
          <w:bCs/>
          <w:sz w:val="24"/>
        </w:rPr>
        <w:t>奖励金额的比率为</w:t>
      </w:r>
      <w:r>
        <w:rPr>
          <w:rFonts w:hint="eastAsia" w:ascii="宋体" w:hAnsi="宋体" w:cs="宋体"/>
          <w:bCs/>
          <w:sz w:val="24"/>
          <w:u w:val="single"/>
        </w:rPr>
        <w:t xml:space="preserve">   /   </w:t>
      </w:r>
      <w:r>
        <w:rPr>
          <w:rFonts w:hint="eastAsia" w:ascii="宋体" w:hAnsi="宋体" w:cs="宋体"/>
          <w:bCs/>
          <w:sz w:val="24"/>
        </w:rPr>
        <w:t>%。</w:t>
      </w:r>
    </w:p>
    <w:p>
      <w:pPr>
        <w:adjustRightInd w:val="0"/>
        <w:snapToGrid w:val="0"/>
        <w:spacing w:line="400" w:lineRule="exact"/>
        <w:ind w:firstLine="235" w:firstLineChars="98"/>
        <w:rPr>
          <w:rFonts w:ascii="宋体" w:hAnsi="宋体" w:cs="宋体"/>
          <w:sz w:val="24"/>
        </w:rPr>
      </w:pPr>
      <w:r>
        <w:rPr>
          <w:rFonts w:hint="eastAsia" w:ascii="宋体" w:hAnsi="宋体" w:cs="宋体"/>
          <w:sz w:val="24"/>
        </w:rPr>
        <w:t>8.6保密</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rPr>
        <w:t>委托人申明的保密事项和期限：</w:t>
      </w:r>
      <w:r>
        <w:rPr>
          <w:rFonts w:hint="eastAsia" w:ascii="宋体" w:hAnsi="宋体" w:cs="宋体"/>
          <w:sz w:val="24"/>
          <w:u w:val="single"/>
        </w:rPr>
        <w:t xml:space="preserve"> 委托方与施工单位签订的施工合同，本合同结束前</w:t>
      </w:r>
      <w:r>
        <w:rPr>
          <w:rFonts w:hint="eastAsia" w:ascii="宋体" w:hAnsi="宋体" w:cs="宋体"/>
          <w:sz w:val="24"/>
        </w:rPr>
        <w:t>。</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rPr>
        <w:t>监理人申明的保密事项和期限：</w:t>
      </w:r>
      <w:r>
        <w:rPr>
          <w:rFonts w:hint="eastAsia" w:ascii="宋体" w:hAnsi="宋体" w:cs="宋体"/>
          <w:sz w:val="24"/>
          <w:u w:val="single"/>
        </w:rPr>
        <w:t xml:space="preserve">                  /       </w:t>
      </w:r>
      <w:r>
        <w:rPr>
          <w:rFonts w:hint="eastAsia" w:ascii="宋体" w:hAnsi="宋体" w:cs="宋体"/>
          <w:sz w:val="24"/>
        </w:rPr>
        <w:t>。</w:t>
      </w:r>
    </w:p>
    <w:p>
      <w:pPr>
        <w:adjustRightInd w:val="0"/>
        <w:snapToGrid w:val="0"/>
        <w:spacing w:line="400" w:lineRule="exact"/>
        <w:ind w:firstLine="480" w:firstLineChars="200"/>
        <w:rPr>
          <w:rFonts w:ascii="宋体" w:hAnsi="宋体" w:cs="宋体"/>
          <w:sz w:val="24"/>
          <w:u w:val="single"/>
        </w:rPr>
      </w:pPr>
      <w:r>
        <w:rPr>
          <w:rFonts w:hint="eastAsia" w:ascii="宋体" w:hAnsi="宋体" w:cs="宋体"/>
          <w:sz w:val="24"/>
        </w:rPr>
        <w:t>第三方申明的保密事项和期限：</w:t>
      </w:r>
      <w:r>
        <w:rPr>
          <w:rFonts w:hint="eastAsia" w:ascii="宋体" w:hAnsi="宋体" w:cs="宋体"/>
          <w:sz w:val="24"/>
          <w:u w:val="single"/>
        </w:rPr>
        <w:t xml:space="preserve">                /         </w:t>
      </w:r>
      <w:r>
        <w:rPr>
          <w:rFonts w:hint="eastAsia" w:ascii="宋体" w:hAnsi="宋体" w:cs="宋体"/>
          <w:sz w:val="24"/>
        </w:rPr>
        <w:t>。</w:t>
      </w:r>
    </w:p>
    <w:p>
      <w:pPr>
        <w:snapToGrid w:val="0"/>
        <w:spacing w:line="400" w:lineRule="exact"/>
        <w:ind w:firstLine="235" w:firstLineChars="98"/>
        <w:rPr>
          <w:rFonts w:ascii="宋体" w:hAnsi="宋体" w:cs="宋体"/>
          <w:bCs/>
          <w:sz w:val="24"/>
        </w:rPr>
      </w:pPr>
      <w:r>
        <w:rPr>
          <w:rFonts w:hint="eastAsia" w:ascii="宋体" w:hAnsi="宋体" w:cs="宋体"/>
          <w:sz w:val="24"/>
        </w:rPr>
        <w:t>8.8</w:t>
      </w:r>
      <w:r>
        <w:rPr>
          <w:rFonts w:hint="eastAsia" w:ascii="宋体" w:hAnsi="宋体" w:cs="宋体"/>
          <w:bCs/>
          <w:sz w:val="24"/>
        </w:rPr>
        <w:t>著作权</w:t>
      </w:r>
    </w:p>
    <w:p>
      <w:pPr>
        <w:adjustRightInd w:val="0"/>
        <w:snapToGrid w:val="0"/>
        <w:spacing w:before="156" w:beforeLines="50" w:after="156" w:afterLines="50" w:line="400" w:lineRule="exact"/>
        <w:ind w:firstLine="480" w:firstLineChars="200"/>
        <w:rPr>
          <w:rFonts w:ascii="宋体" w:hAnsi="宋体" w:cs="宋体"/>
          <w:sz w:val="24"/>
        </w:rPr>
      </w:pPr>
      <w:r>
        <w:rPr>
          <w:rFonts w:hint="eastAsia" w:ascii="宋体" w:hAnsi="宋体" w:cs="宋体"/>
          <w:sz w:val="24"/>
        </w:rPr>
        <w:t>监理人在本合同履行期间及本合同终止后两年内出版涉及本工程的有关监理与相关服务的资料的限制条件：</w:t>
      </w:r>
      <w:r>
        <w:rPr>
          <w:rFonts w:hint="eastAsia" w:ascii="宋体" w:hAnsi="宋体" w:cs="宋体"/>
          <w:sz w:val="24"/>
          <w:u w:val="single"/>
        </w:rPr>
        <w:t>须经发包人同意</w:t>
      </w:r>
      <w:r>
        <w:rPr>
          <w:rFonts w:hint="eastAsia" w:ascii="宋体" w:hAnsi="宋体" w:cs="宋体"/>
          <w:sz w:val="24"/>
        </w:rPr>
        <w:t>。</w:t>
      </w:r>
    </w:p>
    <w:p>
      <w:pPr>
        <w:adjustRightInd w:val="0"/>
        <w:snapToGrid w:val="0"/>
        <w:spacing w:before="156" w:beforeLines="50" w:after="156" w:afterLines="50" w:line="400" w:lineRule="exact"/>
        <w:jc w:val="left"/>
        <w:rPr>
          <w:rFonts w:ascii="宋体" w:hAnsi="宋体" w:cs="宋体"/>
          <w:sz w:val="24"/>
        </w:rPr>
      </w:pPr>
      <w:r>
        <w:rPr>
          <w:rFonts w:hint="eastAsia" w:ascii="宋体" w:hAnsi="宋体" w:cs="宋体"/>
          <w:sz w:val="24"/>
        </w:rPr>
        <w:t>9. 补充条款：</w:t>
      </w:r>
    </w:p>
    <w:p>
      <w:pPr>
        <w:spacing w:line="400" w:lineRule="exact"/>
        <w:ind w:firstLine="480" w:firstLineChars="200"/>
        <w:rPr>
          <w:rFonts w:ascii="宋体" w:hAnsi="宋体" w:cs="宋体"/>
          <w:sz w:val="24"/>
        </w:rPr>
      </w:pPr>
      <w:r>
        <w:rPr>
          <w:rFonts w:hint="eastAsia" w:ascii="宋体" w:hAnsi="宋体" w:cs="宋体"/>
          <w:sz w:val="24"/>
        </w:rPr>
        <w:t>9.1总监不得同时兼任其他项目的总监，一经发现处</w:t>
      </w:r>
      <w:r>
        <w:rPr>
          <w:rFonts w:hint="eastAsia" w:ascii="宋体" w:hAnsi="宋体" w:cs="宋体"/>
          <w:sz w:val="24"/>
          <w:lang w:val="en-US" w:eastAsia="zh-CN"/>
        </w:rPr>
        <w:t>2</w:t>
      </w:r>
      <w:r>
        <w:rPr>
          <w:rFonts w:hint="eastAsia" w:ascii="宋体" w:hAnsi="宋体" w:cs="宋体"/>
          <w:sz w:val="24"/>
        </w:rPr>
        <w:t>万元违约金，且委托人有权解除合同。</w:t>
      </w:r>
    </w:p>
    <w:p>
      <w:pPr>
        <w:adjustRightInd w:val="0"/>
        <w:snapToGrid w:val="0"/>
        <w:spacing w:line="400" w:lineRule="exact"/>
        <w:ind w:firstLine="480" w:firstLineChars="200"/>
        <w:rPr>
          <w:rFonts w:ascii="宋体" w:hAnsi="宋体" w:cs="宋体"/>
          <w:sz w:val="24"/>
          <w:highlight w:val="none"/>
        </w:rPr>
      </w:pPr>
      <w:r>
        <w:rPr>
          <w:rFonts w:hint="eastAsia" w:ascii="宋体" w:hAnsi="宋体" w:cs="宋体"/>
          <w:sz w:val="24"/>
        </w:rPr>
        <w:t>9.2 投标文件中承诺的总监及其他监理工程师驻现场时间每天不少于8小时，</w:t>
      </w:r>
      <w:r>
        <w:rPr>
          <w:rFonts w:hint="eastAsia" w:ascii="宋体" w:hAnsi="宋体" w:cs="宋体"/>
          <w:kern w:val="0"/>
          <w:sz w:val="24"/>
        </w:rPr>
        <w:t>每周不</w:t>
      </w:r>
      <w:r>
        <w:rPr>
          <w:rFonts w:hint="eastAsia" w:ascii="宋体" w:hAnsi="宋体" w:cs="宋体"/>
          <w:kern w:val="0"/>
          <w:sz w:val="24"/>
          <w:highlight w:val="none"/>
        </w:rPr>
        <w:t>少于6个工作日且不少于48小时</w:t>
      </w:r>
      <w:r>
        <w:rPr>
          <w:rFonts w:hint="eastAsia" w:ascii="宋体" w:hAnsi="宋体" w:cs="宋体"/>
          <w:sz w:val="24"/>
          <w:highlight w:val="none"/>
        </w:rPr>
        <w:t>，</w:t>
      </w:r>
      <w:r>
        <w:rPr>
          <w:rFonts w:hint="eastAsia" w:ascii="宋体" w:hAnsi="宋体" w:cs="宋体"/>
          <w:kern w:val="0"/>
          <w:sz w:val="24"/>
          <w:highlight w:val="none"/>
        </w:rPr>
        <w:t>每月到岗率</w:t>
      </w:r>
      <w:r>
        <w:rPr>
          <w:rFonts w:hint="eastAsia" w:ascii="宋体" w:hAnsi="宋体" w:cs="宋体"/>
          <w:kern w:val="0"/>
          <w:sz w:val="24"/>
          <w:highlight w:val="green"/>
        </w:rPr>
        <w:t>达</w:t>
      </w:r>
      <w:r>
        <w:rPr>
          <w:rFonts w:hint="eastAsia" w:ascii="宋体" w:hAnsi="宋体" w:cs="宋体"/>
          <w:kern w:val="0"/>
          <w:sz w:val="24"/>
          <w:highlight w:val="green"/>
          <w:lang w:val="en-US" w:eastAsia="zh-CN"/>
        </w:rPr>
        <w:t>85</w:t>
      </w:r>
      <w:r>
        <w:rPr>
          <w:rFonts w:hint="eastAsia" w:ascii="宋体" w:hAnsi="宋体" w:cs="宋体"/>
          <w:kern w:val="0"/>
          <w:sz w:val="24"/>
          <w:highlight w:val="green"/>
        </w:rPr>
        <w:t>%以</w:t>
      </w:r>
      <w:r>
        <w:rPr>
          <w:rFonts w:hint="eastAsia" w:ascii="宋体" w:hAnsi="宋体" w:cs="宋体"/>
          <w:kern w:val="0"/>
          <w:sz w:val="24"/>
          <w:highlight w:val="none"/>
        </w:rPr>
        <w:t>上，相关专业监理工程师每月到岗率达85%以上的、相关监理人员每月到岗率达85%以上。</w:t>
      </w:r>
      <w:r>
        <w:rPr>
          <w:rFonts w:hint="eastAsia" w:ascii="宋体" w:hAnsi="宋体" w:cs="宋体"/>
          <w:sz w:val="24"/>
          <w:highlight w:val="none"/>
        </w:rPr>
        <w:t>周六周日或法定节假日均需安排人员到岗。总监离开现场必须得到委托人同意。委托</w:t>
      </w:r>
      <w:r>
        <w:rPr>
          <w:rFonts w:hint="eastAsia" w:ascii="宋体" w:hAnsi="宋体" w:cs="宋体"/>
          <w:bCs/>
          <w:kern w:val="0"/>
          <w:sz w:val="24"/>
          <w:szCs w:val="26"/>
          <w:highlight w:val="none"/>
        </w:rPr>
        <w:t>人将不定期进行考核检查，若检查时，发现总监或其他监理人员未经委托人同意离开施工现场，则监理人必须支付给委托人1000元/次·人的违约金。</w:t>
      </w:r>
      <w:r>
        <w:rPr>
          <w:rFonts w:hint="eastAsia" w:ascii="宋体" w:hAnsi="宋体" w:cs="宋体"/>
          <w:sz w:val="24"/>
          <w:highlight w:val="none"/>
        </w:rPr>
        <w:t>若监理项目部人员未能准时按发包人要求进行每日考勤，按缺勤处理，并支付给发包人500元/次·人的违约金。</w:t>
      </w:r>
      <w:r>
        <w:rPr>
          <w:rFonts w:hint="eastAsia" w:ascii="宋体" w:hAnsi="宋体" w:cs="宋体"/>
          <w:bCs/>
          <w:kern w:val="0"/>
          <w:sz w:val="24"/>
          <w:szCs w:val="26"/>
          <w:highlight w:val="none"/>
        </w:rPr>
        <w:t>若本项目监理人员未经委托人同意而离开施工现场的情况有5次及以上的，则监理人除须支付违约金外，</w:t>
      </w:r>
      <w:r>
        <w:rPr>
          <w:rFonts w:hint="eastAsia" w:ascii="宋体" w:hAnsi="宋体" w:cs="宋体"/>
          <w:sz w:val="24"/>
          <w:highlight w:val="none"/>
        </w:rPr>
        <w:t>委托人有权要求监理人更换监理人员，且所换监理人员的资质及业绩条件必须等同于或高于原监理人员，同时监理人必须支付委托人违约金（总</w:t>
      </w:r>
      <w:r>
        <w:rPr>
          <w:rFonts w:hint="eastAsia" w:ascii="宋体" w:hAnsi="宋体" w:cs="宋体"/>
          <w:sz w:val="24"/>
          <w:highlight w:val="green"/>
        </w:rPr>
        <w:t>监</w:t>
      </w:r>
      <w:r>
        <w:rPr>
          <w:rFonts w:hint="eastAsia" w:ascii="宋体" w:hAnsi="宋体" w:cs="宋体"/>
          <w:sz w:val="24"/>
          <w:highlight w:val="green"/>
          <w:lang w:val="en-US" w:eastAsia="zh-CN"/>
        </w:rPr>
        <w:t>2</w:t>
      </w:r>
      <w:r>
        <w:rPr>
          <w:rFonts w:hint="eastAsia" w:ascii="宋体" w:hAnsi="宋体" w:cs="宋体"/>
          <w:sz w:val="24"/>
          <w:highlight w:val="green"/>
        </w:rPr>
        <w:t>万元/人次，其他人员1万元/人次</w:t>
      </w:r>
      <w:r>
        <w:rPr>
          <w:rFonts w:hint="eastAsia" w:ascii="宋体" w:hAnsi="宋体" w:cs="宋体"/>
          <w:sz w:val="24"/>
          <w:highlight w:val="none"/>
        </w:rPr>
        <w:t>）。</w:t>
      </w:r>
    </w:p>
    <w:p>
      <w:pPr>
        <w:spacing w:line="400" w:lineRule="exact"/>
        <w:ind w:firstLine="480" w:firstLineChars="200"/>
        <w:rPr>
          <w:rFonts w:ascii="宋体" w:hAnsi="宋体" w:cs="宋体"/>
          <w:sz w:val="24"/>
        </w:rPr>
      </w:pPr>
      <w:r>
        <w:rPr>
          <w:rFonts w:hint="eastAsia" w:ascii="宋体" w:hAnsi="宋体" w:cs="宋体"/>
          <w:sz w:val="24"/>
        </w:rPr>
        <w:t>9.3严格执行监理合同，现场监理人员必须尽心尽责，旁站人员必须跟班检查，配合工程实施作业进行全过程跟踪监理，发现施工中安全、质量等问题及时指出并督促其完成整改；遇有夜间施工，须安排夜间值班，24小时有人值守，视情节严重处以1000-10000元/次的违约金。</w:t>
      </w:r>
    </w:p>
    <w:p>
      <w:pPr>
        <w:spacing w:line="400" w:lineRule="exact"/>
        <w:ind w:firstLine="480" w:firstLineChars="200"/>
        <w:rPr>
          <w:rFonts w:ascii="宋体" w:hAnsi="宋体" w:cs="宋体"/>
          <w:sz w:val="24"/>
        </w:rPr>
      </w:pPr>
      <w:r>
        <w:rPr>
          <w:rFonts w:hint="eastAsia" w:ascii="宋体" w:hAnsi="宋体" w:cs="宋体"/>
          <w:sz w:val="24"/>
        </w:rPr>
        <w:t>9.4项目部总监应积极协调工地各项的日常工作。对于发出的联系单、整改单和各类检查组发出的文件，督促施工单位及时整改，</w:t>
      </w:r>
      <w:r>
        <w:rPr>
          <w:rFonts w:ascii="宋体" w:hAnsi="宋体" w:cs="仿宋"/>
          <w:sz w:val="24"/>
          <w:highlight w:val="darkGray"/>
        </w:rPr>
        <w:t>监督</w:t>
      </w:r>
      <w:r>
        <w:rPr>
          <w:rFonts w:hint="eastAsia" w:ascii="宋体" w:hAnsi="宋体" w:cs="仿宋"/>
          <w:sz w:val="24"/>
          <w:highlight w:val="darkGray"/>
        </w:rPr>
        <w:t>指导施工单位及时处理、化解群众合理诉求，并及时整改到位，</w:t>
      </w:r>
      <w:r>
        <w:rPr>
          <w:rFonts w:hint="eastAsia" w:ascii="宋体" w:hAnsi="宋体" w:cs="宋体"/>
          <w:sz w:val="24"/>
        </w:rPr>
        <w:t>并在规定期限截止后及时反馈给现场代表。我公司会定期派专人督促检查，如连续两次复查发现总监未达到以上要求，可对总监做出违约决定，视情节扣罚监理费1000-10000元，情节严重的可要求更换总监。</w:t>
      </w:r>
    </w:p>
    <w:p>
      <w:pPr>
        <w:spacing w:line="400" w:lineRule="exact"/>
        <w:ind w:firstLine="480" w:firstLineChars="200"/>
        <w:rPr>
          <w:rFonts w:ascii="宋体" w:hAnsi="宋体" w:cs="宋体"/>
          <w:sz w:val="24"/>
        </w:rPr>
      </w:pPr>
      <w:r>
        <w:rPr>
          <w:rFonts w:hint="eastAsia" w:ascii="宋体" w:hAnsi="宋体" w:cs="宋体"/>
          <w:sz w:val="24"/>
        </w:rPr>
        <w:t>9.5拟用于现场的检测设备、人员应与投标文件一致，未经委托人同意，不得随意更换，否则委托人有权视情况终止合同。</w:t>
      </w:r>
    </w:p>
    <w:p>
      <w:pPr>
        <w:spacing w:line="400" w:lineRule="exact"/>
        <w:ind w:firstLine="480" w:firstLineChars="200"/>
        <w:rPr>
          <w:rFonts w:ascii="宋体" w:hAnsi="宋体" w:cs="宋体"/>
          <w:sz w:val="24"/>
        </w:rPr>
      </w:pPr>
      <w:r>
        <w:rPr>
          <w:rFonts w:hint="eastAsia" w:ascii="宋体" w:hAnsi="宋体" w:cs="宋体"/>
          <w:sz w:val="24"/>
        </w:rPr>
        <w:t>9.6监理人无权变更设计图纸。</w:t>
      </w:r>
    </w:p>
    <w:p>
      <w:pPr>
        <w:spacing w:line="400" w:lineRule="exact"/>
        <w:ind w:firstLine="480" w:firstLineChars="200"/>
        <w:rPr>
          <w:rFonts w:ascii="宋体" w:hAnsi="宋体" w:cs="宋体"/>
          <w:sz w:val="24"/>
        </w:rPr>
      </w:pPr>
      <w:r>
        <w:rPr>
          <w:rFonts w:hint="eastAsia" w:ascii="宋体" w:hAnsi="宋体" w:cs="宋体"/>
          <w:sz w:val="24"/>
        </w:rPr>
        <w:t>9.7监理人在工程监理过程中，对自身的安全负责（并负责对自身监理人员的意外伤害险、施工场地内自身人员的生命财产险的保险），如发生安全事故责任自负。</w:t>
      </w:r>
    </w:p>
    <w:p>
      <w:pPr>
        <w:spacing w:line="400" w:lineRule="exact"/>
        <w:ind w:firstLine="480" w:firstLineChars="200"/>
        <w:rPr>
          <w:rFonts w:ascii="宋体" w:hAnsi="宋体" w:cs="宋体"/>
          <w:sz w:val="24"/>
        </w:rPr>
      </w:pPr>
      <w:r>
        <w:rPr>
          <w:rFonts w:hint="eastAsia" w:ascii="宋体" w:hAnsi="宋体" w:cs="宋体"/>
          <w:sz w:val="24"/>
        </w:rPr>
        <w:t>9.8监理文书资料是监理人在项目实施过程中直接形成的，监理人必须做好各种原始记录的保存工作；监理人在监理过程中须加强对承包人工程资料的管理，既要做好指导工作，又要督促其及时收集和整理，做到及时完整、准备；现场监理人员应设专人收集监理文书资料，建立台帐制度，确保资料完整，符合科学化、规范化的要求；工程竣工后应及时将监理文书资料整理归档；工程竣工资料验收时，监理资料也作为验收内容之一；监理人的监理资料必须满足档案归范的要求，在竣工验收后一周内将备案审核通过的监理资料交委托人一份。</w:t>
      </w:r>
    </w:p>
    <w:p>
      <w:pPr>
        <w:spacing w:line="400" w:lineRule="exact"/>
        <w:ind w:firstLine="480" w:firstLineChars="200"/>
        <w:rPr>
          <w:rFonts w:ascii="宋体" w:hAnsi="宋体" w:cs="宋体"/>
          <w:sz w:val="24"/>
        </w:rPr>
      </w:pPr>
      <w:r>
        <w:rPr>
          <w:rFonts w:hint="eastAsia" w:ascii="宋体" w:hAnsi="宋体" w:cs="宋体"/>
          <w:sz w:val="24"/>
        </w:rPr>
        <w:t>9.9售后服务及保修阶段管理</w:t>
      </w:r>
    </w:p>
    <w:p>
      <w:pPr>
        <w:spacing w:line="400" w:lineRule="exact"/>
        <w:ind w:firstLine="480" w:firstLineChars="200"/>
        <w:rPr>
          <w:rFonts w:ascii="宋体" w:hAnsi="宋体" w:cs="宋体"/>
          <w:sz w:val="24"/>
        </w:rPr>
      </w:pPr>
      <w:r>
        <w:rPr>
          <w:rFonts w:hint="eastAsia" w:ascii="宋体" w:hAnsi="宋体" w:cs="宋体"/>
          <w:sz w:val="24"/>
        </w:rPr>
        <w:t>9.9.1在验收阶段配合委托人组织施工单位、设计单位等相关单位对施工范围内的项目相关质量问题进行维修、整改、跟踪、落实，对相关问题责任进行分析并提出处置建议，完善验收交付手续。</w:t>
      </w:r>
    </w:p>
    <w:p>
      <w:pPr>
        <w:spacing w:line="400" w:lineRule="exact"/>
        <w:ind w:firstLine="480" w:firstLineChars="200"/>
        <w:rPr>
          <w:rFonts w:ascii="宋体" w:hAnsi="宋体" w:cs="宋体"/>
          <w:sz w:val="24"/>
        </w:rPr>
      </w:pPr>
      <w:r>
        <w:rPr>
          <w:rFonts w:hint="eastAsia" w:ascii="宋体" w:hAnsi="宋体" w:cs="宋体"/>
          <w:sz w:val="24"/>
        </w:rPr>
        <w:t>9.9.2在工程保修期间对业主相关问题做到24小时内到场回应，分析原因和责任，提出处置意见报甲方批准，组织相关责任单位及时维修、整改、跟踪、落实。</w:t>
      </w:r>
    </w:p>
    <w:p>
      <w:pPr>
        <w:spacing w:line="400" w:lineRule="exact"/>
        <w:ind w:firstLine="480" w:firstLineChars="200"/>
        <w:rPr>
          <w:rFonts w:ascii="宋体" w:hAnsi="宋体" w:cs="宋体"/>
          <w:sz w:val="24"/>
        </w:rPr>
      </w:pPr>
      <w:r>
        <w:rPr>
          <w:rFonts w:hint="eastAsia" w:ascii="宋体" w:hAnsi="宋体" w:cs="宋体"/>
          <w:sz w:val="24"/>
        </w:rPr>
        <w:t>9.9.3在房屋保修期间对业主相关投诉做到24小时内到场回应，分析原因和责任，提出处置意见报甲方批准，组织相关责任单位及时维修。</w:t>
      </w:r>
    </w:p>
    <w:p>
      <w:pPr>
        <w:spacing w:line="400" w:lineRule="exact"/>
        <w:ind w:firstLine="480" w:firstLineChars="200"/>
        <w:rPr>
          <w:rFonts w:ascii="宋体" w:hAnsi="宋体" w:cs="宋体"/>
          <w:sz w:val="24"/>
        </w:rPr>
      </w:pPr>
      <w:r>
        <w:rPr>
          <w:rFonts w:hint="eastAsia" w:ascii="宋体" w:hAnsi="宋体" w:cs="宋体"/>
          <w:sz w:val="24"/>
        </w:rPr>
        <w:t>9.9.4如不能满足上述要求或处置相关质量问题态度消极的，则发生一次监理人需向委托人支付1000-10000元作为违约金。</w:t>
      </w:r>
    </w:p>
    <w:p>
      <w:pPr>
        <w:spacing w:line="400" w:lineRule="exact"/>
        <w:ind w:firstLine="480" w:firstLineChars="200"/>
        <w:rPr>
          <w:rFonts w:ascii="宋体" w:hAnsi="宋体" w:cs="宋体"/>
          <w:sz w:val="24"/>
        </w:rPr>
      </w:pPr>
      <w:r>
        <w:rPr>
          <w:rFonts w:hint="eastAsia" w:ascii="宋体" w:hAnsi="宋体" w:cs="宋体"/>
          <w:sz w:val="24"/>
        </w:rPr>
        <w:t>9.10所有监理人应支付给委托人的违约金、赔偿金，监理人同意委托人在监理报酬中直接扣除。</w:t>
      </w:r>
    </w:p>
    <w:p>
      <w:pPr>
        <w:spacing w:line="400" w:lineRule="exact"/>
        <w:ind w:firstLine="480" w:firstLineChars="200"/>
        <w:rPr>
          <w:rFonts w:ascii="宋体" w:hAnsi="宋体" w:cs="宋体"/>
          <w:sz w:val="24"/>
        </w:rPr>
      </w:pPr>
      <w:r>
        <w:rPr>
          <w:rFonts w:hint="eastAsia" w:ascii="宋体" w:hAnsi="宋体" w:cs="宋体"/>
          <w:sz w:val="24"/>
        </w:rPr>
        <w:t>9.11总监及各专业监理工程师的注册证书必须在中标时交委托人，由委托人保存至工程竣工验收合格后退还。</w:t>
      </w:r>
    </w:p>
    <w:p>
      <w:pPr>
        <w:spacing w:line="400" w:lineRule="exact"/>
        <w:ind w:firstLine="480" w:firstLineChars="200"/>
        <w:rPr>
          <w:rFonts w:ascii="宋体" w:hAnsi="宋体" w:cs="宋体"/>
          <w:sz w:val="24"/>
        </w:rPr>
      </w:pPr>
      <w:r>
        <w:rPr>
          <w:rFonts w:hint="eastAsia" w:ascii="宋体" w:hAnsi="宋体" w:cs="宋体"/>
          <w:sz w:val="24"/>
        </w:rPr>
        <w:t>9.12若在监理期因监理人员未履行监理职责，而引起质量问题、安全问题的，视情况严重程度，扣减监理费的1%～20%，情节特别严重的，扣减全部监理费用。</w:t>
      </w:r>
    </w:p>
    <w:p>
      <w:pPr>
        <w:spacing w:after="120" w:line="400" w:lineRule="exact"/>
        <w:ind w:firstLine="480" w:firstLineChars="200"/>
        <w:rPr>
          <w:rFonts w:ascii="宋体" w:hAnsi="宋体" w:cs="宋体"/>
          <w:sz w:val="24"/>
        </w:rPr>
      </w:pPr>
      <w:r>
        <w:rPr>
          <w:rFonts w:hint="eastAsia" w:ascii="宋体" w:hAnsi="宋体" w:cs="宋体"/>
          <w:sz w:val="24"/>
        </w:rPr>
        <w:t>9.13关于扬尘、安全、质量、进度，被区级及以上部门或媒体通报、批评，处以1000元/次的违约金，被业主单位检查发现重大问题及隐患处以1000-5000元/次的违约金。</w:t>
      </w:r>
    </w:p>
    <w:p>
      <w:pPr>
        <w:spacing w:line="400" w:lineRule="exact"/>
        <w:ind w:firstLine="480" w:firstLineChars="200"/>
        <w:rPr>
          <w:rFonts w:ascii="宋体" w:hAnsi="宋体" w:cs="宋体"/>
          <w:sz w:val="24"/>
        </w:rPr>
      </w:pPr>
      <w:r>
        <w:rPr>
          <w:rFonts w:hint="eastAsia" w:ascii="宋体" w:hAnsi="宋体" w:cs="宋体"/>
          <w:sz w:val="24"/>
        </w:rPr>
        <w:t>9.14监理检测设备最低要求</w:t>
      </w:r>
    </w:p>
    <w:tbl>
      <w:tblPr>
        <w:tblStyle w:val="17"/>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4099"/>
        <w:gridCol w:w="2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序号</w:t>
            </w:r>
          </w:p>
        </w:tc>
        <w:tc>
          <w:tcPr>
            <w:tcW w:w="4099" w:type="dxa"/>
            <w:vAlign w:val="center"/>
          </w:tcPr>
          <w:p>
            <w:pPr>
              <w:spacing w:line="400" w:lineRule="exact"/>
              <w:jc w:val="center"/>
              <w:rPr>
                <w:rFonts w:ascii="宋体" w:hAnsi="宋体" w:cs="宋体"/>
                <w:sz w:val="24"/>
              </w:rPr>
            </w:pPr>
            <w:r>
              <w:rPr>
                <w:rFonts w:hint="eastAsia" w:ascii="宋体" w:hAnsi="宋体" w:cs="宋体"/>
                <w:sz w:val="24"/>
              </w:rPr>
              <w:t>设备或仪器名称</w:t>
            </w:r>
          </w:p>
        </w:tc>
        <w:tc>
          <w:tcPr>
            <w:tcW w:w="2487" w:type="dxa"/>
            <w:vAlign w:val="center"/>
          </w:tcPr>
          <w:p>
            <w:pPr>
              <w:spacing w:line="400" w:lineRule="exact"/>
              <w:jc w:val="center"/>
              <w:rPr>
                <w:rFonts w:ascii="宋体" w:hAnsi="宋体" w:cs="宋体"/>
                <w:sz w:val="24"/>
              </w:rPr>
            </w:pPr>
            <w:r>
              <w:rPr>
                <w:rFonts w:hint="eastAsia" w:ascii="宋体" w:hAnsi="宋体" w:cs="宋体"/>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1</w:t>
            </w:r>
          </w:p>
        </w:tc>
        <w:tc>
          <w:tcPr>
            <w:tcW w:w="4099" w:type="dxa"/>
            <w:vAlign w:val="center"/>
          </w:tcPr>
          <w:p>
            <w:pPr>
              <w:spacing w:line="400" w:lineRule="exact"/>
              <w:jc w:val="center"/>
              <w:rPr>
                <w:rFonts w:ascii="宋体" w:hAnsi="宋体" w:cs="宋体"/>
                <w:sz w:val="24"/>
              </w:rPr>
            </w:pPr>
            <w:r>
              <w:rPr>
                <w:rFonts w:hint="eastAsia" w:ascii="宋体" w:hAnsi="宋体" w:cs="宋体"/>
                <w:sz w:val="24"/>
              </w:rPr>
              <w:t>全站仪</w:t>
            </w:r>
          </w:p>
        </w:tc>
        <w:tc>
          <w:tcPr>
            <w:tcW w:w="2487" w:type="dxa"/>
            <w:vAlign w:val="center"/>
          </w:tcPr>
          <w:p>
            <w:pPr>
              <w:spacing w:line="400" w:lineRule="exact"/>
              <w:jc w:val="center"/>
              <w:rPr>
                <w:rFonts w:ascii="宋体" w:hAnsi="宋体" w:cs="宋体"/>
                <w:sz w:val="24"/>
              </w:rPr>
            </w:pPr>
            <w:r>
              <w:rPr>
                <w:rFonts w:hint="eastAsia" w:ascii="宋体" w:hAnsi="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2</w:t>
            </w:r>
          </w:p>
        </w:tc>
        <w:tc>
          <w:tcPr>
            <w:tcW w:w="4099" w:type="dxa"/>
            <w:vAlign w:val="center"/>
          </w:tcPr>
          <w:p>
            <w:pPr>
              <w:spacing w:line="400" w:lineRule="exact"/>
              <w:jc w:val="center"/>
              <w:rPr>
                <w:rFonts w:ascii="宋体" w:hAnsi="宋体" w:cs="宋体"/>
                <w:sz w:val="24"/>
              </w:rPr>
            </w:pPr>
            <w:r>
              <w:rPr>
                <w:rFonts w:hint="eastAsia" w:ascii="宋体" w:hAnsi="宋体" w:cs="宋体"/>
                <w:sz w:val="24"/>
              </w:rPr>
              <w:t>激光铅垂仪</w:t>
            </w:r>
          </w:p>
        </w:tc>
        <w:tc>
          <w:tcPr>
            <w:tcW w:w="2487" w:type="dxa"/>
            <w:vAlign w:val="center"/>
          </w:tcPr>
          <w:p>
            <w:pPr>
              <w:spacing w:line="400" w:lineRule="exact"/>
              <w:jc w:val="center"/>
              <w:rPr>
                <w:rFonts w:ascii="宋体" w:hAnsi="宋体" w:cs="宋体"/>
                <w:sz w:val="24"/>
              </w:rPr>
            </w:pPr>
            <w:r>
              <w:rPr>
                <w:rFonts w:hint="eastAsia" w:ascii="宋体" w:hAnsi="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3</w:t>
            </w:r>
          </w:p>
        </w:tc>
        <w:tc>
          <w:tcPr>
            <w:tcW w:w="4099" w:type="dxa"/>
            <w:vAlign w:val="center"/>
          </w:tcPr>
          <w:p>
            <w:pPr>
              <w:spacing w:line="400" w:lineRule="exact"/>
              <w:jc w:val="center"/>
              <w:rPr>
                <w:rFonts w:ascii="宋体" w:hAnsi="宋体" w:cs="宋体"/>
                <w:sz w:val="24"/>
              </w:rPr>
            </w:pPr>
            <w:r>
              <w:rPr>
                <w:rFonts w:hint="eastAsia" w:ascii="宋体" w:hAnsi="宋体" w:cs="宋体"/>
                <w:sz w:val="24"/>
              </w:rPr>
              <w:t>水准仪、墨线仪</w:t>
            </w:r>
          </w:p>
        </w:tc>
        <w:tc>
          <w:tcPr>
            <w:tcW w:w="2487" w:type="dxa"/>
            <w:vAlign w:val="center"/>
          </w:tcPr>
          <w:p>
            <w:pPr>
              <w:spacing w:line="400" w:lineRule="exact"/>
              <w:jc w:val="center"/>
              <w:rPr>
                <w:rFonts w:ascii="宋体" w:hAnsi="宋体" w:cs="宋体"/>
                <w:sz w:val="24"/>
              </w:rPr>
            </w:pPr>
            <w:r>
              <w:rPr>
                <w:rFonts w:hint="eastAsia" w:ascii="宋体" w:hAnsi="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4</w:t>
            </w:r>
          </w:p>
        </w:tc>
        <w:tc>
          <w:tcPr>
            <w:tcW w:w="4099" w:type="dxa"/>
            <w:vAlign w:val="center"/>
          </w:tcPr>
          <w:p>
            <w:pPr>
              <w:spacing w:line="400" w:lineRule="exact"/>
              <w:jc w:val="center"/>
              <w:rPr>
                <w:rFonts w:ascii="宋体" w:hAnsi="宋体" w:cs="宋体"/>
                <w:sz w:val="24"/>
              </w:rPr>
            </w:pPr>
            <w:r>
              <w:rPr>
                <w:rFonts w:hint="eastAsia" w:ascii="宋体" w:hAnsi="宋体" w:cs="宋体"/>
                <w:sz w:val="24"/>
              </w:rPr>
              <w:t>激光经纬仪</w:t>
            </w:r>
          </w:p>
        </w:tc>
        <w:tc>
          <w:tcPr>
            <w:tcW w:w="2487" w:type="dxa"/>
            <w:vAlign w:val="center"/>
          </w:tcPr>
          <w:p>
            <w:pPr>
              <w:spacing w:line="400" w:lineRule="exact"/>
              <w:jc w:val="center"/>
              <w:rPr>
                <w:rFonts w:ascii="宋体" w:hAnsi="宋体" w:cs="宋体"/>
                <w:sz w:val="24"/>
              </w:rPr>
            </w:pPr>
            <w:r>
              <w:rPr>
                <w:rFonts w:hint="eastAsia" w:ascii="宋体" w:hAnsi="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5</w:t>
            </w:r>
          </w:p>
        </w:tc>
        <w:tc>
          <w:tcPr>
            <w:tcW w:w="4099" w:type="dxa"/>
            <w:vAlign w:val="center"/>
          </w:tcPr>
          <w:p>
            <w:pPr>
              <w:spacing w:line="400" w:lineRule="exact"/>
              <w:jc w:val="center"/>
              <w:rPr>
                <w:rFonts w:ascii="宋体" w:hAnsi="宋体" w:cs="宋体"/>
                <w:sz w:val="24"/>
              </w:rPr>
            </w:pPr>
            <w:r>
              <w:rPr>
                <w:rFonts w:hint="eastAsia" w:ascii="宋体" w:hAnsi="宋体" w:cs="宋体"/>
                <w:sz w:val="24"/>
              </w:rPr>
              <w:t>砼回弹仪</w:t>
            </w:r>
          </w:p>
        </w:tc>
        <w:tc>
          <w:tcPr>
            <w:tcW w:w="2487" w:type="dxa"/>
            <w:vAlign w:val="center"/>
          </w:tcPr>
          <w:p>
            <w:pPr>
              <w:spacing w:line="400" w:lineRule="exact"/>
              <w:jc w:val="center"/>
              <w:rPr>
                <w:rFonts w:ascii="宋体" w:hAnsi="宋体" w:cs="宋体"/>
                <w:sz w:val="24"/>
              </w:rPr>
            </w:pPr>
            <w:r>
              <w:rPr>
                <w:rFonts w:hint="eastAsia" w:ascii="宋体" w:hAnsi="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6</w:t>
            </w:r>
          </w:p>
        </w:tc>
        <w:tc>
          <w:tcPr>
            <w:tcW w:w="4099" w:type="dxa"/>
            <w:vAlign w:val="center"/>
          </w:tcPr>
          <w:p>
            <w:pPr>
              <w:spacing w:line="400" w:lineRule="exact"/>
              <w:jc w:val="center"/>
              <w:rPr>
                <w:rFonts w:ascii="宋体" w:hAnsi="宋体" w:cs="宋体"/>
                <w:sz w:val="24"/>
              </w:rPr>
            </w:pPr>
            <w:r>
              <w:rPr>
                <w:rFonts w:hint="eastAsia" w:ascii="宋体" w:hAnsi="宋体" w:cs="宋体"/>
                <w:sz w:val="24"/>
              </w:rPr>
              <w:t>2m靠尺</w:t>
            </w:r>
          </w:p>
        </w:tc>
        <w:tc>
          <w:tcPr>
            <w:tcW w:w="2487" w:type="dxa"/>
            <w:vAlign w:val="center"/>
          </w:tcPr>
          <w:p>
            <w:pPr>
              <w:spacing w:line="400" w:lineRule="exact"/>
              <w:jc w:val="center"/>
              <w:rPr>
                <w:rFonts w:ascii="宋体" w:hAnsi="宋体" w:cs="宋体"/>
                <w:sz w:val="24"/>
              </w:rPr>
            </w:pPr>
            <w:r>
              <w:rPr>
                <w:rFonts w:hint="eastAsia" w:ascii="宋体" w:hAnsi="宋体" w:cs="宋体"/>
                <w:sz w:val="24"/>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7</w:t>
            </w:r>
          </w:p>
        </w:tc>
        <w:tc>
          <w:tcPr>
            <w:tcW w:w="4099" w:type="dxa"/>
            <w:vAlign w:val="center"/>
          </w:tcPr>
          <w:p>
            <w:pPr>
              <w:spacing w:line="400" w:lineRule="exact"/>
              <w:jc w:val="center"/>
              <w:rPr>
                <w:rFonts w:ascii="宋体" w:hAnsi="宋体" w:cs="宋体"/>
                <w:sz w:val="24"/>
              </w:rPr>
            </w:pPr>
            <w:r>
              <w:rPr>
                <w:rFonts w:hint="eastAsia" w:ascii="宋体" w:hAnsi="宋体" w:cs="宋体"/>
                <w:sz w:val="24"/>
              </w:rPr>
              <w:t>绝缘测试仪</w:t>
            </w:r>
          </w:p>
        </w:tc>
        <w:tc>
          <w:tcPr>
            <w:tcW w:w="2487" w:type="dxa"/>
            <w:vAlign w:val="center"/>
          </w:tcPr>
          <w:p>
            <w:pPr>
              <w:spacing w:line="400" w:lineRule="exact"/>
              <w:jc w:val="center"/>
              <w:rPr>
                <w:rFonts w:ascii="宋体" w:hAnsi="宋体" w:cs="宋体"/>
                <w:sz w:val="24"/>
              </w:rPr>
            </w:pPr>
            <w:r>
              <w:rPr>
                <w:rFonts w:hint="eastAsia" w:ascii="宋体" w:hAnsi="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8</w:t>
            </w:r>
          </w:p>
        </w:tc>
        <w:tc>
          <w:tcPr>
            <w:tcW w:w="4099" w:type="dxa"/>
            <w:vAlign w:val="center"/>
          </w:tcPr>
          <w:p>
            <w:pPr>
              <w:spacing w:line="400" w:lineRule="exact"/>
              <w:jc w:val="center"/>
              <w:rPr>
                <w:rFonts w:ascii="宋体" w:hAnsi="宋体" w:cs="宋体"/>
                <w:sz w:val="24"/>
              </w:rPr>
            </w:pPr>
            <w:r>
              <w:rPr>
                <w:rFonts w:hint="eastAsia" w:ascii="宋体" w:hAnsi="宋体" w:cs="宋体"/>
                <w:sz w:val="24"/>
              </w:rPr>
              <w:t>接地摇表</w:t>
            </w:r>
          </w:p>
        </w:tc>
        <w:tc>
          <w:tcPr>
            <w:tcW w:w="2487" w:type="dxa"/>
            <w:vAlign w:val="center"/>
          </w:tcPr>
          <w:p>
            <w:pPr>
              <w:spacing w:line="400" w:lineRule="exact"/>
              <w:jc w:val="center"/>
              <w:rPr>
                <w:rFonts w:ascii="宋体" w:hAnsi="宋体" w:cs="宋体"/>
                <w:sz w:val="24"/>
              </w:rPr>
            </w:pPr>
            <w:r>
              <w:rPr>
                <w:rFonts w:hint="eastAsia" w:ascii="宋体" w:hAnsi="宋体" w:cs="宋体"/>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9</w:t>
            </w:r>
          </w:p>
        </w:tc>
        <w:tc>
          <w:tcPr>
            <w:tcW w:w="4099" w:type="dxa"/>
            <w:vAlign w:val="center"/>
          </w:tcPr>
          <w:p>
            <w:pPr>
              <w:spacing w:line="400" w:lineRule="exact"/>
              <w:jc w:val="center"/>
              <w:rPr>
                <w:rFonts w:ascii="宋体" w:hAnsi="宋体" w:cs="宋体"/>
                <w:sz w:val="24"/>
              </w:rPr>
            </w:pPr>
            <w:r>
              <w:rPr>
                <w:rFonts w:hint="eastAsia" w:ascii="宋体" w:hAnsi="宋体" w:cs="宋体"/>
                <w:sz w:val="24"/>
              </w:rPr>
              <w:t>接地电阻测试仪</w:t>
            </w:r>
          </w:p>
        </w:tc>
        <w:tc>
          <w:tcPr>
            <w:tcW w:w="2487" w:type="dxa"/>
            <w:vAlign w:val="center"/>
          </w:tcPr>
          <w:p>
            <w:pPr>
              <w:spacing w:line="400" w:lineRule="exact"/>
              <w:jc w:val="center"/>
              <w:rPr>
                <w:rFonts w:ascii="宋体" w:hAnsi="宋体" w:cs="宋体"/>
                <w:sz w:val="24"/>
              </w:rPr>
            </w:pPr>
            <w:r>
              <w:rPr>
                <w:rFonts w:hint="eastAsia" w:ascii="宋体" w:hAnsi="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sz w:val="24"/>
              </w:rPr>
            </w:pPr>
            <w:r>
              <w:rPr>
                <w:rFonts w:hint="eastAsia" w:ascii="宋体" w:hAnsi="宋体" w:cs="宋体"/>
                <w:sz w:val="24"/>
              </w:rPr>
              <w:t>10</w:t>
            </w:r>
          </w:p>
        </w:tc>
        <w:tc>
          <w:tcPr>
            <w:tcW w:w="4099" w:type="dxa"/>
            <w:vAlign w:val="center"/>
          </w:tcPr>
          <w:p>
            <w:pPr>
              <w:spacing w:line="400" w:lineRule="exact"/>
              <w:jc w:val="center"/>
              <w:rPr>
                <w:rFonts w:ascii="宋体" w:hAnsi="宋体" w:cs="宋体"/>
                <w:sz w:val="24"/>
              </w:rPr>
            </w:pPr>
            <w:r>
              <w:rPr>
                <w:rFonts w:hint="eastAsia" w:ascii="宋体" w:hAnsi="宋体" w:cs="宋体"/>
                <w:sz w:val="24"/>
              </w:rPr>
              <w:t>激光测距仪、投线仪</w:t>
            </w:r>
          </w:p>
        </w:tc>
        <w:tc>
          <w:tcPr>
            <w:tcW w:w="2487" w:type="dxa"/>
            <w:vAlign w:val="center"/>
          </w:tcPr>
          <w:p>
            <w:pPr>
              <w:spacing w:line="400" w:lineRule="exact"/>
              <w:jc w:val="center"/>
              <w:rPr>
                <w:rFonts w:ascii="宋体" w:hAnsi="宋体" w:cs="宋体"/>
                <w:sz w:val="24"/>
              </w:rPr>
            </w:pPr>
            <w:r>
              <w:rPr>
                <w:rFonts w:hint="eastAsia" w:ascii="宋体" w:hAnsi="宋体" w:cs="宋体"/>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11</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混凝土保护层测定仪</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12</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钢筋位置测定仪</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13</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测厚仪</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14</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测漏电电阻仪</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15</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电秒表</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16</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三相电源检测器</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17</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兆欧表</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18</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管道压力表</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19</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万用表</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20</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50m钢卷尺</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2支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21</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电子游标卡尺</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22</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千分卡尺</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23</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信息点检测仪</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24</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笔记本电脑</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25</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打印机</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342"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26</w:t>
            </w:r>
          </w:p>
        </w:tc>
        <w:tc>
          <w:tcPr>
            <w:tcW w:w="4099"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数码照相机</w:t>
            </w:r>
          </w:p>
        </w:tc>
        <w:tc>
          <w:tcPr>
            <w:tcW w:w="2487" w:type="dxa"/>
            <w:vAlign w:val="center"/>
          </w:tcPr>
          <w:p>
            <w:pPr>
              <w:spacing w:line="400" w:lineRule="exact"/>
              <w:jc w:val="center"/>
              <w:rPr>
                <w:rFonts w:ascii="宋体" w:hAnsi="宋体" w:cs="宋体"/>
                <w:color w:val="000000"/>
                <w:sz w:val="24"/>
              </w:rPr>
            </w:pPr>
            <w:r>
              <w:rPr>
                <w:rFonts w:hint="eastAsia" w:ascii="宋体" w:hAnsi="宋体" w:cs="宋体"/>
                <w:color w:val="000000"/>
                <w:sz w:val="24"/>
              </w:rPr>
              <w:t>1台</w:t>
            </w:r>
          </w:p>
        </w:tc>
      </w:tr>
    </w:tbl>
    <w:p>
      <w:pPr>
        <w:adjustRightInd w:val="0"/>
        <w:snapToGrid w:val="0"/>
        <w:spacing w:line="400" w:lineRule="exact"/>
        <w:ind w:firstLine="480" w:firstLineChars="200"/>
        <w:rPr>
          <w:rFonts w:ascii="宋体" w:hAnsi="宋体" w:cs="宋体"/>
          <w:kern w:val="0"/>
          <w:sz w:val="24"/>
        </w:rPr>
      </w:pPr>
      <w:r>
        <w:rPr>
          <w:rFonts w:hint="eastAsia" w:ascii="宋体" w:hAnsi="宋体" w:cs="宋体"/>
          <w:sz w:val="24"/>
        </w:rPr>
        <w:t>9.14</w:t>
      </w:r>
      <w:r>
        <w:rPr>
          <w:rFonts w:hint="eastAsia" w:ascii="宋体" w:hAnsi="宋体" w:cs="宋体"/>
          <w:kern w:val="0"/>
          <w:sz w:val="24"/>
        </w:rPr>
        <w:t>履约保证金</w:t>
      </w:r>
    </w:p>
    <w:p>
      <w:pPr>
        <w:widowControl/>
        <w:spacing w:line="400" w:lineRule="exact"/>
        <w:ind w:firstLine="480" w:firstLineChars="200"/>
        <w:jc w:val="left"/>
        <w:rPr>
          <w:rFonts w:ascii="宋体" w:hAnsi="宋体" w:cs="宋体"/>
          <w:bCs/>
          <w:kern w:val="0"/>
          <w:sz w:val="24"/>
          <w:u w:val="single"/>
        </w:rPr>
      </w:pPr>
      <w:r>
        <w:rPr>
          <w:rFonts w:hint="eastAsia" w:ascii="宋体" w:hAnsi="宋体" w:cs="宋体"/>
          <w:bCs/>
          <w:kern w:val="0"/>
          <w:sz w:val="24"/>
          <w:u w:val="single"/>
        </w:rPr>
        <w:t>履约保证金数额：</w:t>
      </w:r>
      <w:r>
        <w:rPr>
          <w:rFonts w:hint="eastAsia" w:ascii="宋体" w:hAnsi="宋体" w:cs="宋体"/>
          <w:bCs/>
          <w:kern w:val="0"/>
          <w:sz w:val="24"/>
          <w:u w:val="single"/>
          <w:lang w:val="en-US" w:eastAsia="zh-CN"/>
        </w:rPr>
        <w:t xml:space="preserve">  元</w:t>
      </w:r>
      <w:r>
        <w:rPr>
          <w:rFonts w:hint="eastAsia" w:ascii="宋体" w:hAnsi="宋体" w:cs="宋体"/>
          <w:bCs/>
          <w:kern w:val="0"/>
          <w:sz w:val="24"/>
          <w:highlight w:val="none"/>
          <w:u w:val="single"/>
        </w:rPr>
        <w:t>。</w:t>
      </w:r>
    </w:p>
    <w:p>
      <w:pPr>
        <w:widowControl/>
        <w:spacing w:line="400" w:lineRule="exact"/>
        <w:ind w:firstLine="480" w:firstLineChars="200"/>
        <w:jc w:val="left"/>
        <w:rPr>
          <w:rFonts w:ascii="宋体" w:hAnsi="宋体" w:cs="宋体"/>
          <w:b/>
          <w:bCs/>
          <w:kern w:val="0"/>
          <w:sz w:val="24"/>
        </w:rPr>
      </w:pPr>
      <w:r>
        <w:rPr>
          <w:rFonts w:hint="eastAsia" w:ascii="宋体" w:hAnsi="宋体" w:cs="宋体"/>
          <w:bCs/>
          <w:kern w:val="0"/>
          <w:sz w:val="24"/>
          <w:u w:val="single"/>
        </w:rPr>
        <w:t>监理人须在中标公示3天后</w:t>
      </w:r>
      <w:r>
        <w:rPr>
          <w:rFonts w:hint="eastAsia" w:ascii="宋体" w:hAnsi="宋体" w:cs="宋体"/>
          <w:bCs/>
          <w:kern w:val="0"/>
          <w:sz w:val="24"/>
          <w:u w:val="single"/>
          <w:lang w:val="en-US" w:eastAsia="zh-CN"/>
        </w:rPr>
        <w:t>72</w:t>
      </w:r>
      <w:r>
        <w:rPr>
          <w:rFonts w:hint="eastAsia" w:ascii="宋体" w:hAnsi="宋体" w:cs="宋体"/>
          <w:bCs/>
          <w:kern w:val="0"/>
          <w:sz w:val="24"/>
          <w:u w:val="single"/>
        </w:rPr>
        <w:t>小时内（公休日顺延），合同签订前支付给委托人。</w:t>
      </w:r>
    </w:p>
    <w:p>
      <w:pPr>
        <w:widowControl/>
        <w:numPr>
          <w:ilvl w:val="0"/>
          <w:numId w:val="2"/>
        </w:numPr>
        <w:spacing w:line="400" w:lineRule="exact"/>
        <w:ind w:firstLine="482" w:firstLineChars="200"/>
        <w:jc w:val="left"/>
        <w:rPr>
          <w:rFonts w:ascii="宋体" w:hAnsi="宋体" w:cs="宋体"/>
          <w:b/>
          <w:bCs/>
          <w:kern w:val="0"/>
          <w:sz w:val="24"/>
        </w:rPr>
      </w:pPr>
      <w:r>
        <w:rPr>
          <w:rFonts w:hint="eastAsia" w:ascii="宋体" w:hAnsi="宋体" w:cs="宋体"/>
          <w:b/>
          <w:bCs/>
          <w:kern w:val="0"/>
          <w:sz w:val="24"/>
        </w:rPr>
        <w:t>监理人违约时，对履约保证金的处理：</w:t>
      </w:r>
    </w:p>
    <w:p>
      <w:pPr>
        <w:widowControl/>
        <w:spacing w:line="400" w:lineRule="exact"/>
        <w:jc w:val="left"/>
        <w:rPr>
          <w:rFonts w:ascii="宋体" w:hAnsi="宋体" w:cs="宋体"/>
        </w:rPr>
      </w:pPr>
      <w:r>
        <w:rPr>
          <w:rFonts w:hint="eastAsia" w:ascii="宋体" w:hAnsi="宋体" w:cs="宋体"/>
          <w:kern w:val="0"/>
        </w:rPr>
        <w:t xml:space="preserve">   </w:t>
      </w:r>
      <w:r>
        <w:rPr>
          <w:rFonts w:hint="eastAsia" w:ascii="宋体" w:hAnsi="宋体" w:cs="宋体"/>
          <w:kern w:val="0"/>
          <w:sz w:val="24"/>
        </w:rPr>
        <w:t xml:space="preserve"> (1) 本工程设质量保证金为履约保证金的30%，达到委托人提出的质量要求，质量保证金在工程竣工验收合格和通过综合验收备案后的一个月内予以退还（无息）；要求确保各分部工程验收一次性通过，未通过的，每次扣除10%的质量保证金，项目竣工验收未能一次性通过的，一次性扣除50%的质量保证金；出现重大质量事故，除质量保证金不予退还外,委托人有权终止合同履行，不再支付监理费用，并有权向监理方追讨因此产生的所有经济损失和已支付的监理费用。 </w:t>
      </w:r>
    </w:p>
    <w:p>
      <w:pPr>
        <w:widowControl/>
        <w:spacing w:line="400" w:lineRule="exact"/>
        <w:ind w:firstLine="480" w:firstLineChars="200"/>
        <w:jc w:val="left"/>
        <w:rPr>
          <w:rFonts w:ascii="宋体" w:hAnsi="宋体" w:cs="宋体"/>
          <w:kern w:val="0"/>
          <w:sz w:val="24"/>
        </w:rPr>
      </w:pPr>
      <w:r>
        <w:rPr>
          <w:rFonts w:hint="eastAsia" w:ascii="宋体" w:hAnsi="宋体" w:cs="宋体"/>
          <w:sz w:val="24"/>
        </w:rPr>
        <w:t>(2)本工程设安全文明施工保证金为履约保证金的</w:t>
      </w:r>
      <w:r>
        <w:rPr>
          <w:rFonts w:hint="eastAsia" w:ascii="宋体" w:hAnsi="宋体" w:cs="宋体"/>
          <w:sz w:val="24"/>
          <w:lang w:val="en-US" w:eastAsia="zh-CN"/>
        </w:rPr>
        <w:t>20</w:t>
      </w:r>
      <w:r>
        <w:rPr>
          <w:rFonts w:hint="eastAsia" w:ascii="宋体" w:hAnsi="宋体" w:cs="宋体"/>
          <w:sz w:val="24"/>
        </w:rPr>
        <w:t>%，施工单位在施工过程中未发生死亡或群伤安全事故，则安全文明施工</w:t>
      </w:r>
      <w:r>
        <w:rPr>
          <w:rFonts w:hint="eastAsia" w:ascii="宋体" w:hAnsi="宋体" w:cs="宋体"/>
          <w:kern w:val="0"/>
          <w:sz w:val="24"/>
        </w:rPr>
        <w:t>保证金在工程竣工验收合格和通过综合验收备案，并完成退场后一个月内予以退还（无息）；出现死亡、坍塌等重大安全事故监理人应承担责任，视情节严重扣除部分或全部保证金，并承担因此造成的委托人经济处罚和经济损失；因施工现场环保、文明、绿色管理不到位，造成委托人受到通报批评和处罚的，委托人有权按照所受处罚程度，没收监理人部分文明施工保证金，直至保证金全部没收为止。</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(3)本工程设监理人员在岗保证金为履约保证金的1</w:t>
      </w:r>
      <w:r>
        <w:rPr>
          <w:rFonts w:hint="eastAsia" w:ascii="宋体" w:hAnsi="宋体" w:cs="宋体"/>
          <w:kern w:val="0"/>
          <w:sz w:val="24"/>
          <w:lang w:val="en-US" w:eastAsia="zh-CN"/>
        </w:rPr>
        <w:t>0</w:t>
      </w:r>
      <w:r>
        <w:rPr>
          <w:rFonts w:hint="eastAsia" w:ascii="宋体" w:hAnsi="宋体" w:cs="宋体"/>
          <w:kern w:val="0"/>
          <w:sz w:val="24"/>
        </w:rPr>
        <w:t>%，达到委托人关于监理人员在岗要求的，在岗保证金在工程竣工验收合格和通过综合验收备案后的一个月内予以退还（无息）；未能达到委托人提出的监理人员在岗要求的，除人员在岗保证金不予退还外，还需承担由此带来的一切损失和费用。</w:t>
      </w:r>
    </w:p>
    <w:p>
      <w:pPr>
        <w:widowControl/>
        <w:spacing w:line="400" w:lineRule="exact"/>
        <w:ind w:firstLine="480" w:firstLineChars="200"/>
        <w:jc w:val="left"/>
        <w:rPr>
          <w:rFonts w:ascii="宋体" w:hAnsi="宋体" w:cs="宋体"/>
          <w:kern w:val="0"/>
          <w:sz w:val="24"/>
        </w:rPr>
      </w:pPr>
      <w:r>
        <w:rPr>
          <w:rFonts w:hint="eastAsia" w:ascii="宋体" w:hAnsi="宋体" w:cs="宋体"/>
          <w:kern w:val="0"/>
          <w:sz w:val="24"/>
        </w:rPr>
        <w:t xml:space="preserve">(4) 本工程设工期进度保证金为履约保证金的30%，达到委托人提出的工期进度要求，工期进度保证金在工程竣工验收合格和通过综合验收备案后的一个月内予以退还（无息）；未能达到委托人提出的工期要求， 工期履约保证金不予退还外,委托人有权终止合同履行，不再支付监理费用，并有权向监理方追讨因此产生的所有经济损失和已支付的监理费用。 </w:t>
      </w:r>
    </w:p>
    <w:p>
      <w:pPr>
        <w:spacing w:line="400" w:lineRule="exact"/>
        <w:ind w:firstLine="480" w:firstLineChars="200"/>
        <w:jc w:val="left"/>
        <w:rPr>
          <w:rFonts w:ascii="宋体" w:hAnsi="宋体" w:cs="宋体"/>
          <w:kern w:val="24"/>
          <w:sz w:val="24"/>
        </w:rPr>
      </w:pPr>
      <w:r>
        <w:rPr>
          <w:rFonts w:hint="eastAsia" w:ascii="宋体" w:hAnsi="宋体" w:cs="宋体"/>
          <w:kern w:val="24"/>
          <w:sz w:val="24"/>
        </w:rPr>
        <w:t>(5) 投资控制目标履约保证金为履约保证金的10%，在满足工程结算时监理初审价与最终审计价误差率不超过5%，审计结束后一个月内予以退还（无息）工程结算时监理初审价与最终审计价误差率超过5%（含5%）则投资控制目标履约保证金不予退还，同时工程结算时监理初审价与最终审计价误差率超过5%（含5%）核减监理费的3%。</w:t>
      </w:r>
    </w:p>
    <w:p>
      <w:pPr>
        <w:spacing w:line="400" w:lineRule="exact"/>
        <w:jc w:val="left"/>
        <w:rPr>
          <w:rFonts w:ascii="宋体" w:hAnsi="宋体" w:cs="宋体"/>
          <w:b/>
          <w:bCs/>
          <w:kern w:val="0"/>
          <w:sz w:val="24"/>
        </w:rPr>
      </w:pPr>
      <w:r>
        <w:rPr>
          <w:rFonts w:hint="eastAsia" w:ascii="宋体" w:hAnsi="宋体" w:cs="宋体"/>
          <w:b/>
          <w:bCs/>
          <w:kern w:val="0"/>
          <w:sz w:val="24"/>
        </w:rPr>
        <w:t>B、履约保证金退还时间：</w:t>
      </w:r>
    </w:p>
    <w:p>
      <w:pPr>
        <w:spacing w:line="400" w:lineRule="exact"/>
        <w:ind w:firstLine="480" w:firstLineChars="200"/>
        <w:jc w:val="left"/>
        <w:rPr>
          <w:rFonts w:ascii="宋体" w:hAnsi="宋体" w:cs="宋体"/>
          <w:kern w:val="0"/>
          <w:sz w:val="24"/>
        </w:rPr>
      </w:pPr>
      <w:r>
        <w:rPr>
          <w:rFonts w:hint="eastAsia" w:ascii="宋体" w:hAnsi="宋体" w:cs="宋体"/>
          <w:kern w:val="0"/>
          <w:sz w:val="24"/>
        </w:rPr>
        <w:t>本工程监理合同履约保证金在本工程竣工验收合格后七日内一次性退还（不计利息）。</w:t>
      </w:r>
    </w:p>
    <w:p>
      <w:pPr>
        <w:widowControl/>
        <w:spacing w:line="400" w:lineRule="exact"/>
        <w:ind w:firstLine="480"/>
        <w:jc w:val="left"/>
        <w:rPr>
          <w:rFonts w:ascii="宋体" w:hAnsi="宋体" w:cs="宋体"/>
          <w:kern w:val="0"/>
          <w:sz w:val="24"/>
        </w:rPr>
      </w:pPr>
      <w:r>
        <w:rPr>
          <w:rFonts w:hint="eastAsia" w:ascii="宋体" w:hAnsi="宋体" w:cs="宋体"/>
          <w:kern w:val="0"/>
          <w:sz w:val="24"/>
        </w:rPr>
        <w:t>9.14当委托人认为监理人无正当理由而又未履行监理义务时，有权向监理人发出指明其未履行义务的通知，监理人应在收到通知后3日内予以答复。否则，委托人有权单方解除本委托监理合同，由此造成的所有后果及损失均由监理人承担。</w:t>
      </w:r>
    </w:p>
    <w:p>
      <w:pPr>
        <w:spacing w:line="400" w:lineRule="exact"/>
        <w:ind w:firstLine="482"/>
        <w:jc w:val="left"/>
        <w:rPr>
          <w:rFonts w:ascii="宋体" w:hAnsi="宋体" w:cs="宋体"/>
          <w:kern w:val="0"/>
          <w:sz w:val="24"/>
        </w:rPr>
      </w:pPr>
      <w:r>
        <w:rPr>
          <w:rFonts w:hint="eastAsia" w:ascii="宋体" w:hAnsi="宋体" w:cs="宋体"/>
          <w:kern w:val="0"/>
          <w:sz w:val="24"/>
        </w:rPr>
        <w:t>9.16若监理人在市建设主管部门组织的检查、评比中，被通报批评的，监理人应按监理合同价的1%向委托人支付违约金；累计被通报批评三次的，委托人有权单方解除本合同，由此造成的所有后果及损失均由监理人承担。</w:t>
      </w:r>
    </w:p>
    <w:p>
      <w:pPr>
        <w:spacing w:line="400" w:lineRule="exact"/>
        <w:ind w:firstLine="595" w:firstLineChars="248"/>
        <w:rPr>
          <w:rFonts w:ascii="宋体" w:hAnsi="宋体" w:cs="宋体"/>
          <w:sz w:val="24"/>
        </w:rPr>
      </w:pPr>
      <w:r>
        <w:rPr>
          <w:rFonts w:hint="eastAsia" w:ascii="宋体" w:hAnsi="宋体" w:cs="宋体"/>
          <w:sz w:val="24"/>
        </w:rPr>
        <w:t>9.17 监理人在本工程实施过程中必须守法经营，若监理人及其监理人员被纪检部门查实在本工程监理过程中存在经济违纪行为的，监理人应将按监理合同价的2%向委托人支付违约金；若监理人及其监理人员被司法机关查实认定在本工程监理过程中有经济犯罪行为的，监理人</w:t>
      </w:r>
      <w:r>
        <w:rPr>
          <w:rFonts w:hint="eastAsia" w:ascii="宋体" w:hAnsi="宋体" w:cs="宋体"/>
          <w:bCs/>
          <w:sz w:val="24"/>
        </w:rPr>
        <w:t>除</w:t>
      </w:r>
      <w:r>
        <w:rPr>
          <w:rFonts w:hint="eastAsia" w:ascii="宋体" w:hAnsi="宋体" w:cs="宋体"/>
          <w:sz w:val="24"/>
        </w:rPr>
        <w:t>按监理合同价的2%向委托人支付违约金</w:t>
      </w:r>
      <w:r>
        <w:rPr>
          <w:rFonts w:hint="eastAsia" w:ascii="宋体" w:hAnsi="宋体" w:cs="宋体"/>
          <w:bCs/>
          <w:sz w:val="24"/>
        </w:rPr>
        <w:t>外，委托人可以单方解除本合同</w:t>
      </w:r>
      <w:r>
        <w:rPr>
          <w:rFonts w:hint="eastAsia" w:ascii="宋体" w:hAnsi="宋体" w:cs="宋体"/>
          <w:sz w:val="24"/>
        </w:rPr>
        <w:t>。</w:t>
      </w:r>
    </w:p>
    <w:p>
      <w:pPr>
        <w:spacing w:line="360" w:lineRule="auto"/>
        <w:ind w:firstLine="595" w:firstLineChars="248"/>
        <w:rPr>
          <w:rFonts w:ascii="宋体" w:hAnsi="宋体" w:cs="宋体"/>
          <w:sz w:val="24"/>
        </w:rPr>
      </w:pPr>
      <w:r>
        <w:rPr>
          <w:rFonts w:hint="eastAsia" w:ascii="宋体" w:hAnsi="宋体" w:cs="宋体"/>
          <w:sz w:val="24"/>
        </w:rPr>
        <w:t>9.18监理人应采取切实措施，确保完成投标时承诺的考核目标。监理人不能实现监理大纲目标时，同意自动放弃全部履约保证金。</w:t>
      </w: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pStyle w:val="16"/>
        <w:ind w:firstLine="480"/>
      </w:pPr>
    </w:p>
    <w:p>
      <w:pPr>
        <w:adjustRightInd w:val="0"/>
        <w:snapToGrid w:val="0"/>
        <w:spacing w:before="156" w:beforeLines="50" w:after="156" w:afterLines="50" w:line="400" w:lineRule="exact"/>
        <w:rPr>
          <w:rFonts w:ascii="宋体" w:hAnsi="宋体" w:cs="宋体"/>
          <w:sz w:val="24"/>
        </w:rPr>
      </w:pPr>
      <w:r>
        <w:rPr>
          <w:rFonts w:hint="eastAsia" w:ascii="宋体" w:hAnsi="宋体" w:cs="宋体"/>
          <w:sz w:val="24"/>
        </w:rPr>
        <w:t>附录A  相关服务的范围和内容</w:t>
      </w:r>
    </w:p>
    <w:p>
      <w:pPr>
        <w:snapToGrid w:val="0"/>
        <w:spacing w:before="156" w:beforeLines="50" w:after="156" w:afterLines="50" w:line="400" w:lineRule="exact"/>
        <w:ind w:firstLine="480" w:firstLineChars="200"/>
        <w:rPr>
          <w:rFonts w:ascii="宋体" w:hAnsi="宋体" w:cs="宋体"/>
          <w:kern w:val="0"/>
          <w:sz w:val="24"/>
        </w:rPr>
      </w:pPr>
      <w:r>
        <w:rPr>
          <w:rFonts w:hint="eastAsia" w:ascii="宋体" w:hAnsi="宋体" w:cs="宋体"/>
          <w:kern w:val="0"/>
          <w:sz w:val="24"/>
        </w:rPr>
        <w:t>A-1 勘察阶段：</w:t>
      </w:r>
      <w:r>
        <w:rPr>
          <w:rFonts w:hint="eastAsia" w:ascii="宋体" w:hAnsi="宋体" w:cs="宋体"/>
          <w:sz w:val="24"/>
          <w:u w:val="single"/>
        </w:rPr>
        <w:t xml:space="preserve">       /         </w:t>
      </w:r>
      <w:r>
        <w:rPr>
          <w:rFonts w:hint="eastAsia" w:ascii="宋体" w:hAnsi="宋体" w:cs="宋体"/>
          <w:kern w:val="0"/>
          <w:sz w:val="24"/>
        </w:rPr>
        <w:t>。</w:t>
      </w:r>
    </w:p>
    <w:p>
      <w:pPr>
        <w:snapToGrid w:val="0"/>
        <w:spacing w:before="156" w:beforeLines="50" w:after="156" w:afterLines="50" w:line="400" w:lineRule="exact"/>
        <w:ind w:firstLine="480" w:firstLineChars="200"/>
        <w:rPr>
          <w:rFonts w:ascii="宋体" w:hAnsi="宋体" w:cs="宋体"/>
          <w:sz w:val="24"/>
        </w:rPr>
      </w:pPr>
      <w:r>
        <w:rPr>
          <w:rFonts w:hint="eastAsia" w:ascii="宋体" w:hAnsi="宋体" w:cs="宋体"/>
          <w:kern w:val="0"/>
          <w:sz w:val="24"/>
        </w:rPr>
        <w:t>A-2 设计阶段：</w:t>
      </w:r>
      <w:r>
        <w:rPr>
          <w:rFonts w:hint="eastAsia" w:ascii="宋体" w:hAnsi="宋体" w:cs="宋体"/>
          <w:bCs/>
          <w:sz w:val="24"/>
          <w:u w:val="single"/>
        </w:rPr>
        <w:t>协助业主进行设计图纸审查工作，凭借自身的技能和经验，根据本地的实际情况，为设计院提供建设性改进意见，并协调市有关部门完成各项报批工作</w:t>
      </w:r>
      <w:r>
        <w:rPr>
          <w:rFonts w:hint="eastAsia" w:ascii="宋体" w:hAnsi="宋体" w:cs="宋体"/>
          <w:sz w:val="24"/>
        </w:rPr>
        <w:t>。</w:t>
      </w:r>
    </w:p>
    <w:p>
      <w:pPr>
        <w:snapToGrid w:val="0"/>
        <w:spacing w:before="156" w:beforeLines="50" w:after="156" w:afterLines="50" w:line="400" w:lineRule="exact"/>
        <w:ind w:firstLine="480" w:firstLineChars="200"/>
        <w:rPr>
          <w:rFonts w:ascii="宋体" w:hAnsi="宋体" w:cs="宋体"/>
          <w:sz w:val="24"/>
        </w:rPr>
      </w:pPr>
      <w:r>
        <w:rPr>
          <w:rFonts w:hint="eastAsia" w:ascii="宋体" w:hAnsi="宋体" w:cs="宋体"/>
          <w:kern w:val="0"/>
          <w:sz w:val="24"/>
        </w:rPr>
        <w:t>A-3 保修阶段：</w:t>
      </w:r>
      <w:r>
        <w:rPr>
          <w:rFonts w:hint="eastAsia" w:ascii="宋体" w:hAnsi="宋体" w:cs="宋体"/>
          <w:sz w:val="24"/>
          <w:u w:val="single"/>
        </w:rPr>
        <w:t>工程质量保修期内，监理人应对所监理的工程质量实行回访制度，并对发现的问题书面告知发包人，若系承包人的原因引起的工程质量问题，则发书面指令要求承包人处理至符合要求为止</w:t>
      </w:r>
      <w:r>
        <w:rPr>
          <w:rFonts w:hint="eastAsia" w:ascii="宋体" w:hAnsi="宋体" w:cs="宋体"/>
          <w:sz w:val="24"/>
        </w:rPr>
        <w:t>。</w:t>
      </w:r>
    </w:p>
    <w:p>
      <w:pPr>
        <w:snapToGrid w:val="0"/>
        <w:spacing w:before="156" w:beforeLines="50" w:after="156" w:afterLines="50" w:line="400" w:lineRule="exact"/>
        <w:ind w:firstLine="480" w:firstLineChars="200"/>
        <w:rPr>
          <w:rFonts w:ascii="宋体" w:hAnsi="宋体" w:cs="宋体"/>
          <w:sz w:val="24"/>
        </w:rPr>
      </w:pPr>
      <w:r>
        <w:rPr>
          <w:rFonts w:hint="eastAsia" w:ascii="宋体" w:hAnsi="宋体" w:cs="宋体"/>
          <w:kern w:val="0"/>
          <w:sz w:val="24"/>
        </w:rPr>
        <w:t xml:space="preserve">A-4 </w:t>
      </w:r>
      <w:r>
        <w:rPr>
          <w:rFonts w:hint="eastAsia" w:ascii="宋体" w:hAnsi="宋体" w:cs="宋体"/>
          <w:sz w:val="24"/>
        </w:rPr>
        <w:t>其他（专业技术咨询、外部协调工作等）：</w:t>
      </w:r>
      <w:r>
        <w:rPr>
          <w:rFonts w:hint="eastAsia" w:ascii="宋体" w:hAnsi="宋体" w:cs="宋体"/>
          <w:sz w:val="24"/>
          <w:u w:val="single"/>
        </w:rPr>
        <w:t>有关需要监理协调的工作</w:t>
      </w:r>
      <w:r>
        <w:rPr>
          <w:rFonts w:hint="eastAsia" w:ascii="宋体" w:hAnsi="宋体" w:cs="宋体"/>
          <w:sz w:val="24"/>
        </w:rPr>
        <w:t>。</w:t>
      </w:r>
    </w:p>
    <w:p>
      <w:pPr>
        <w:snapToGrid w:val="0"/>
        <w:spacing w:before="156" w:beforeLines="50" w:after="156" w:afterLines="50" w:line="400" w:lineRule="exact"/>
        <w:ind w:firstLine="480" w:firstLineChars="200"/>
        <w:rPr>
          <w:rFonts w:ascii="宋体" w:hAnsi="宋体" w:cs="宋体"/>
          <w:sz w:val="24"/>
        </w:rPr>
      </w:pPr>
    </w:p>
    <w:p>
      <w:pPr>
        <w:snapToGrid w:val="0"/>
        <w:spacing w:before="156" w:beforeLines="50" w:after="156" w:afterLines="50" w:line="400" w:lineRule="exact"/>
        <w:ind w:firstLine="480" w:firstLineChars="200"/>
        <w:rPr>
          <w:rFonts w:ascii="宋体" w:hAnsi="宋体" w:cs="宋体"/>
          <w:sz w:val="24"/>
        </w:rPr>
      </w:pPr>
    </w:p>
    <w:p>
      <w:pPr>
        <w:widowControl/>
        <w:spacing w:line="400" w:lineRule="exact"/>
        <w:jc w:val="left"/>
        <w:rPr>
          <w:rFonts w:ascii="宋体" w:hAnsi="宋体" w:cs="宋体"/>
          <w:sz w:val="24"/>
        </w:rPr>
      </w:pPr>
      <w:bookmarkStart w:id="261" w:name="_Toc398111711"/>
      <w:bookmarkStart w:id="262" w:name="_Toc9194614"/>
      <w:bookmarkStart w:id="263" w:name="_Toc18691"/>
      <w:r>
        <w:rPr>
          <w:rFonts w:hint="eastAsia" w:ascii="宋体" w:hAnsi="宋体" w:cs="宋体"/>
          <w:sz w:val="24"/>
        </w:rPr>
        <w:br w:type="page"/>
      </w:r>
      <w:r>
        <w:rPr>
          <w:rFonts w:hint="eastAsia" w:ascii="宋体" w:hAnsi="宋体" w:cs="宋体"/>
          <w:sz w:val="24"/>
        </w:rPr>
        <w:t>附录B  委托人派遣的人员和提供的房屋、资料、设备</w:t>
      </w:r>
      <w:bookmarkEnd w:id="261"/>
      <w:bookmarkEnd w:id="262"/>
      <w:bookmarkEnd w:id="263"/>
    </w:p>
    <w:p>
      <w:pPr>
        <w:keepNext/>
        <w:keepLines/>
        <w:spacing w:before="20" w:after="20" w:line="360" w:lineRule="auto"/>
        <w:outlineLvl w:val="2"/>
        <w:rPr>
          <w:rFonts w:ascii="宋体" w:hAnsi="宋体" w:cs="宋体"/>
          <w:bCs/>
          <w:kern w:val="0"/>
          <w:sz w:val="24"/>
        </w:rPr>
      </w:pPr>
      <w:bookmarkStart w:id="264" w:name="_Toc9194615"/>
      <w:bookmarkStart w:id="265" w:name="_Toc245"/>
      <w:bookmarkStart w:id="266" w:name="_Toc66888538"/>
      <w:bookmarkStart w:id="267" w:name="_Toc66888645"/>
      <w:bookmarkStart w:id="268" w:name="_Toc71830949"/>
      <w:bookmarkStart w:id="269" w:name="_Toc398111712"/>
      <w:r>
        <w:rPr>
          <w:rFonts w:hint="eastAsia" w:ascii="宋体" w:hAnsi="宋体" w:cs="宋体"/>
          <w:bCs/>
          <w:kern w:val="0"/>
          <w:sz w:val="24"/>
        </w:rPr>
        <w:t>B-1  委托人派遣的人员</w:t>
      </w:r>
      <w:bookmarkEnd w:id="264"/>
      <w:bookmarkEnd w:id="265"/>
      <w:bookmarkEnd w:id="266"/>
      <w:bookmarkEnd w:id="267"/>
      <w:bookmarkEnd w:id="268"/>
      <w:bookmarkEnd w:id="269"/>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jc w:val="center"/>
              <w:rPr>
                <w:rFonts w:ascii="宋体" w:hAnsi="宋体" w:cs="宋体"/>
                <w:sz w:val="24"/>
              </w:rPr>
            </w:pPr>
            <w:r>
              <w:rPr>
                <w:rFonts w:hint="eastAsia" w:ascii="宋体" w:hAnsi="宋体" w:cs="宋体"/>
                <w:sz w:val="24"/>
              </w:rPr>
              <w:t>名称</w:t>
            </w:r>
          </w:p>
        </w:tc>
        <w:tc>
          <w:tcPr>
            <w:tcW w:w="1770" w:type="dxa"/>
          </w:tcPr>
          <w:p>
            <w:pPr>
              <w:spacing w:line="360" w:lineRule="auto"/>
              <w:jc w:val="center"/>
              <w:rPr>
                <w:rFonts w:ascii="宋体" w:hAnsi="宋体" w:cs="宋体"/>
                <w:sz w:val="24"/>
              </w:rPr>
            </w:pPr>
            <w:r>
              <w:rPr>
                <w:rFonts w:hint="eastAsia" w:ascii="宋体" w:hAnsi="宋体" w:cs="宋体"/>
                <w:sz w:val="24"/>
              </w:rPr>
              <w:t>数量</w:t>
            </w:r>
          </w:p>
        </w:tc>
        <w:tc>
          <w:tcPr>
            <w:tcW w:w="2130" w:type="dxa"/>
          </w:tcPr>
          <w:p>
            <w:pPr>
              <w:spacing w:line="360" w:lineRule="auto"/>
              <w:jc w:val="center"/>
              <w:rPr>
                <w:rFonts w:ascii="宋体" w:hAnsi="宋体" w:cs="宋体"/>
                <w:sz w:val="24"/>
              </w:rPr>
            </w:pPr>
            <w:r>
              <w:rPr>
                <w:rFonts w:hint="eastAsia" w:ascii="宋体" w:hAnsi="宋体" w:cs="宋体"/>
                <w:sz w:val="24"/>
              </w:rPr>
              <w:t>工作要求</w:t>
            </w:r>
          </w:p>
        </w:tc>
        <w:tc>
          <w:tcPr>
            <w:tcW w:w="1860" w:type="dxa"/>
          </w:tcPr>
          <w:p>
            <w:pPr>
              <w:spacing w:line="360" w:lineRule="auto"/>
              <w:jc w:val="center"/>
              <w:rPr>
                <w:rFonts w:ascii="宋体" w:hAnsi="宋体" w:cs="宋体"/>
                <w:sz w:val="24"/>
              </w:rPr>
            </w:pPr>
            <w:r>
              <w:rPr>
                <w:rFonts w:hint="eastAsia" w:ascii="宋体" w:hAnsi="宋体" w:cs="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宋体" w:hAnsi="宋体" w:cs="宋体"/>
                <w:sz w:val="24"/>
              </w:rPr>
            </w:pPr>
            <w:r>
              <w:rPr>
                <w:rFonts w:hint="eastAsia" w:ascii="宋体" w:hAnsi="宋体" w:cs="宋体"/>
                <w:sz w:val="24"/>
              </w:rPr>
              <w:t xml:space="preserve">1. 工程技术人员 </w:t>
            </w:r>
          </w:p>
        </w:tc>
        <w:tc>
          <w:tcPr>
            <w:tcW w:w="1770" w:type="dxa"/>
          </w:tcPr>
          <w:p>
            <w:pPr>
              <w:spacing w:line="360" w:lineRule="auto"/>
              <w:jc w:val="center"/>
              <w:rPr>
                <w:rFonts w:ascii="宋体" w:hAnsi="宋体" w:cs="宋体"/>
                <w:sz w:val="24"/>
              </w:rPr>
            </w:pPr>
            <w:r>
              <w:rPr>
                <w:rFonts w:hint="eastAsia" w:ascii="宋体" w:hAnsi="宋体" w:cs="宋体"/>
                <w:sz w:val="24"/>
              </w:rPr>
              <w:t>/</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1860"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宋体" w:hAnsi="宋体" w:cs="宋体"/>
                <w:sz w:val="24"/>
              </w:rPr>
            </w:pPr>
            <w:r>
              <w:rPr>
                <w:rFonts w:hint="eastAsia" w:ascii="宋体" w:hAnsi="宋体" w:cs="宋体"/>
                <w:sz w:val="24"/>
              </w:rPr>
              <w:t>2. 辅助工作人员</w:t>
            </w:r>
          </w:p>
        </w:tc>
        <w:tc>
          <w:tcPr>
            <w:tcW w:w="1770" w:type="dxa"/>
          </w:tcPr>
          <w:p>
            <w:pPr>
              <w:spacing w:line="360" w:lineRule="auto"/>
              <w:jc w:val="center"/>
              <w:rPr>
                <w:rFonts w:ascii="宋体" w:hAnsi="宋体" w:cs="宋体"/>
                <w:sz w:val="24"/>
              </w:rPr>
            </w:pPr>
            <w:r>
              <w:rPr>
                <w:rFonts w:hint="eastAsia" w:ascii="宋体" w:hAnsi="宋体" w:cs="宋体"/>
                <w:sz w:val="24"/>
              </w:rPr>
              <w:t>/</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1860"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spacing w:line="360" w:lineRule="auto"/>
              <w:rPr>
                <w:rFonts w:ascii="宋体" w:hAnsi="宋体" w:cs="宋体"/>
                <w:sz w:val="24"/>
              </w:rPr>
            </w:pPr>
            <w:r>
              <w:rPr>
                <w:rFonts w:hint="eastAsia" w:ascii="宋体" w:hAnsi="宋体" w:cs="宋体"/>
                <w:sz w:val="24"/>
              </w:rPr>
              <w:t>3. 其他人员</w:t>
            </w:r>
          </w:p>
        </w:tc>
        <w:tc>
          <w:tcPr>
            <w:tcW w:w="1770" w:type="dxa"/>
          </w:tcPr>
          <w:p>
            <w:pPr>
              <w:spacing w:line="360" w:lineRule="auto"/>
              <w:jc w:val="center"/>
              <w:rPr>
                <w:rFonts w:ascii="宋体" w:hAnsi="宋体" w:cs="宋体"/>
                <w:sz w:val="24"/>
              </w:rPr>
            </w:pPr>
            <w:r>
              <w:rPr>
                <w:rFonts w:hint="eastAsia" w:ascii="宋体" w:hAnsi="宋体" w:cs="宋体"/>
                <w:sz w:val="24"/>
              </w:rPr>
              <w:t>/</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1860" w:type="dxa"/>
          </w:tcPr>
          <w:p>
            <w:pPr>
              <w:spacing w:line="360" w:lineRule="auto"/>
              <w:jc w:val="center"/>
              <w:rPr>
                <w:rFonts w:ascii="宋体" w:hAnsi="宋体" w:cs="宋体"/>
                <w:sz w:val="24"/>
              </w:rPr>
            </w:pPr>
            <w:r>
              <w:rPr>
                <w:rFonts w:hint="eastAsia" w:ascii="宋体" w:hAnsi="宋体" w:cs="宋体"/>
                <w:sz w:val="24"/>
              </w:rPr>
              <w:t>/</w:t>
            </w:r>
          </w:p>
        </w:tc>
      </w:tr>
    </w:tbl>
    <w:p>
      <w:pPr>
        <w:keepNext/>
        <w:keepLines/>
        <w:spacing w:before="20" w:after="20" w:line="360" w:lineRule="auto"/>
        <w:outlineLvl w:val="2"/>
        <w:rPr>
          <w:rFonts w:ascii="宋体" w:hAnsi="宋体" w:cs="宋体"/>
          <w:bCs/>
          <w:kern w:val="0"/>
          <w:sz w:val="24"/>
        </w:rPr>
      </w:pPr>
      <w:bookmarkStart w:id="270" w:name="_Toc71830950"/>
      <w:bookmarkStart w:id="271" w:name="_Toc9194616"/>
      <w:bookmarkStart w:id="272" w:name="_Toc398111713"/>
      <w:bookmarkStart w:id="273" w:name="_Toc66888539"/>
      <w:bookmarkStart w:id="274" w:name="_Toc66888646"/>
      <w:bookmarkStart w:id="275" w:name="_Toc6611"/>
      <w:r>
        <w:rPr>
          <w:rFonts w:hint="eastAsia" w:ascii="宋体" w:hAnsi="宋体" w:cs="宋体"/>
          <w:bCs/>
          <w:kern w:val="0"/>
          <w:sz w:val="24"/>
        </w:rPr>
        <w:t>B-2  委托人提供的房屋</w:t>
      </w:r>
      <w:bookmarkEnd w:id="270"/>
      <w:bookmarkEnd w:id="271"/>
      <w:bookmarkEnd w:id="272"/>
      <w:bookmarkEnd w:id="273"/>
      <w:bookmarkEnd w:id="274"/>
      <w:bookmarkEnd w:id="275"/>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8" w:type="dxa"/>
          </w:tcPr>
          <w:p>
            <w:pPr>
              <w:spacing w:line="360" w:lineRule="auto"/>
              <w:jc w:val="center"/>
              <w:rPr>
                <w:rFonts w:ascii="宋体" w:hAnsi="宋体" w:cs="宋体"/>
                <w:sz w:val="24"/>
              </w:rPr>
            </w:pPr>
            <w:r>
              <w:rPr>
                <w:rFonts w:hint="eastAsia" w:ascii="宋体" w:hAnsi="宋体" w:cs="宋体"/>
                <w:sz w:val="24"/>
              </w:rPr>
              <w:t>名称</w:t>
            </w:r>
          </w:p>
        </w:tc>
        <w:tc>
          <w:tcPr>
            <w:tcW w:w="2130" w:type="dxa"/>
          </w:tcPr>
          <w:p>
            <w:pPr>
              <w:spacing w:line="360" w:lineRule="auto"/>
              <w:jc w:val="center"/>
              <w:rPr>
                <w:rFonts w:ascii="宋体" w:hAnsi="宋体" w:cs="宋体"/>
                <w:sz w:val="24"/>
              </w:rPr>
            </w:pPr>
            <w:r>
              <w:rPr>
                <w:rFonts w:hint="eastAsia" w:ascii="宋体" w:hAnsi="宋体" w:cs="宋体"/>
                <w:sz w:val="24"/>
              </w:rPr>
              <w:t>数量</w:t>
            </w:r>
          </w:p>
        </w:tc>
        <w:tc>
          <w:tcPr>
            <w:tcW w:w="2130" w:type="dxa"/>
          </w:tcPr>
          <w:p>
            <w:pPr>
              <w:spacing w:line="360" w:lineRule="auto"/>
              <w:jc w:val="center"/>
              <w:rPr>
                <w:rFonts w:ascii="宋体" w:hAnsi="宋体" w:cs="宋体"/>
                <w:sz w:val="24"/>
              </w:rPr>
            </w:pPr>
            <w:r>
              <w:rPr>
                <w:rFonts w:hint="eastAsia" w:ascii="宋体" w:hAnsi="宋体" w:cs="宋体"/>
                <w:sz w:val="24"/>
              </w:rPr>
              <w:t>面积</w:t>
            </w:r>
          </w:p>
        </w:tc>
        <w:tc>
          <w:tcPr>
            <w:tcW w:w="1860" w:type="dxa"/>
          </w:tcPr>
          <w:p>
            <w:pPr>
              <w:spacing w:line="360" w:lineRule="auto"/>
              <w:jc w:val="center"/>
              <w:rPr>
                <w:rFonts w:ascii="宋体" w:hAnsi="宋体" w:cs="宋体"/>
                <w:sz w:val="24"/>
              </w:rPr>
            </w:pPr>
            <w:r>
              <w:rPr>
                <w:rFonts w:hint="eastAsia" w:ascii="宋体" w:hAnsi="宋体" w:cs="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cs="宋体"/>
                <w:sz w:val="24"/>
              </w:rPr>
            </w:pPr>
            <w:r>
              <w:rPr>
                <w:rFonts w:hint="eastAsia" w:ascii="宋体" w:hAnsi="宋体" w:cs="宋体"/>
                <w:sz w:val="24"/>
              </w:rPr>
              <w:t>1. 办公用房</w:t>
            </w:r>
          </w:p>
        </w:tc>
        <w:tc>
          <w:tcPr>
            <w:tcW w:w="2130" w:type="dxa"/>
          </w:tcPr>
          <w:p>
            <w:pPr>
              <w:spacing w:line="360" w:lineRule="auto"/>
              <w:ind w:firstLine="240" w:firstLineChars="100"/>
              <w:jc w:val="center"/>
              <w:rPr>
                <w:rFonts w:ascii="宋体" w:hAnsi="宋体" w:cs="宋体"/>
                <w:sz w:val="24"/>
              </w:rPr>
            </w:pPr>
            <w:r>
              <w:rPr>
                <w:rFonts w:hint="eastAsia" w:ascii="宋体" w:hAnsi="宋体" w:cs="宋体"/>
                <w:sz w:val="24"/>
              </w:rPr>
              <w:t>/</w:t>
            </w:r>
          </w:p>
        </w:tc>
        <w:tc>
          <w:tcPr>
            <w:tcW w:w="2130" w:type="dxa"/>
          </w:tcPr>
          <w:p>
            <w:pPr>
              <w:spacing w:line="360" w:lineRule="auto"/>
              <w:ind w:firstLine="240" w:firstLineChars="100"/>
              <w:jc w:val="center"/>
              <w:rPr>
                <w:rFonts w:ascii="宋体" w:hAnsi="宋体" w:cs="宋体"/>
                <w:sz w:val="24"/>
              </w:rPr>
            </w:pPr>
            <w:r>
              <w:rPr>
                <w:rFonts w:hint="eastAsia" w:ascii="宋体" w:hAnsi="宋体" w:cs="宋体"/>
                <w:sz w:val="24"/>
              </w:rPr>
              <w:t>/</w:t>
            </w:r>
          </w:p>
        </w:tc>
        <w:tc>
          <w:tcPr>
            <w:tcW w:w="1860"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cs="宋体"/>
                <w:sz w:val="24"/>
              </w:rPr>
            </w:pPr>
            <w:r>
              <w:rPr>
                <w:rFonts w:hint="eastAsia" w:ascii="宋体" w:hAnsi="宋体" w:cs="宋体"/>
                <w:sz w:val="24"/>
              </w:rPr>
              <w:t>2. 生活用房</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1860"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cs="宋体"/>
                <w:dstrike/>
                <w:sz w:val="24"/>
              </w:rPr>
            </w:pPr>
            <w:r>
              <w:rPr>
                <w:rFonts w:hint="eastAsia" w:ascii="宋体" w:hAnsi="宋体" w:cs="宋体"/>
                <w:sz w:val="24"/>
              </w:rPr>
              <w:t>3. 试验用房</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1860"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cs="宋体"/>
                <w:sz w:val="24"/>
              </w:rPr>
            </w:pPr>
            <w:r>
              <w:rPr>
                <w:rFonts w:hint="eastAsia" w:ascii="宋体" w:hAnsi="宋体" w:cs="宋体"/>
                <w:sz w:val="24"/>
              </w:rPr>
              <w:t>4. 样品用房</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2130" w:type="dxa"/>
          </w:tcPr>
          <w:p>
            <w:pPr>
              <w:spacing w:line="360" w:lineRule="auto"/>
              <w:jc w:val="center"/>
              <w:rPr>
                <w:rFonts w:ascii="宋体" w:hAnsi="宋体" w:cs="宋体"/>
                <w:sz w:val="24"/>
              </w:rPr>
            </w:pPr>
          </w:p>
        </w:tc>
        <w:tc>
          <w:tcPr>
            <w:tcW w:w="1860"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spacing w:line="360" w:lineRule="auto"/>
              <w:rPr>
                <w:rFonts w:ascii="宋体" w:hAnsi="宋体" w:cs="宋体"/>
                <w:sz w:val="24"/>
              </w:rPr>
            </w:pPr>
            <w:r>
              <w:rPr>
                <w:rFonts w:hint="eastAsia" w:ascii="宋体" w:hAnsi="宋体" w:cs="宋体"/>
                <w:sz w:val="24"/>
              </w:rPr>
              <w:t>用餐及其他生活条件</w:t>
            </w:r>
          </w:p>
        </w:tc>
        <w:tc>
          <w:tcPr>
            <w:tcW w:w="6120" w:type="dxa"/>
            <w:gridSpan w:val="3"/>
          </w:tcPr>
          <w:p>
            <w:pPr>
              <w:spacing w:line="360" w:lineRule="auto"/>
              <w:jc w:val="center"/>
              <w:rPr>
                <w:rFonts w:ascii="宋体" w:hAnsi="宋体" w:cs="宋体"/>
                <w:sz w:val="24"/>
              </w:rPr>
            </w:pPr>
            <w:r>
              <w:rPr>
                <w:rFonts w:hint="eastAsia" w:ascii="宋体" w:hAnsi="宋体" w:cs="宋体"/>
                <w:sz w:val="24"/>
              </w:rPr>
              <w:t>/</w:t>
            </w:r>
          </w:p>
        </w:tc>
      </w:tr>
    </w:tbl>
    <w:p>
      <w:pPr>
        <w:keepNext/>
        <w:keepLines/>
        <w:spacing w:before="20" w:after="20" w:line="360" w:lineRule="auto"/>
        <w:outlineLvl w:val="2"/>
        <w:rPr>
          <w:rFonts w:ascii="宋体" w:hAnsi="宋体" w:cs="宋体"/>
          <w:bCs/>
          <w:kern w:val="0"/>
          <w:sz w:val="24"/>
        </w:rPr>
      </w:pPr>
      <w:bookmarkStart w:id="276" w:name="_Toc398111714"/>
      <w:bookmarkStart w:id="277" w:name="_Toc66888647"/>
      <w:bookmarkStart w:id="278" w:name="_Toc9194617"/>
      <w:bookmarkStart w:id="279" w:name="_Toc66888540"/>
      <w:bookmarkStart w:id="280" w:name="_Toc12490"/>
      <w:bookmarkStart w:id="281" w:name="_Toc71830951"/>
      <w:r>
        <w:rPr>
          <w:rFonts w:hint="eastAsia" w:ascii="宋体" w:hAnsi="宋体" w:cs="宋体"/>
          <w:bCs/>
          <w:kern w:val="0"/>
          <w:sz w:val="24"/>
        </w:rPr>
        <w:t>B-3  委托人提供的资料</w:t>
      </w:r>
      <w:bookmarkEnd w:id="276"/>
      <w:bookmarkEnd w:id="277"/>
      <w:bookmarkEnd w:id="278"/>
      <w:bookmarkEnd w:id="279"/>
      <w:bookmarkEnd w:id="280"/>
      <w:bookmarkEnd w:id="281"/>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jc w:val="center"/>
              <w:rPr>
                <w:rFonts w:ascii="宋体" w:hAnsi="宋体" w:cs="宋体"/>
                <w:kern w:val="0"/>
                <w:sz w:val="24"/>
              </w:rPr>
            </w:pPr>
            <w:r>
              <w:rPr>
                <w:rFonts w:hint="eastAsia" w:ascii="宋体" w:hAnsi="宋体" w:cs="宋体"/>
                <w:kern w:val="0"/>
                <w:sz w:val="24"/>
              </w:rPr>
              <w:t>名称</w:t>
            </w:r>
          </w:p>
        </w:tc>
        <w:tc>
          <w:tcPr>
            <w:tcW w:w="1491" w:type="dxa"/>
          </w:tcPr>
          <w:p>
            <w:pPr>
              <w:spacing w:line="360" w:lineRule="auto"/>
              <w:jc w:val="center"/>
              <w:rPr>
                <w:rFonts w:ascii="宋体" w:hAnsi="宋体" w:cs="宋体"/>
                <w:kern w:val="0"/>
                <w:sz w:val="24"/>
              </w:rPr>
            </w:pPr>
            <w:r>
              <w:rPr>
                <w:rFonts w:hint="eastAsia" w:ascii="宋体" w:hAnsi="宋体" w:cs="宋体"/>
                <w:kern w:val="0"/>
                <w:sz w:val="24"/>
              </w:rPr>
              <w:t>份数</w:t>
            </w:r>
          </w:p>
        </w:tc>
        <w:tc>
          <w:tcPr>
            <w:tcW w:w="2147" w:type="dxa"/>
          </w:tcPr>
          <w:p>
            <w:pPr>
              <w:spacing w:line="360" w:lineRule="auto"/>
              <w:jc w:val="center"/>
              <w:rPr>
                <w:rFonts w:ascii="宋体" w:hAnsi="宋体" w:cs="宋体"/>
                <w:kern w:val="0"/>
                <w:sz w:val="24"/>
              </w:rPr>
            </w:pPr>
            <w:r>
              <w:rPr>
                <w:rFonts w:hint="eastAsia" w:ascii="宋体" w:hAnsi="宋体" w:cs="宋体"/>
                <w:kern w:val="0"/>
                <w:sz w:val="24"/>
              </w:rPr>
              <w:t>提供时间</w:t>
            </w:r>
          </w:p>
        </w:tc>
        <w:tc>
          <w:tcPr>
            <w:tcW w:w="2082" w:type="dxa"/>
          </w:tcPr>
          <w:p>
            <w:pPr>
              <w:spacing w:line="360" w:lineRule="auto"/>
              <w:jc w:val="center"/>
              <w:rPr>
                <w:rFonts w:ascii="宋体" w:hAnsi="宋体" w:cs="宋体"/>
                <w:kern w:val="0"/>
                <w:sz w:val="24"/>
              </w:rPr>
            </w:pPr>
            <w:r>
              <w:rPr>
                <w:rFonts w:hint="eastAsia" w:ascii="宋体" w:hAnsi="宋体" w:cs="宋体"/>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cs="宋体"/>
                <w:kern w:val="0"/>
                <w:sz w:val="24"/>
              </w:rPr>
            </w:pPr>
            <w:r>
              <w:rPr>
                <w:rFonts w:hint="eastAsia" w:ascii="宋体" w:hAnsi="宋体" w:cs="宋体"/>
                <w:kern w:val="0"/>
                <w:sz w:val="24"/>
              </w:rPr>
              <w:t>1. 工程立项文件</w:t>
            </w:r>
          </w:p>
        </w:tc>
        <w:tc>
          <w:tcPr>
            <w:tcW w:w="1491"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2147" w:type="dxa"/>
          </w:tcPr>
          <w:p>
            <w:pPr>
              <w:spacing w:line="360" w:lineRule="auto"/>
              <w:jc w:val="center"/>
              <w:rPr>
                <w:rFonts w:ascii="宋体" w:hAnsi="宋体" w:cs="宋体"/>
                <w:kern w:val="0"/>
                <w:sz w:val="24"/>
              </w:rPr>
            </w:pPr>
            <w:r>
              <w:rPr>
                <w:rFonts w:hint="eastAsia" w:ascii="宋体" w:hAnsi="宋体" w:cs="宋体"/>
                <w:sz w:val="24"/>
              </w:rPr>
              <w:t>开工前</w:t>
            </w:r>
          </w:p>
        </w:tc>
        <w:tc>
          <w:tcPr>
            <w:tcW w:w="208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cs="宋体"/>
                <w:kern w:val="0"/>
                <w:sz w:val="24"/>
              </w:rPr>
            </w:pPr>
            <w:r>
              <w:rPr>
                <w:rFonts w:hint="eastAsia" w:ascii="宋体" w:hAnsi="宋体" w:cs="宋体"/>
                <w:kern w:val="0"/>
                <w:sz w:val="24"/>
              </w:rPr>
              <w:t>2. 工程勘察文件</w:t>
            </w:r>
          </w:p>
        </w:tc>
        <w:tc>
          <w:tcPr>
            <w:tcW w:w="1491" w:type="dxa"/>
          </w:tcPr>
          <w:p>
            <w:pPr>
              <w:spacing w:line="360" w:lineRule="auto"/>
              <w:jc w:val="center"/>
              <w:rPr>
                <w:rFonts w:ascii="宋体" w:hAnsi="宋体" w:cs="宋体"/>
                <w:kern w:val="0"/>
                <w:sz w:val="24"/>
              </w:rPr>
            </w:pPr>
            <w:r>
              <w:rPr>
                <w:rFonts w:hint="eastAsia" w:ascii="宋体" w:hAnsi="宋体" w:cs="宋体"/>
                <w:sz w:val="24"/>
              </w:rPr>
              <w:t>/</w:t>
            </w:r>
          </w:p>
        </w:tc>
        <w:tc>
          <w:tcPr>
            <w:tcW w:w="2147" w:type="dxa"/>
          </w:tcPr>
          <w:p>
            <w:pPr>
              <w:spacing w:line="360" w:lineRule="auto"/>
              <w:jc w:val="center"/>
              <w:rPr>
                <w:rFonts w:ascii="宋体" w:hAnsi="宋体" w:cs="宋体"/>
                <w:kern w:val="0"/>
                <w:sz w:val="24"/>
              </w:rPr>
            </w:pPr>
            <w:r>
              <w:rPr>
                <w:rFonts w:hint="eastAsia" w:ascii="宋体" w:hAnsi="宋体" w:cs="宋体"/>
                <w:sz w:val="24"/>
              </w:rPr>
              <w:t>/</w:t>
            </w:r>
          </w:p>
        </w:tc>
        <w:tc>
          <w:tcPr>
            <w:tcW w:w="208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cs="宋体"/>
                <w:kern w:val="0"/>
                <w:sz w:val="24"/>
              </w:rPr>
            </w:pPr>
            <w:r>
              <w:rPr>
                <w:rFonts w:hint="eastAsia" w:ascii="宋体" w:hAnsi="宋体" w:cs="宋体"/>
                <w:kern w:val="0"/>
                <w:sz w:val="24"/>
              </w:rPr>
              <w:t>3. 工程设计及施工图纸</w:t>
            </w:r>
          </w:p>
        </w:tc>
        <w:tc>
          <w:tcPr>
            <w:tcW w:w="1491"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2147" w:type="dxa"/>
          </w:tcPr>
          <w:p>
            <w:pPr>
              <w:spacing w:line="360" w:lineRule="auto"/>
              <w:jc w:val="center"/>
              <w:rPr>
                <w:rFonts w:ascii="宋体" w:hAnsi="宋体" w:cs="宋体"/>
                <w:kern w:val="0"/>
                <w:sz w:val="24"/>
              </w:rPr>
            </w:pPr>
            <w:r>
              <w:rPr>
                <w:rFonts w:hint="eastAsia" w:ascii="宋体" w:hAnsi="宋体" w:cs="宋体"/>
                <w:sz w:val="24"/>
              </w:rPr>
              <w:t>开工前</w:t>
            </w:r>
          </w:p>
        </w:tc>
        <w:tc>
          <w:tcPr>
            <w:tcW w:w="208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cs="宋体"/>
                <w:kern w:val="0"/>
                <w:sz w:val="24"/>
              </w:rPr>
            </w:pPr>
            <w:r>
              <w:rPr>
                <w:rFonts w:hint="eastAsia" w:ascii="宋体" w:hAnsi="宋体" w:cs="宋体"/>
                <w:kern w:val="0"/>
                <w:sz w:val="24"/>
              </w:rPr>
              <w:t>4. 工程承包合同及其他相关合同</w:t>
            </w:r>
          </w:p>
        </w:tc>
        <w:tc>
          <w:tcPr>
            <w:tcW w:w="1491" w:type="dxa"/>
          </w:tcPr>
          <w:p>
            <w:pPr>
              <w:spacing w:line="360" w:lineRule="auto"/>
              <w:jc w:val="center"/>
              <w:rPr>
                <w:rFonts w:ascii="宋体" w:hAnsi="宋体" w:cs="宋体"/>
                <w:kern w:val="0"/>
                <w:sz w:val="24"/>
              </w:rPr>
            </w:pPr>
            <w:r>
              <w:rPr>
                <w:rFonts w:hint="eastAsia" w:ascii="宋体" w:hAnsi="宋体" w:cs="宋体"/>
                <w:kern w:val="0"/>
                <w:sz w:val="24"/>
              </w:rPr>
              <w:t>1</w:t>
            </w:r>
          </w:p>
        </w:tc>
        <w:tc>
          <w:tcPr>
            <w:tcW w:w="2147" w:type="dxa"/>
          </w:tcPr>
          <w:p>
            <w:pPr>
              <w:spacing w:line="360" w:lineRule="auto"/>
              <w:jc w:val="center"/>
              <w:rPr>
                <w:rFonts w:ascii="宋体" w:hAnsi="宋体" w:cs="宋体"/>
                <w:kern w:val="0"/>
                <w:sz w:val="24"/>
              </w:rPr>
            </w:pPr>
            <w:r>
              <w:rPr>
                <w:rFonts w:hint="eastAsia" w:ascii="宋体" w:hAnsi="宋体" w:cs="宋体"/>
                <w:sz w:val="24"/>
              </w:rPr>
              <w:t>开工前</w:t>
            </w:r>
          </w:p>
        </w:tc>
        <w:tc>
          <w:tcPr>
            <w:tcW w:w="208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cs="宋体"/>
                <w:kern w:val="0"/>
                <w:sz w:val="24"/>
              </w:rPr>
            </w:pPr>
            <w:r>
              <w:rPr>
                <w:rFonts w:hint="eastAsia" w:ascii="宋体" w:hAnsi="宋体" w:cs="宋体"/>
                <w:kern w:val="0"/>
                <w:sz w:val="24"/>
              </w:rPr>
              <w:t>5. 施工许可文件</w:t>
            </w:r>
          </w:p>
        </w:tc>
        <w:tc>
          <w:tcPr>
            <w:tcW w:w="1491" w:type="dxa"/>
          </w:tcPr>
          <w:p>
            <w:pPr>
              <w:spacing w:line="360" w:lineRule="auto"/>
              <w:jc w:val="center"/>
              <w:rPr>
                <w:rFonts w:ascii="宋体" w:hAnsi="宋体" w:cs="宋体"/>
                <w:kern w:val="0"/>
                <w:sz w:val="24"/>
              </w:rPr>
            </w:pPr>
            <w:r>
              <w:rPr>
                <w:rFonts w:hint="eastAsia" w:ascii="宋体" w:hAnsi="宋体" w:cs="宋体"/>
                <w:sz w:val="24"/>
              </w:rPr>
              <w:t>/</w:t>
            </w:r>
          </w:p>
        </w:tc>
        <w:tc>
          <w:tcPr>
            <w:tcW w:w="2147" w:type="dxa"/>
          </w:tcPr>
          <w:p>
            <w:pPr>
              <w:spacing w:line="360" w:lineRule="auto"/>
              <w:jc w:val="center"/>
              <w:rPr>
                <w:rFonts w:ascii="宋体" w:hAnsi="宋体" w:cs="宋体"/>
                <w:kern w:val="0"/>
                <w:sz w:val="24"/>
              </w:rPr>
            </w:pPr>
            <w:r>
              <w:rPr>
                <w:rFonts w:hint="eastAsia" w:ascii="宋体" w:hAnsi="宋体" w:cs="宋体"/>
                <w:sz w:val="24"/>
              </w:rPr>
              <w:t>开工前</w:t>
            </w:r>
          </w:p>
        </w:tc>
        <w:tc>
          <w:tcPr>
            <w:tcW w:w="2082" w:type="dxa"/>
          </w:tcPr>
          <w:p>
            <w:pPr>
              <w:spacing w:line="360" w:lineRule="auto"/>
              <w:jc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spacing w:line="360" w:lineRule="auto"/>
              <w:rPr>
                <w:rFonts w:ascii="宋体" w:hAnsi="宋体" w:cs="宋体"/>
                <w:kern w:val="0"/>
                <w:sz w:val="24"/>
              </w:rPr>
            </w:pPr>
            <w:r>
              <w:rPr>
                <w:rFonts w:hint="eastAsia" w:ascii="宋体" w:hAnsi="宋体" w:cs="宋体"/>
                <w:kern w:val="0"/>
                <w:sz w:val="24"/>
              </w:rPr>
              <w:t>6. 其他文件</w:t>
            </w:r>
          </w:p>
        </w:tc>
        <w:tc>
          <w:tcPr>
            <w:tcW w:w="1491" w:type="dxa"/>
          </w:tcPr>
          <w:p>
            <w:pPr>
              <w:spacing w:line="360" w:lineRule="auto"/>
              <w:jc w:val="center"/>
              <w:rPr>
                <w:rFonts w:ascii="宋体" w:hAnsi="宋体" w:cs="宋体"/>
                <w:kern w:val="0"/>
                <w:sz w:val="24"/>
              </w:rPr>
            </w:pPr>
            <w:r>
              <w:rPr>
                <w:rFonts w:hint="eastAsia" w:ascii="宋体" w:hAnsi="宋体" w:cs="宋体"/>
                <w:sz w:val="24"/>
              </w:rPr>
              <w:t>/</w:t>
            </w:r>
          </w:p>
        </w:tc>
        <w:tc>
          <w:tcPr>
            <w:tcW w:w="2147" w:type="dxa"/>
          </w:tcPr>
          <w:p>
            <w:pPr>
              <w:spacing w:line="360" w:lineRule="auto"/>
              <w:jc w:val="center"/>
              <w:rPr>
                <w:rFonts w:ascii="宋体" w:hAnsi="宋体" w:cs="宋体"/>
                <w:kern w:val="0"/>
                <w:sz w:val="24"/>
              </w:rPr>
            </w:pPr>
            <w:r>
              <w:rPr>
                <w:rFonts w:hint="eastAsia" w:ascii="宋体" w:hAnsi="宋体" w:cs="宋体"/>
                <w:sz w:val="24"/>
              </w:rPr>
              <w:t>开工前</w:t>
            </w:r>
          </w:p>
        </w:tc>
        <w:tc>
          <w:tcPr>
            <w:tcW w:w="2082" w:type="dxa"/>
          </w:tcPr>
          <w:p>
            <w:pPr>
              <w:spacing w:line="360" w:lineRule="auto"/>
              <w:jc w:val="center"/>
              <w:rPr>
                <w:rFonts w:ascii="宋体" w:hAnsi="宋体" w:cs="宋体"/>
                <w:kern w:val="0"/>
                <w:sz w:val="24"/>
              </w:rPr>
            </w:pPr>
          </w:p>
        </w:tc>
      </w:tr>
    </w:tbl>
    <w:p>
      <w:pPr>
        <w:keepNext/>
        <w:keepLines/>
        <w:spacing w:before="20" w:after="20" w:line="360" w:lineRule="auto"/>
        <w:outlineLvl w:val="2"/>
        <w:rPr>
          <w:rFonts w:ascii="宋体" w:hAnsi="宋体" w:cs="宋体"/>
          <w:bCs/>
          <w:kern w:val="0"/>
          <w:sz w:val="24"/>
        </w:rPr>
      </w:pPr>
      <w:bookmarkStart w:id="282" w:name="_Toc398111715"/>
      <w:bookmarkStart w:id="283" w:name="_Toc9194618"/>
      <w:bookmarkStart w:id="284" w:name="_Toc71830952"/>
      <w:bookmarkStart w:id="285" w:name="_Toc66888648"/>
      <w:bookmarkStart w:id="286" w:name="_Toc66888541"/>
      <w:bookmarkStart w:id="287" w:name="_Toc7203"/>
      <w:r>
        <w:rPr>
          <w:rFonts w:hint="eastAsia" w:ascii="宋体" w:hAnsi="宋体" w:cs="宋体"/>
          <w:bCs/>
          <w:kern w:val="0"/>
          <w:sz w:val="24"/>
        </w:rPr>
        <w:t>B-4 委托人提供的设备</w:t>
      </w:r>
      <w:bookmarkEnd w:id="282"/>
      <w:bookmarkEnd w:id="283"/>
      <w:bookmarkEnd w:id="284"/>
      <w:bookmarkEnd w:id="285"/>
      <w:bookmarkEnd w:id="286"/>
      <w:bookmarkEnd w:id="287"/>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8" w:type="dxa"/>
          </w:tcPr>
          <w:p>
            <w:pPr>
              <w:spacing w:line="360" w:lineRule="auto"/>
              <w:jc w:val="center"/>
              <w:rPr>
                <w:rFonts w:ascii="宋体" w:hAnsi="宋体" w:cs="宋体"/>
                <w:sz w:val="24"/>
              </w:rPr>
            </w:pPr>
            <w:r>
              <w:rPr>
                <w:rFonts w:hint="eastAsia" w:ascii="宋体" w:hAnsi="宋体" w:cs="宋体"/>
                <w:sz w:val="24"/>
              </w:rPr>
              <w:t>名称</w:t>
            </w:r>
          </w:p>
        </w:tc>
        <w:tc>
          <w:tcPr>
            <w:tcW w:w="1590" w:type="dxa"/>
          </w:tcPr>
          <w:p>
            <w:pPr>
              <w:spacing w:line="360" w:lineRule="auto"/>
              <w:jc w:val="center"/>
              <w:rPr>
                <w:rFonts w:ascii="宋体" w:hAnsi="宋体" w:cs="宋体"/>
                <w:sz w:val="24"/>
              </w:rPr>
            </w:pPr>
            <w:r>
              <w:rPr>
                <w:rFonts w:hint="eastAsia" w:ascii="宋体" w:hAnsi="宋体" w:cs="宋体"/>
                <w:sz w:val="24"/>
              </w:rPr>
              <w:t>数量</w:t>
            </w:r>
          </w:p>
        </w:tc>
        <w:tc>
          <w:tcPr>
            <w:tcW w:w="2130" w:type="dxa"/>
          </w:tcPr>
          <w:p>
            <w:pPr>
              <w:spacing w:line="360" w:lineRule="auto"/>
              <w:jc w:val="center"/>
              <w:rPr>
                <w:rFonts w:ascii="宋体" w:hAnsi="宋体" w:cs="宋体"/>
                <w:sz w:val="24"/>
              </w:rPr>
            </w:pPr>
            <w:r>
              <w:rPr>
                <w:rFonts w:hint="eastAsia" w:ascii="宋体" w:hAnsi="宋体" w:cs="宋体"/>
                <w:sz w:val="24"/>
              </w:rPr>
              <w:t>型号与规格</w:t>
            </w:r>
          </w:p>
        </w:tc>
        <w:tc>
          <w:tcPr>
            <w:tcW w:w="1860" w:type="dxa"/>
          </w:tcPr>
          <w:p>
            <w:pPr>
              <w:spacing w:line="360" w:lineRule="auto"/>
              <w:jc w:val="center"/>
              <w:rPr>
                <w:rFonts w:ascii="宋体" w:hAnsi="宋体" w:cs="宋体"/>
                <w:sz w:val="24"/>
              </w:rPr>
            </w:pPr>
            <w:r>
              <w:rPr>
                <w:rFonts w:hint="eastAsia" w:ascii="宋体" w:hAnsi="宋体" w:cs="宋体"/>
                <w:sz w:val="24"/>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cs="宋体"/>
                <w:sz w:val="24"/>
              </w:rPr>
            </w:pPr>
            <w:r>
              <w:rPr>
                <w:rFonts w:hint="eastAsia" w:ascii="宋体" w:hAnsi="宋体" w:cs="宋体"/>
                <w:sz w:val="24"/>
              </w:rPr>
              <w:t>1. 通讯设备</w:t>
            </w:r>
          </w:p>
        </w:tc>
        <w:tc>
          <w:tcPr>
            <w:tcW w:w="1590" w:type="dxa"/>
          </w:tcPr>
          <w:p>
            <w:pPr>
              <w:spacing w:line="360" w:lineRule="auto"/>
              <w:jc w:val="center"/>
              <w:rPr>
                <w:rFonts w:ascii="宋体" w:hAnsi="宋体" w:cs="宋体"/>
                <w:sz w:val="24"/>
              </w:rPr>
            </w:pPr>
            <w:r>
              <w:rPr>
                <w:rFonts w:hint="eastAsia" w:ascii="宋体" w:hAnsi="宋体" w:cs="宋体"/>
                <w:sz w:val="24"/>
              </w:rPr>
              <w:t>/</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1860"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cs="宋体"/>
                <w:sz w:val="24"/>
              </w:rPr>
            </w:pPr>
            <w:r>
              <w:rPr>
                <w:rFonts w:hint="eastAsia" w:ascii="宋体" w:hAnsi="宋体" w:cs="宋体"/>
                <w:sz w:val="24"/>
              </w:rPr>
              <w:t>2. 办公设备</w:t>
            </w:r>
          </w:p>
        </w:tc>
        <w:tc>
          <w:tcPr>
            <w:tcW w:w="1590" w:type="dxa"/>
          </w:tcPr>
          <w:p>
            <w:pPr>
              <w:spacing w:line="360" w:lineRule="auto"/>
              <w:jc w:val="center"/>
              <w:rPr>
                <w:rFonts w:ascii="宋体" w:hAnsi="宋体" w:cs="宋体"/>
                <w:sz w:val="24"/>
              </w:rPr>
            </w:pPr>
            <w:r>
              <w:rPr>
                <w:rFonts w:hint="eastAsia" w:ascii="宋体" w:hAnsi="宋体" w:cs="宋体"/>
                <w:sz w:val="24"/>
              </w:rPr>
              <w:t>/</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1860"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cs="宋体"/>
                <w:sz w:val="24"/>
              </w:rPr>
            </w:pPr>
            <w:r>
              <w:rPr>
                <w:rFonts w:hint="eastAsia" w:ascii="宋体" w:hAnsi="宋体" w:cs="宋体"/>
                <w:sz w:val="24"/>
              </w:rPr>
              <w:t>3. 交通工具</w:t>
            </w:r>
          </w:p>
        </w:tc>
        <w:tc>
          <w:tcPr>
            <w:tcW w:w="1590" w:type="dxa"/>
          </w:tcPr>
          <w:p>
            <w:pPr>
              <w:spacing w:line="360" w:lineRule="auto"/>
              <w:jc w:val="center"/>
              <w:rPr>
                <w:rFonts w:ascii="宋体" w:hAnsi="宋体" w:cs="宋体"/>
                <w:sz w:val="24"/>
              </w:rPr>
            </w:pPr>
            <w:r>
              <w:rPr>
                <w:rFonts w:hint="eastAsia" w:ascii="宋体" w:hAnsi="宋体" w:cs="宋体"/>
                <w:sz w:val="24"/>
              </w:rPr>
              <w:t>/</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1860" w:type="dxa"/>
          </w:tcPr>
          <w:p>
            <w:pPr>
              <w:spacing w:line="360" w:lineRule="auto"/>
              <w:jc w:val="center"/>
              <w:rPr>
                <w:rFonts w:ascii="宋体" w:hAnsi="宋体" w:cs="宋体"/>
                <w:sz w:val="24"/>
              </w:rPr>
            </w:pP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spacing w:line="360" w:lineRule="auto"/>
              <w:rPr>
                <w:rFonts w:ascii="宋体" w:hAnsi="宋体" w:cs="宋体"/>
                <w:sz w:val="24"/>
              </w:rPr>
            </w:pPr>
            <w:r>
              <w:rPr>
                <w:rFonts w:hint="eastAsia" w:ascii="宋体" w:hAnsi="宋体" w:cs="宋体"/>
                <w:sz w:val="24"/>
              </w:rPr>
              <w:t>4. 检测和试验设备</w:t>
            </w:r>
          </w:p>
        </w:tc>
        <w:tc>
          <w:tcPr>
            <w:tcW w:w="1590" w:type="dxa"/>
          </w:tcPr>
          <w:p>
            <w:pPr>
              <w:spacing w:line="360" w:lineRule="auto"/>
              <w:jc w:val="center"/>
              <w:rPr>
                <w:rFonts w:ascii="宋体" w:hAnsi="宋体" w:cs="宋体"/>
                <w:sz w:val="24"/>
              </w:rPr>
            </w:pPr>
            <w:r>
              <w:rPr>
                <w:rFonts w:hint="eastAsia" w:ascii="宋体" w:hAnsi="宋体" w:cs="宋体"/>
                <w:sz w:val="24"/>
              </w:rPr>
              <w:t>/</w:t>
            </w:r>
          </w:p>
        </w:tc>
        <w:tc>
          <w:tcPr>
            <w:tcW w:w="2130" w:type="dxa"/>
          </w:tcPr>
          <w:p>
            <w:pPr>
              <w:spacing w:line="360" w:lineRule="auto"/>
              <w:jc w:val="center"/>
              <w:rPr>
                <w:rFonts w:ascii="宋体" w:hAnsi="宋体" w:cs="宋体"/>
                <w:sz w:val="24"/>
              </w:rPr>
            </w:pPr>
            <w:r>
              <w:rPr>
                <w:rFonts w:hint="eastAsia" w:ascii="宋体" w:hAnsi="宋体" w:cs="宋体"/>
                <w:sz w:val="24"/>
              </w:rPr>
              <w:t>/</w:t>
            </w:r>
          </w:p>
        </w:tc>
        <w:tc>
          <w:tcPr>
            <w:tcW w:w="1860" w:type="dxa"/>
          </w:tcPr>
          <w:p>
            <w:pPr>
              <w:spacing w:line="360" w:lineRule="auto"/>
              <w:jc w:val="center"/>
              <w:rPr>
                <w:rFonts w:ascii="宋体" w:hAnsi="宋体" w:cs="宋体"/>
                <w:sz w:val="24"/>
              </w:rPr>
            </w:pPr>
            <w:r>
              <w:rPr>
                <w:rFonts w:hint="eastAsia" w:ascii="宋体" w:hAnsi="宋体" w:cs="宋体"/>
                <w:sz w:val="24"/>
              </w:rPr>
              <w:t>/</w:t>
            </w:r>
          </w:p>
        </w:tc>
      </w:tr>
    </w:tbl>
    <w:p>
      <w:pPr>
        <w:jc w:val="center"/>
        <w:rPr>
          <w:rFonts w:ascii="宋体" w:hAnsi="宋体" w:cs="宋体"/>
          <w:szCs w:val="21"/>
        </w:rPr>
      </w:pPr>
    </w:p>
    <w:p>
      <w:pPr>
        <w:pStyle w:val="16"/>
        <w:ind w:firstLine="480"/>
        <w:rPr>
          <w:rFonts w:ascii="宋体" w:hAnsi="宋体" w:eastAsia="宋体" w:cs="宋体"/>
        </w:rPr>
      </w:pPr>
    </w:p>
    <w:p>
      <w:pPr>
        <w:pStyle w:val="3"/>
        <w:keepNext w:val="0"/>
        <w:keepLines w:val="0"/>
        <w:spacing w:before="0" w:after="0" w:line="360" w:lineRule="auto"/>
        <w:jc w:val="center"/>
        <w:rPr>
          <w:sz w:val="36"/>
        </w:rPr>
      </w:pPr>
      <w:r>
        <w:rPr>
          <w:rFonts w:hint="eastAsia" w:hAnsi="宋体"/>
          <w:sz w:val="36"/>
        </w:rPr>
        <w:t>第四章技术资料和设计文件</w:t>
      </w:r>
      <w:bookmarkEnd w:id="121"/>
      <w:bookmarkEnd w:id="122"/>
      <w:bookmarkEnd w:id="123"/>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1</w:t>
      </w:r>
      <w:r>
        <w:rPr>
          <w:rFonts w:hint="eastAsia" w:hAnsi="宋体"/>
          <w:b/>
          <w:bCs/>
          <w:kern w:val="0"/>
          <w:szCs w:val="21"/>
          <w:u w:val="single"/>
        </w:rPr>
        <w:t>、《建设工程监理规范》</w:t>
      </w:r>
      <w:r>
        <w:rPr>
          <w:rFonts w:hint="eastAsia"/>
          <w:b/>
          <w:bCs/>
          <w:kern w:val="0"/>
          <w:szCs w:val="21"/>
          <w:u w:val="single"/>
        </w:rPr>
        <w:t>GB50319-2001</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2</w:t>
      </w:r>
      <w:r>
        <w:rPr>
          <w:rFonts w:hint="eastAsia" w:hAnsi="宋体"/>
          <w:b/>
          <w:bCs/>
          <w:kern w:val="0"/>
          <w:szCs w:val="21"/>
          <w:u w:val="single"/>
        </w:rPr>
        <w:t>、</w:t>
      </w:r>
      <w:r>
        <w:rPr>
          <w:rFonts w:hint="eastAsia" w:hAnsi="宋体"/>
          <w:b/>
          <w:bCs/>
          <w:kern w:val="0"/>
          <w:szCs w:val="21"/>
          <w:u w:val="single"/>
          <w:lang w:eastAsia="zh-TW"/>
        </w:rPr>
        <w:t>《工程测量规范》</w:t>
      </w:r>
      <w:r>
        <w:rPr>
          <w:b/>
          <w:bCs/>
          <w:kern w:val="0"/>
          <w:szCs w:val="21"/>
          <w:u w:val="single"/>
        </w:rPr>
        <w:t>GB50026-93</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3</w:t>
      </w:r>
      <w:r>
        <w:rPr>
          <w:rFonts w:hint="eastAsia" w:hAnsi="宋体"/>
          <w:b/>
          <w:bCs/>
          <w:kern w:val="0"/>
          <w:szCs w:val="21"/>
          <w:u w:val="single"/>
        </w:rPr>
        <w:t>、《钢筋焊接及验收规程》</w:t>
      </w:r>
      <w:r>
        <w:rPr>
          <w:rFonts w:hint="eastAsia"/>
          <w:b/>
          <w:bCs/>
          <w:kern w:val="0"/>
          <w:szCs w:val="21"/>
          <w:u w:val="single"/>
        </w:rPr>
        <w:t>JGJ18-96</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4</w:t>
      </w:r>
      <w:r>
        <w:rPr>
          <w:rFonts w:hint="eastAsia" w:hAnsi="宋体"/>
          <w:b/>
          <w:bCs/>
          <w:kern w:val="0"/>
          <w:szCs w:val="21"/>
          <w:u w:val="single"/>
        </w:rPr>
        <w:t>、《混凝土结构工程施工质量验收规范》</w:t>
      </w:r>
      <w:r>
        <w:rPr>
          <w:rFonts w:hint="eastAsia"/>
          <w:b/>
          <w:bCs/>
          <w:kern w:val="0"/>
          <w:szCs w:val="21"/>
          <w:u w:val="single"/>
        </w:rPr>
        <w:t>GB50204-2002</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5</w:t>
      </w:r>
      <w:r>
        <w:rPr>
          <w:rFonts w:hint="eastAsia" w:hAnsi="宋体"/>
          <w:b/>
          <w:bCs/>
          <w:kern w:val="0"/>
          <w:szCs w:val="21"/>
          <w:u w:val="single"/>
        </w:rPr>
        <w:t>、《施工现场临时用电安全技术规范》</w:t>
      </w:r>
      <w:r>
        <w:rPr>
          <w:rFonts w:hint="eastAsia"/>
          <w:b/>
          <w:bCs/>
          <w:kern w:val="0"/>
          <w:szCs w:val="21"/>
          <w:u w:val="single"/>
        </w:rPr>
        <w:t>JGJ146-88</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6</w:t>
      </w:r>
      <w:r>
        <w:rPr>
          <w:rFonts w:hint="eastAsia" w:hAnsi="宋体"/>
          <w:b/>
          <w:bCs/>
          <w:kern w:val="0"/>
          <w:szCs w:val="21"/>
          <w:u w:val="single"/>
        </w:rPr>
        <w:t>、《建筑机械使用安全技术规程》</w:t>
      </w:r>
      <w:r>
        <w:rPr>
          <w:rFonts w:hint="eastAsia"/>
          <w:b/>
          <w:bCs/>
          <w:kern w:val="0"/>
          <w:szCs w:val="21"/>
          <w:u w:val="single"/>
        </w:rPr>
        <w:t>JGJ33-2001</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7</w:t>
      </w:r>
      <w:r>
        <w:rPr>
          <w:rFonts w:hint="eastAsia" w:hAnsi="宋体"/>
          <w:b/>
          <w:bCs/>
          <w:kern w:val="0"/>
          <w:szCs w:val="21"/>
          <w:u w:val="single"/>
        </w:rPr>
        <w:t>、《建筑施工高处作业安全技术规范》</w:t>
      </w:r>
      <w:r>
        <w:rPr>
          <w:rFonts w:hint="eastAsia"/>
          <w:b/>
          <w:bCs/>
          <w:kern w:val="0"/>
          <w:szCs w:val="21"/>
          <w:u w:val="single"/>
        </w:rPr>
        <w:t>JGJ80-91</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8</w:t>
      </w:r>
      <w:r>
        <w:rPr>
          <w:rFonts w:hint="eastAsia" w:hAnsi="宋体"/>
          <w:b/>
          <w:bCs/>
          <w:kern w:val="0"/>
          <w:szCs w:val="21"/>
          <w:u w:val="single"/>
        </w:rPr>
        <w:t>、《建设工程文件归档整理规范》</w:t>
      </w:r>
      <w:r>
        <w:rPr>
          <w:rFonts w:hint="eastAsia"/>
          <w:b/>
          <w:bCs/>
          <w:kern w:val="0"/>
          <w:szCs w:val="21"/>
          <w:u w:val="single"/>
        </w:rPr>
        <w:t>GB/50328-2001</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9</w:t>
      </w:r>
      <w:r>
        <w:rPr>
          <w:rFonts w:hint="eastAsia" w:hAnsi="宋体"/>
          <w:b/>
          <w:bCs/>
          <w:kern w:val="0"/>
          <w:szCs w:val="21"/>
          <w:u w:val="single"/>
        </w:rPr>
        <w:t>、国家、地方、行业现行的建设工程强制性条文、其他规范和标准</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10</w:t>
      </w:r>
      <w:r>
        <w:rPr>
          <w:rFonts w:hint="eastAsia" w:hAnsi="宋体"/>
          <w:b/>
          <w:bCs/>
          <w:kern w:val="0"/>
          <w:szCs w:val="21"/>
          <w:u w:val="single"/>
        </w:rPr>
        <w:t>、国家、地方、行业现行的有关材料、设备的规范和标准</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11</w:t>
      </w:r>
      <w:r>
        <w:rPr>
          <w:rFonts w:hint="eastAsia" w:hAnsi="宋体"/>
          <w:b/>
          <w:bCs/>
          <w:kern w:val="0"/>
          <w:szCs w:val="21"/>
          <w:u w:val="single"/>
        </w:rPr>
        <w:t>、国家和地方现行的建设工程质量评定标准、设计及施工验收规范</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12</w:t>
      </w:r>
      <w:r>
        <w:rPr>
          <w:rFonts w:hint="eastAsia" w:hAnsi="宋体"/>
          <w:b/>
          <w:bCs/>
          <w:kern w:val="0"/>
          <w:szCs w:val="21"/>
          <w:u w:val="single"/>
        </w:rPr>
        <w:t>、经批准的施工图纸及说明，以及经图纸会审确定的修改设计通知书</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13</w:t>
      </w:r>
      <w:r>
        <w:rPr>
          <w:rFonts w:hint="eastAsia" w:hAnsi="宋体"/>
          <w:b/>
          <w:bCs/>
          <w:kern w:val="0"/>
          <w:szCs w:val="21"/>
          <w:u w:val="single"/>
        </w:rPr>
        <w:t>、本工程的设计、施工、招投标文件及合同</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14</w:t>
      </w:r>
      <w:r>
        <w:rPr>
          <w:rFonts w:hint="eastAsia" w:hAnsi="宋体"/>
          <w:b/>
          <w:bCs/>
          <w:kern w:val="0"/>
          <w:szCs w:val="21"/>
          <w:u w:val="single"/>
        </w:rPr>
        <w:t>、委托人发出的有关本工程建设的指令</w:t>
      </w:r>
    </w:p>
    <w:p>
      <w:pPr>
        <w:autoSpaceDE w:val="0"/>
        <w:autoSpaceDN w:val="0"/>
        <w:adjustRightInd w:val="0"/>
        <w:spacing w:line="360" w:lineRule="auto"/>
        <w:ind w:firstLine="422" w:firstLineChars="200"/>
        <w:jc w:val="left"/>
        <w:rPr>
          <w:b/>
          <w:bCs/>
          <w:kern w:val="0"/>
          <w:szCs w:val="21"/>
          <w:u w:val="single"/>
        </w:rPr>
      </w:pPr>
      <w:r>
        <w:rPr>
          <w:rFonts w:hint="eastAsia"/>
          <w:b/>
          <w:bCs/>
          <w:kern w:val="0"/>
          <w:szCs w:val="21"/>
          <w:u w:val="single"/>
        </w:rPr>
        <w:t>15</w:t>
      </w:r>
      <w:r>
        <w:rPr>
          <w:rFonts w:hint="eastAsia" w:hAnsi="宋体"/>
          <w:b/>
          <w:bCs/>
          <w:kern w:val="0"/>
          <w:szCs w:val="21"/>
          <w:u w:val="single"/>
        </w:rPr>
        <w:t>、委托人制定的有关本工程建设的规定</w:t>
      </w:r>
    </w:p>
    <w:p>
      <w:pPr>
        <w:autoSpaceDE w:val="0"/>
        <w:autoSpaceDN w:val="0"/>
        <w:adjustRightInd w:val="0"/>
        <w:spacing w:line="360" w:lineRule="auto"/>
        <w:ind w:firstLine="482" w:firstLineChars="200"/>
        <w:jc w:val="left"/>
        <w:rPr>
          <w:rFonts w:ascii="宋体" w:hAnsi="宋体"/>
          <w:b/>
          <w:bCs/>
          <w:kern w:val="0"/>
          <w:sz w:val="24"/>
          <w:u w:val="single"/>
        </w:rPr>
      </w:pPr>
      <w:bookmarkStart w:id="288" w:name="_Toc10854"/>
      <w:bookmarkStart w:id="289" w:name="_Toc398111717"/>
      <w:bookmarkStart w:id="290" w:name="_Toc9194620"/>
    </w:p>
    <w:p>
      <w:pPr>
        <w:autoSpaceDE w:val="0"/>
        <w:autoSpaceDN w:val="0"/>
        <w:adjustRightInd w:val="0"/>
        <w:spacing w:line="360" w:lineRule="auto"/>
        <w:ind w:firstLine="482" w:firstLineChars="200"/>
        <w:jc w:val="left"/>
        <w:rPr>
          <w:rFonts w:ascii="宋体" w:hAnsi="宋体"/>
          <w:b/>
          <w:bCs/>
          <w:kern w:val="0"/>
          <w:sz w:val="24"/>
          <w:u w:val="single"/>
        </w:rPr>
      </w:pPr>
    </w:p>
    <w:p>
      <w:pPr>
        <w:pStyle w:val="3"/>
        <w:keepNext w:val="0"/>
        <w:keepLines w:val="0"/>
        <w:spacing w:before="0" w:after="0" w:line="360" w:lineRule="auto"/>
        <w:jc w:val="center"/>
        <w:rPr>
          <w:sz w:val="36"/>
        </w:rPr>
      </w:pPr>
      <w:r>
        <w:rPr>
          <w:rFonts w:hAnsi="宋体"/>
          <w:sz w:val="36"/>
        </w:rPr>
        <w:br w:type="page"/>
      </w:r>
      <w:r>
        <w:rPr>
          <w:rFonts w:hint="eastAsia" w:hAnsi="宋体"/>
          <w:sz w:val="36"/>
        </w:rPr>
        <w:t>第五章投标文件格式</w:t>
      </w:r>
      <w:bookmarkEnd w:id="288"/>
      <w:bookmarkEnd w:id="289"/>
      <w:bookmarkEnd w:id="290"/>
    </w:p>
    <w:p>
      <w:pPr>
        <w:pStyle w:val="4"/>
        <w:keepNext w:val="0"/>
        <w:keepLines w:val="0"/>
        <w:spacing w:line="360" w:lineRule="auto"/>
        <w:rPr>
          <w:rFonts w:ascii="Times New Roman" w:hAnsi="Times New Roman" w:eastAsia="宋体"/>
          <w:b/>
          <w:color w:val="000000"/>
          <w:sz w:val="24"/>
          <w:szCs w:val="24"/>
        </w:rPr>
      </w:pPr>
      <w:bookmarkStart w:id="291" w:name="_Toc21580"/>
      <w:bookmarkStart w:id="292" w:name="_Toc9194621"/>
      <w:bookmarkStart w:id="293" w:name="_Toc398111718"/>
      <w:r>
        <w:rPr>
          <w:rStyle w:val="22"/>
          <w:rFonts w:hint="eastAsia" w:ascii="Times New Roman" w:hAnsi="Times New Roman" w:eastAsia="宋体"/>
          <w:b/>
          <w:bCs w:val="0"/>
          <w:color w:val="000000"/>
          <w:sz w:val="24"/>
          <w:szCs w:val="24"/>
        </w:rPr>
        <w:t xml:space="preserve">1. </w:t>
      </w:r>
      <w:r>
        <w:rPr>
          <w:rStyle w:val="22"/>
          <w:rFonts w:hint="eastAsia" w:ascii="Times New Roman" w:hAnsi="宋体" w:eastAsia="宋体"/>
          <w:b/>
          <w:bCs w:val="0"/>
          <w:color w:val="000000"/>
          <w:sz w:val="24"/>
          <w:szCs w:val="24"/>
        </w:rPr>
        <w:t>投标文件封面、目录</w:t>
      </w:r>
      <w:bookmarkEnd w:id="291"/>
      <w:bookmarkEnd w:id="292"/>
      <w:bookmarkEnd w:id="293"/>
    </w:p>
    <w:p>
      <w:pPr>
        <w:pStyle w:val="5"/>
        <w:keepNext w:val="0"/>
        <w:keepLines w:val="0"/>
        <w:spacing w:line="360" w:lineRule="auto"/>
        <w:rPr>
          <w:rFonts w:eastAsia="宋体"/>
          <w:color w:val="000000"/>
          <w:szCs w:val="24"/>
        </w:rPr>
      </w:pPr>
      <w:bookmarkStart w:id="294" w:name="_Toc398111719"/>
      <w:bookmarkStart w:id="295" w:name="_Toc6693"/>
      <w:bookmarkStart w:id="296" w:name="_Toc9194622"/>
      <w:r>
        <w:rPr>
          <w:rFonts w:hint="eastAsia" w:eastAsia="宋体"/>
          <w:color w:val="000000"/>
          <w:szCs w:val="24"/>
        </w:rPr>
        <w:t xml:space="preserve">1.1 </w:t>
      </w:r>
      <w:r>
        <w:rPr>
          <w:rFonts w:hint="eastAsia" w:hAnsi="宋体" w:eastAsia="宋体"/>
          <w:color w:val="000000"/>
          <w:szCs w:val="24"/>
        </w:rPr>
        <w:t>投标文件封面</w:t>
      </w:r>
      <w:bookmarkEnd w:id="294"/>
      <w:bookmarkEnd w:id="295"/>
      <w:bookmarkEnd w:id="296"/>
    </w:p>
    <w:p>
      <w:pPr>
        <w:spacing w:line="360" w:lineRule="auto"/>
        <w:jc w:val="center"/>
        <w:rPr>
          <w:color w:val="000000"/>
          <w:sz w:val="24"/>
          <w:u w:val="single"/>
        </w:rPr>
      </w:pPr>
    </w:p>
    <w:p>
      <w:pPr>
        <w:spacing w:line="360" w:lineRule="auto"/>
        <w:jc w:val="center"/>
        <w:rPr>
          <w:rFonts w:cs="宋体"/>
          <w:color w:val="000000"/>
          <w:sz w:val="24"/>
          <w:u w:val="single"/>
        </w:rPr>
      </w:pPr>
    </w:p>
    <w:p>
      <w:pPr>
        <w:spacing w:line="360" w:lineRule="auto"/>
        <w:jc w:val="center"/>
        <w:rPr>
          <w:rFonts w:cs="宋体"/>
          <w:b/>
          <w:color w:val="000000"/>
          <w:sz w:val="24"/>
        </w:rPr>
      </w:pPr>
      <w:r>
        <w:rPr>
          <w:rFonts w:hint="eastAsia" w:hAnsi="宋体" w:cs="宋体"/>
          <w:b/>
          <w:color w:val="000000"/>
          <w:sz w:val="24"/>
        </w:rPr>
        <w:t>（项目名称）监理招标</w:t>
      </w:r>
    </w:p>
    <w:p>
      <w:pPr>
        <w:spacing w:line="360" w:lineRule="auto"/>
        <w:rPr>
          <w:rFonts w:cs="宋体"/>
          <w:b/>
          <w:color w:val="000000"/>
          <w:sz w:val="24"/>
        </w:rPr>
      </w:pPr>
    </w:p>
    <w:p>
      <w:pPr>
        <w:spacing w:line="360" w:lineRule="auto"/>
        <w:rPr>
          <w:rFonts w:cs="宋体"/>
          <w:b/>
          <w:color w:val="000000"/>
          <w:sz w:val="24"/>
        </w:rPr>
      </w:pPr>
    </w:p>
    <w:p>
      <w:pPr>
        <w:spacing w:line="360" w:lineRule="auto"/>
        <w:rPr>
          <w:rFonts w:cs="宋体"/>
          <w:b/>
          <w:color w:val="000000"/>
          <w:sz w:val="24"/>
        </w:rPr>
      </w:pPr>
    </w:p>
    <w:p>
      <w:pPr>
        <w:spacing w:line="360" w:lineRule="auto"/>
        <w:rPr>
          <w:rFonts w:cs="宋体"/>
          <w:b/>
          <w:color w:val="000000"/>
          <w:sz w:val="24"/>
        </w:rPr>
      </w:pPr>
    </w:p>
    <w:p>
      <w:pPr>
        <w:spacing w:line="360" w:lineRule="auto"/>
        <w:rPr>
          <w:rFonts w:cs="宋体"/>
          <w:b/>
          <w:color w:val="000000"/>
          <w:sz w:val="24"/>
        </w:rPr>
      </w:pPr>
    </w:p>
    <w:p>
      <w:pPr>
        <w:spacing w:line="360" w:lineRule="auto"/>
        <w:jc w:val="center"/>
        <w:rPr>
          <w:rFonts w:cs="宋体"/>
          <w:b/>
          <w:color w:val="000000"/>
          <w:sz w:val="32"/>
          <w:szCs w:val="32"/>
        </w:rPr>
      </w:pPr>
      <w:r>
        <w:rPr>
          <w:rFonts w:hint="eastAsia" w:hAnsi="宋体" w:cs="宋体"/>
          <w:b/>
          <w:color w:val="000000"/>
          <w:sz w:val="32"/>
          <w:szCs w:val="32"/>
        </w:rPr>
        <w:t>投标文件</w:t>
      </w: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jc w:val="center"/>
        <w:rPr>
          <w:rFonts w:cs="宋体"/>
          <w:color w:val="000000"/>
          <w:sz w:val="24"/>
        </w:rPr>
      </w:pPr>
      <w:r>
        <w:rPr>
          <w:rFonts w:hint="eastAsia" w:hAnsi="宋体" w:cs="宋体"/>
          <w:color w:val="000000"/>
          <w:sz w:val="24"/>
        </w:rPr>
        <w:t>投标人：（盖单位章）</w:t>
      </w:r>
    </w:p>
    <w:p>
      <w:pPr>
        <w:spacing w:line="360" w:lineRule="auto"/>
        <w:jc w:val="center"/>
        <w:rPr>
          <w:rFonts w:cs="宋体"/>
          <w:color w:val="000000"/>
          <w:sz w:val="24"/>
        </w:rPr>
      </w:pPr>
      <w:r>
        <w:rPr>
          <w:rFonts w:hint="eastAsia" w:hAnsi="宋体" w:cs="宋体"/>
          <w:color w:val="000000"/>
          <w:sz w:val="24"/>
        </w:rPr>
        <w:t>法定代表人或其委托代理人：（签字）</w:t>
      </w:r>
    </w:p>
    <w:p>
      <w:pPr>
        <w:spacing w:line="360" w:lineRule="auto"/>
        <w:ind w:firstLine="3480" w:firstLineChars="1450"/>
        <w:jc w:val="both"/>
        <w:rPr>
          <w:rFonts w:cs="宋体"/>
          <w:color w:val="000000"/>
          <w:sz w:val="24"/>
        </w:rPr>
      </w:pPr>
      <w:r>
        <w:rPr>
          <w:rFonts w:hint="eastAsia" w:hAnsi="宋体" w:cs="宋体"/>
          <w:color w:val="000000"/>
          <w:sz w:val="24"/>
        </w:rPr>
        <w:t>年月日</w:t>
      </w:r>
    </w:p>
    <w:p>
      <w:pPr>
        <w:spacing w:line="360" w:lineRule="auto"/>
        <w:ind w:firstLine="1800" w:firstLineChars="750"/>
        <w:rPr>
          <w:rFonts w:cs="宋体"/>
          <w:color w:val="000000"/>
          <w:sz w:val="24"/>
        </w:rPr>
      </w:pPr>
    </w:p>
    <w:p>
      <w:pPr>
        <w:spacing w:line="360" w:lineRule="auto"/>
        <w:ind w:firstLine="1800" w:firstLineChars="750"/>
        <w:rPr>
          <w:rFonts w:cs="宋体"/>
          <w:color w:val="000000"/>
          <w:sz w:val="24"/>
        </w:rPr>
      </w:pPr>
    </w:p>
    <w:p>
      <w:pPr>
        <w:spacing w:line="360" w:lineRule="auto"/>
        <w:ind w:firstLine="1800" w:firstLineChars="750"/>
        <w:rPr>
          <w:rFonts w:cs="宋体"/>
          <w:color w:val="000000"/>
          <w:sz w:val="24"/>
        </w:rPr>
      </w:pPr>
    </w:p>
    <w:p>
      <w:pPr>
        <w:pStyle w:val="5"/>
        <w:keepNext w:val="0"/>
        <w:keepLines w:val="0"/>
        <w:spacing w:line="360" w:lineRule="auto"/>
        <w:rPr>
          <w:rFonts w:eastAsia="宋体"/>
          <w:color w:val="000000"/>
          <w:szCs w:val="24"/>
        </w:rPr>
      </w:pPr>
      <w:bookmarkStart w:id="297" w:name="_Toc9194623"/>
      <w:bookmarkStart w:id="298" w:name="_Toc7724"/>
      <w:bookmarkStart w:id="299" w:name="_Toc398111720"/>
      <w:r>
        <w:rPr>
          <w:rStyle w:val="23"/>
          <w:rFonts w:hint="eastAsia" w:eastAsia="宋体"/>
          <w:bCs w:val="0"/>
          <w:color w:val="000000"/>
          <w:szCs w:val="24"/>
        </w:rPr>
        <w:t xml:space="preserve">1.2 </w:t>
      </w:r>
      <w:r>
        <w:rPr>
          <w:rStyle w:val="23"/>
          <w:rFonts w:hint="eastAsia" w:hAnsi="宋体" w:eastAsia="宋体"/>
          <w:bCs w:val="0"/>
          <w:color w:val="000000"/>
          <w:szCs w:val="24"/>
        </w:rPr>
        <w:t>投标文件目录</w:t>
      </w:r>
      <w:bookmarkEnd w:id="297"/>
      <w:bookmarkEnd w:id="298"/>
      <w:bookmarkEnd w:id="299"/>
    </w:p>
    <w:p>
      <w:pPr>
        <w:spacing w:line="360" w:lineRule="auto"/>
        <w:jc w:val="center"/>
        <w:rPr>
          <w:b/>
          <w:color w:val="000000"/>
          <w:kern w:val="0"/>
          <w:sz w:val="24"/>
        </w:rPr>
      </w:pPr>
    </w:p>
    <w:p>
      <w:pPr>
        <w:spacing w:line="360" w:lineRule="auto"/>
        <w:ind w:firstLine="4578" w:firstLineChars="1900"/>
        <w:rPr>
          <w:rFonts w:cs="宋体"/>
          <w:b/>
          <w:bCs/>
          <w:color w:val="000000"/>
          <w:sz w:val="24"/>
        </w:rPr>
      </w:pPr>
      <w:r>
        <w:rPr>
          <w:rFonts w:hint="eastAsia" w:hAnsi="宋体" w:cs="宋体"/>
          <w:b/>
          <w:bCs/>
          <w:color w:val="000000"/>
          <w:sz w:val="24"/>
        </w:rPr>
        <w:t>投标函</w:t>
      </w:r>
    </w:p>
    <w:p>
      <w:pPr>
        <w:spacing w:line="360" w:lineRule="auto"/>
        <w:rPr>
          <w:rFonts w:cs="宋体"/>
          <w:color w:val="000000"/>
          <w:sz w:val="24"/>
        </w:rPr>
      </w:pPr>
    </w:p>
    <w:p>
      <w:pPr>
        <w:autoSpaceDE w:val="0"/>
        <w:autoSpaceDN w:val="0"/>
        <w:adjustRightInd w:val="0"/>
        <w:spacing w:line="360" w:lineRule="auto"/>
        <w:jc w:val="left"/>
        <w:rPr>
          <w:rFonts w:cs="宋体"/>
          <w:color w:val="000000"/>
          <w:kern w:val="0"/>
          <w:szCs w:val="21"/>
        </w:rPr>
      </w:pPr>
      <w:r>
        <w:rPr>
          <w:rFonts w:hint="eastAsia" w:hAnsi="宋体" w:cs="宋体"/>
          <w:color w:val="000000"/>
          <w:kern w:val="0"/>
          <w:szCs w:val="21"/>
          <w:u w:val="single"/>
        </w:rPr>
        <w:t>（招标人名称）</w:t>
      </w:r>
      <w:r>
        <w:rPr>
          <w:rFonts w:hint="eastAsia" w:hAnsi="宋体" w:cs="宋体"/>
          <w:color w:val="000000"/>
          <w:kern w:val="0"/>
          <w:szCs w:val="21"/>
        </w:rPr>
        <w:t>：</w:t>
      </w:r>
    </w:p>
    <w:p>
      <w:pPr>
        <w:autoSpaceDE w:val="0"/>
        <w:autoSpaceDN w:val="0"/>
        <w:adjustRightInd w:val="0"/>
        <w:spacing w:line="360" w:lineRule="auto"/>
        <w:jc w:val="left"/>
        <w:rPr>
          <w:rFonts w:cs="宋体"/>
          <w:color w:val="000000"/>
          <w:kern w:val="0"/>
          <w:szCs w:val="21"/>
        </w:rPr>
      </w:pPr>
    </w:p>
    <w:p>
      <w:pPr>
        <w:spacing w:line="360" w:lineRule="auto"/>
        <w:ind w:firstLine="420" w:firstLineChars="200"/>
        <w:rPr>
          <w:szCs w:val="21"/>
        </w:rPr>
      </w:pPr>
      <w:r>
        <w:rPr>
          <w:rFonts w:hint="eastAsia" w:hAnsi="宋体"/>
          <w:szCs w:val="21"/>
        </w:rPr>
        <w:t>（一）根据已收到的项目的建设监理的招标文件，我单位经研究招标文件和有关资料后，愿意按招标文件规定的内容承担该工程的建设监理任务，严格执行投标人所承担的责任和义务。</w:t>
      </w:r>
    </w:p>
    <w:p>
      <w:pPr>
        <w:autoSpaceDE w:val="0"/>
        <w:autoSpaceDN w:val="0"/>
        <w:adjustRightInd w:val="0"/>
        <w:spacing w:line="360" w:lineRule="auto"/>
        <w:ind w:firstLine="420"/>
        <w:rPr>
          <w:rFonts w:ascii="宋体" w:hAnsi="宋体" w:cs="宋体"/>
          <w:sz w:val="22"/>
          <w:szCs w:val="22"/>
        </w:rPr>
      </w:pPr>
      <w:r>
        <w:rPr>
          <w:rFonts w:hint="eastAsia" w:ascii="宋体" w:hAnsi="宋体" w:cs="宋体"/>
          <w:kern w:val="0"/>
          <w:szCs w:val="21"/>
        </w:rPr>
        <w:t>（二）</w:t>
      </w:r>
      <w:r>
        <w:rPr>
          <w:rFonts w:hint="eastAsia" w:ascii="宋体" w:hAnsi="宋体" w:cs="宋体"/>
          <w:sz w:val="22"/>
          <w:szCs w:val="22"/>
        </w:rPr>
        <w:t>我方决定监理收费按《建设工程监理与相关服务收费管理规定》（发改价格[2007]670号）的标准，确定浮动幅度值为负百分之 （</w:t>
      </w:r>
      <w:r>
        <w:rPr>
          <w:rFonts w:hint="eastAsia" w:ascii="宋体" w:hAnsi="宋体" w:cs="宋体"/>
          <w:sz w:val="22"/>
          <w:szCs w:val="22"/>
          <w:u w:val="single"/>
        </w:rPr>
        <w:t xml:space="preserve">—    </w:t>
      </w:r>
      <w:r>
        <w:rPr>
          <w:rFonts w:hint="eastAsia" w:ascii="宋体" w:hAnsi="宋体" w:cs="宋体"/>
          <w:sz w:val="22"/>
          <w:szCs w:val="22"/>
        </w:rPr>
        <w:t>%）（最多保留小数点后二位）。</w:t>
      </w:r>
    </w:p>
    <w:p>
      <w:pPr>
        <w:spacing w:line="360" w:lineRule="auto"/>
        <w:ind w:firstLine="420" w:firstLineChars="200"/>
        <w:rPr>
          <w:szCs w:val="21"/>
        </w:rPr>
      </w:pPr>
      <w:r>
        <w:rPr>
          <w:rFonts w:hint="eastAsia" w:hAnsi="宋体"/>
          <w:szCs w:val="21"/>
        </w:rPr>
        <w:t>（三）如果我方中标，我们保证按招标文件的要求和招标人签订工程监理合同，成立监理项目部，选派总监理工程师</w:t>
      </w:r>
      <w:r>
        <w:rPr>
          <w:rFonts w:hint="eastAsia" w:hAnsi="宋体"/>
          <w:szCs w:val="21"/>
          <w:u w:val="single"/>
        </w:rPr>
        <w:t>（姓名）</w:t>
      </w:r>
      <w:r>
        <w:rPr>
          <w:rFonts w:hint="eastAsia" w:hAnsi="宋体"/>
          <w:szCs w:val="21"/>
        </w:rPr>
        <w:t>及专业监理工程师</w:t>
      </w:r>
      <w:r>
        <w:rPr>
          <w:rFonts w:hint="eastAsia" w:hAnsi="宋体"/>
          <w:szCs w:val="21"/>
          <w:lang w:eastAsia="zh-CN"/>
        </w:rPr>
        <w:t>、</w:t>
      </w:r>
      <w:r>
        <w:rPr>
          <w:rFonts w:hint="eastAsia" w:hAnsi="宋体"/>
          <w:szCs w:val="21"/>
        </w:rPr>
        <w:t>监理员等进驻施工现场实施监理合同。</w:t>
      </w:r>
    </w:p>
    <w:p>
      <w:pPr>
        <w:spacing w:line="360" w:lineRule="auto"/>
        <w:ind w:firstLine="420" w:firstLineChars="200"/>
        <w:rPr>
          <w:szCs w:val="21"/>
        </w:rPr>
      </w:pPr>
      <w:r>
        <w:rPr>
          <w:rFonts w:hint="eastAsia" w:hAnsi="宋体"/>
          <w:szCs w:val="21"/>
        </w:rPr>
        <w:t>（四）</w:t>
      </w:r>
      <w:r>
        <w:rPr>
          <w:rFonts w:hAnsi="宋体"/>
          <w:szCs w:val="21"/>
        </w:rPr>
        <w:t>如果我方中标，我方保证按招标文件要求的期限提交履约保证金</w:t>
      </w:r>
      <w:r>
        <w:rPr>
          <w:rFonts w:hint="eastAsia" w:hAnsi="宋体"/>
          <w:szCs w:val="21"/>
          <w:u w:val="single"/>
          <w:lang w:val="en-US" w:eastAsia="zh-CN"/>
        </w:rPr>
        <w:t xml:space="preserve">    </w:t>
      </w:r>
      <w:r>
        <w:rPr>
          <w:rFonts w:hint="eastAsia" w:hAnsi="宋体"/>
          <w:szCs w:val="21"/>
        </w:rPr>
        <w:t>元人民币。</w:t>
      </w:r>
    </w:p>
    <w:p>
      <w:pPr>
        <w:spacing w:line="360" w:lineRule="auto"/>
        <w:ind w:firstLine="420" w:firstLineChars="200"/>
        <w:rPr>
          <w:szCs w:val="21"/>
        </w:rPr>
      </w:pPr>
      <w:r>
        <w:rPr>
          <w:rFonts w:hint="eastAsia" w:hAnsi="宋体"/>
          <w:szCs w:val="21"/>
        </w:rPr>
        <w:t>（五）</w:t>
      </w:r>
      <w:r>
        <w:rPr>
          <w:rFonts w:hAnsi="宋体"/>
          <w:szCs w:val="21"/>
        </w:rPr>
        <w:t>我方将严格按照监理人员执业守则，按照国家相关法规、规范及我方制定的监理大纲、实施细则开展监理工作，在保证质量、安全的前提下，确保工程按期交付</w:t>
      </w:r>
      <w:r>
        <w:rPr>
          <w:rFonts w:hint="eastAsia" w:hAnsi="宋体"/>
          <w:szCs w:val="21"/>
        </w:rPr>
        <w:t>。</w:t>
      </w:r>
    </w:p>
    <w:p>
      <w:pPr>
        <w:spacing w:line="360" w:lineRule="auto"/>
        <w:ind w:firstLine="420" w:firstLineChars="200"/>
        <w:rPr>
          <w:szCs w:val="21"/>
        </w:rPr>
      </w:pPr>
      <w:r>
        <w:rPr>
          <w:rFonts w:hint="eastAsia" w:hAnsi="宋体"/>
          <w:szCs w:val="21"/>
        </w:rPr>
        <w:t>（六）贵单位的招标文件及其附件、中标通知书和本投标文件将构成约束我们双方的合同。</w:t>
      </w:r>
    </w:p>
    <w:p>
      <w:pPr>
        <w:spacing w:line="360" w:lineRule="auto"/>
        <w:ind w:firstLine="420" w:firstLineChars="200"/>
        <w:rPr>
          <w:szCs w:val="21"/>
        </w:rPr>
      </w:pPr>
    </w:p>
    <w:p>
      <w:pPr>
        <w:spacing w:line="360" w:lineRule="auto"/>
        <w:ind w:firstLine="420" w:firstLineChars="200"/>
        <w:rPr>
          <w:szCs w:val="21"/>
        </w:rPr>
      </w:pPr>
    </w:p>
    <w:p>
      <w:pPr>
        <w:spacing w:line="360" w:lineRule="auto"/>
        <w:ind w:firstLine="420" w:firstLineChars="200"/>
        <w:rPr>
          <w:szCs w:val="21"/>
          <w:u w:val="single"/>
        </w:rPr>
      </w:pPr>
      <w:r>
        <w:rPr>
          <w:rFonts w:hint="eastAsia" w:hAnsi="宋体"/>
          <w:szCs w:val="21"/>
        </w:rPr>
        <w:t>投标人（法人盖章）：</w:t>
      </w:r>
    </w:p>
    <w:p>
      <w:pPr>
        <w:spacing w:line="360" w:lineRule="auto"/>
        <w:ind w:firstLine="420" w:firstLineChars="200"/>
        <w:rPr>
          <w:szCs w:val="21"/>
          <w:u w:val="single"/>
        </w:rPr>
      </w:pPr>
      <w:r>
        <w:rPr>
          <w:rFonts w:hint="eastAsia" w:hAnsi="宋体"/>
          <w:szCs w:val="21"/>
        </w:rPr>
        <w:t>法定代表人或授权代理人（签字或盖章）</w:t>
      </w:r>
    </w:p>
    <w:p>
      <w:pPr>
        <w:autoSpaceDE w:val="0"/>
        <w:autoSpaceDN w:val="0"/>
        <w:adjustRightInd w:val="0"/>
        <w:spacing w:line="360" w:lineRule="auto"/>
        <w:ind w:firstLine="2625" w:firstLineChars="1250"/>
        <w:jc w:val="left"/>
        <w:rPr>
          <w:rFonts w:hint="eastAsia" w:eastAsia="宋体" w:cs="宋体"/>
          <w:color w:val="000000"/>
          <w:kern w:val="0"/>
          <w:sz w:val="24"/>
          <w:lang w:eastAsia="zh-CN"/>
        </w:rPr>
      </w:pPr>
      <w:r>
        <w:rPr>
          <w:rFonts w:hint="eastAsia" w:hAnsi="宋体"/>
          <w:szCs w:val="21"/>
        </w:rPr>
        <w:t>日期：年月</w:t>
      </w:r>
      <w:r>
        <w:rPr>
          <w:rFonts w:hint="eastAsia" w:hAnsi="宋体"/>
          <w:szCs w:val="21"/>
          <w:lang w:eastAsia="zh-CN"/>
        </w:rPr>
        <w:t>日</w:t>
      </w:r>
    </w:p>
    <w:p>
      <w:pPr>
        <w:spacing w:line="360" w:lineRule="auto"/>
        <w:rPr>
          <w:b/>
          <w:bCs/>
          <w:color w:val="000000"/>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
    <w:p>
      <w:pPr>
        <w:pStyle w:val="2"/>
      </w:pPr>
    </w:p>
    <w:p>
      <w:pPr>
        <w:autoSpaceDE w:val="0"/>
        <w:autoSpaceDN w:val="0"/>
        <w:adjustRightInd w:val="0"/>
        <w:spacing w:line="360" w:lineRule="auto"/>
        <w:ind w:firstLine="480" w:firstLineChars="200"/>
        <w:jc w:val="left"/>
        <w:rPr>
          <w:rFonts w:cs="宋体"/>
          <w:color w:val="000000"/>
          <w:kern w:val="0"/>
          <w:sz w:val="24"/>
        </w:rPr>
      </w:pPr>
    </w:p>
    <w:p>
      <w:pPr>
        <w:autoSpaceDE w:val="0"/>
        <w:autoSpaceDN w:val="0"/>
        <w:adjustRightInd w:val="0"/>
        <w:spacing w:line="360" w:lineRule="auto"/>
        <w:jc w:val="center"/>
        <w:rPr>
          <w:rFonts w:cs="宋体"/>
          <w:b/>
          <w:color w:val="000000"/>
          <w:kern w:val="0"/>
          <w:sz w:val="24"/>
        </w:rPr>
      </w:pPr>
      <w:r>
        <w:rPr>
          <w:rFonts w:hint="eastAsia" w:hAnsi="宋体" w:cs="宋体"/>
          <w:b/>
          <w:color w:val="000000"/>
          <w:kern w:val="0"/>
          <w:sz w:val="24"/>
        </w:rPr>
        <w:t>法定代表人身份证明</w:t>
      </w:r>
    </w:p>
    <w:p>
      <w:pPr>
        <w:autoSpaceDE w:val="0"/>
        <w:autoSpaceDN w:val="0"/>
        <w:adjustRightInd w:val="0"/>
        <w:spacing w:line="360" w:lineRule="auto"/>
        <w:ind w:firstLine="480" w:firstLineChars="200"/>
        <w:jc w:val="left"/>
        <w:rPr>
          <w:rFonts w:cs="宋体"/>
          <w:color w:val="000000"/>
          <w:kern w:val="0"/>
          <w:sz w:val="24"/>
        </w:rPr>
      </w:pP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投标人：</w:t>
      </w: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单位性质：</w:t>
      </w: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地址：</w:t>
      </w: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成立时间：年月日</w:t>
      </w: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经营期限：</w:t>
      </w: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姓名：性别：</w:t>
      </w: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年龄：职务：</w:t>
      </w: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系（投标人名称）的法定代表人。</w:t>
      </w:r>
    </w:p>
    <w:p>
      <w:pPr>
        <w:autoSpaceDE w:val="0"/>
        <w:autoSpaceDN w:val="0"/>
        <w:adjustRightInd w:val="0"/>
        <w:spacing w:line="360" w:lineRule="auto"/>
        <w:ind w:firstLine="840" w:firstLineChars="400"/>
        <w:jc w:val="left"/>
        <w:rPr>
          <w:rFonts w:cs="宋体"/>
          <w:color w:val="000000"/>
          <w:kern w:val="0"/>
          <w:szCs w:val="21"/>
        </w:rPr>
      </w:pPr>
      <w:r>
        <w:rPr>
          <w:rFonts w:hint="eastAsia" w:hAnsi="宋体" w:cs="宋体"/>
          <w:color w:val="000000"/>
          <w:kern w:val="0"/>
          <w:szCs w:val="21"/>
        </w:rPr>
        <w:t>特此证明。</w:t>
      </w:r>
    </w:p>
    <w:p>
      <w:pPr>
        <w:autoSpaceDE w:val="0"/>
        <w:autoSpaceDN w:val="0"/>
        <w:adjustRightInd w:val="0"/>
        <w:spacing w:line="360" w:lineRule="auto"/>
        <w:ind w:firstLine="420" w:firstLineChars="200"/>
        <w:jc w:val="left"/>
        <w:rPr>
          <w:rFonts w:cs="宋体"/>
          <w:color w:val="000000"/>
          <w:kern w:val="0"/>
          <w:szCs w:val="21"/>
        </w:rPr>
      </w:pPr>
    </w:p>
    <w:p>
      <w:pPr>
        <w:autoSpaceDE w:val="0"/>
        <w:autoSpaceDN w:val="0"/>
        <w:adjustRightInd w:val="0"/>
        <w:spacing w:line="360" w:lineRule="auto"/>
        <w:ind w:firstLine="420" w:firstLineChars="200"/>
        <w:jc w:val="left"/>
        <w:rPr>
          <w:rFonts w:cs="宋体"/>
          <w:color w:val="000000"/>
          <w:kern w:val="0"/>
          <w:szCs w:val="21"/>
        </w:rPr>
      </w:pPr>
    </w:p>
    <w:p>
      <w:pPr>
        <w:autoSpaceDE w:val="0"/>
        <w:autoSpaceDN w:val="0"/>
        <w:adjustRightInd w:val="0"/>
        <w:spacing w:line="360" w:lineRule="auto"/>
        <w:ind w:firstLine="420" w:firstLineChars="200"/>
        <w:jc w:val="left"/>
        <w:rPr>
          <w:rFonts w:cs="宋体"/>
          <w:color w:val="000000"/>
          <w:kern w:val="0"/>
          <w:szCs w:val="21"/>
        </w:rPr>
      </w:pPr>
    </w:p>
    <w:p>
      <w:pPr>
        <w:autoSpaceDE w:val="0"/>
        <w:autoSpaceDN w:val="0"/>
        <w:adjustRightInd w:val="0"/>
        <w:spacing w:line="360" w:lineRule="auto"/>
        <w:ind w:firstLine="1995" w:firstLineChars="950"/>
        <w:jc w:val="left"/>
        <w:rPr>
          <w:rFonts w:cs="宋体"/>
          <w:color w:val="000000"/>
          <w:kern w:val="0"/>
          <w:szCs w:val="21"/>
        </w:rPr>
      </w:pPr>
      <w:r>
        <w:rPr>
          <w:rFonts w:hint="eastAsia" w:hAnsi="宋体" w:cs="宋体"/>
          <w:color w:val="000000"/>
          <w:kern w:val="0"/>
          <w:szCs w:val="21"/>
        </w:rPr>
        <w:t>投标人：（盖单位章）</w:t>
      </w:r>
    </w:p>
    <w:p>
      <w:pPr>
        <w:autoSpaceDE w:val="0"/>
        <w:autoSpaceDN w:val="0"/>
        <w:adjustRightInd w:val="0"/>
        <w:spacing w:line="360" w:lineRule="auto"/>
        <w:ind w:firstLine="1995" w:firstLineChars="950"/>
        <w:jc w:val="left"/>
        <w:rPr>
          <w:rFonts w:cs="宋体"/>
          <w:color w:val="000000"/>
          <w:kern w:val="0"/>
          <w:szCs w:val="21"/>
        </w:rPr>
      </w:pP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年月日</w:t>
      </w:r>
    </w:p>
    <w:p>
      <w:pPr>
        <w:autoSpaceDE w:val="0"/>
        <w:autoSpaceDN w:val="0"/>
        <w:adjustRightInd w:val="0"/>
        <w:spacing w:line="360" w:lineRule="auto"/>
        <w:ind w:firstLine="482" w:firstLineChars="200"/>
        <w:jc w:val="left"/>
        <w:rPr>
          <w:rFonts w:cs="宋体"/>
          <w:b/>
          <w:bCs/>
          <w:color w:val="0000FF"/>
          <w:kern w:val="0"/>
          <w:sz w:val="24"/>
        </w:rPr>
      </w:pPr>
    </w:p>
    <w:p>
      <w:pPr>
        <w:autoSpaceDE w:val="0"/>
        <w:autoSpaceDN w:val="0"/>
        <w:adjustRightInd w:val="0"/>
        <w:spacing w:line="360" w:lineRule="auto"/>
        <w:ind w:firstLine="482" w:firstLineChars="200"/>
        <w:jc w:val="left"/>
        <w:rPr>
          <w:rFonts w:cs="宋体"/>
          <w:b/>
          <w:bCs/>
          <w:color w:val="0000FF"/>
          <w:kern w:val="0"/>
          <w:sz w:val="24"/>
        </w:rPr>
      </w:pPr>
    </w:p>
    <w:p>
      <w:pPr>
        <w:autoSpaceDE w:val="0"/>
        <w:autoSpaceDN w:val="0"/>
        <w:adjustRightInd w:val="0"/>
        <w:spacing w:line="360" w:lineRule="auto"/>
        <w:ind w:firstLine="482" w:firstLineChars="200"/>
        <w:jc w:val="left"/>
        <w:rPr>
          <w:rFonts w:cs="宋体"/>
          <w:b/>
          <w:bCs/>
          <w:color w:val="0000FF"/>
          <w:kern w:val="0"/>
          <w:sz w:val="24"/>
        </w:rPr>
      </w:pPr>
    </w:p>
    <w:p>
      <w:pPr>
        <w:autoSpaceDE w:val="0"/>
        <w:autoSpaceDN w:val="0"/>
        <w:adjustRightInd w:val="0"/>
        <w:spacing w:line="360" w:lineRule="auto"/>
        <w:ind w:firstLine="422" w:firstLineChars="200"/>
        <w:jc w:val="left"/>
        <w:rPr>
          <w:rFonts w:cs="宋体"/>
          <w:b/>
          <w:bCs/>
          <w:kern w:val="0"/>
          <w:szCs w:val="21"/>
        </w:rPr>
      </w:pPr>
      <w:r>
        <w:rPr>
          <w:rFonts w:hint="eastAsia" w:hAnsi="宋体" w:cs="宋体"/>
          <w:b/>
          <w:bCs/>
          <w:kern w:val="0"/>
          <w:szCs w:val="21"/>
        </w:rPr>
        <w:t>附：法定代表人身份证复印件</w:t>
      </w:r>
    </w:p>
    <w:p>
      <w:pPr>
        <w:pStyle w:val="16"/>
        <w:ind w:firstLine="482"/>
        <w:rPr>
          <w:rFonts w:ascii="Times New Roman" w:hAnsi="Times New Roman" w:eastAsia="宋体" w:cs="宋体"/>
          <w:b/>
          <w:bCs/>
          <w:color w:val="0000FF"/>
          <w:kern w:val="0"/>
        </w:rPr>
      </w:pPr>
    </w:p>
    <w:p>
      <w:pPr>
        <w:pStyle w:val="16"/>
        <w:ind w:firstLine="482"/>
        <w:rPr>
          <w:rFonts w:ascii="Times New Roman" w:hAnsi="Times New Roman" w:eastAsia="宋体" w:cs="宋体"/>
          <w:b/>
          <w:bCs/>
          <w:color w:val="0000FF"/>
          <w:kern w:val="0"/>
        </w:rPr>
      </w:pPr>
    </w:p>
    <w:p>
      <w:pPr>
        <w:pStyle w:val="4"/>
        <w:keepNext w:val="0"/>
        <w:keepLines w:val="0"/>
        <w:spacing w:line="360" w:lineRule="auto"/>
        <w:rPr>
          <w:rFonts w:ascii="Times New Roman" w:hAnsi="Times New Roman" w:eastAsia="宋体"/>
          <w:b/>
          <w:color w:val="000000"/>
          <w:sz w:val="24"/>
          <w:szCs w:val="24"/>
        </w:rPr>
      </w:pPr>
    </w:p>
    <w:p>
      <w:pPr>
        <w:rPr>
          <w:b/>
          <w:color w:val="000000"/>
          <w:sz w:val="24"/>
        </w:rPr>
      </w:pPr>
    </w:p>
    <w:p>
      <w:pPr>
        <w:pStyle w:val="2"/>
        <w:rPr>
          <w:b/>
          <w:color w:val="000000"/>
          <w:sz w:val="24"/>
        </w:rPr>
      </w:pPr>
    </w:p>
    <w:p/>
    <w:p>
      <w:pPr>
        <w:autoSpaceDE w:val="0"/>
        <w:autoSpaceDN w:val="0"/>
        <w:adjustRightInd w:val="0"/>
        <w:spacing w:line="360" w:lineRule="auto"/>
        <w:jc w:val="center"/>
        <w:rPr>
          <w:rFonts w:hAnsi="宋体" w:cs="宋体"/>
          <w:b/>
          <w:color w:val="000000"/>
          <w:kern w:val="0"/>
          <w:sz w:val="24"/>
        </w:rPr>
      </w:pPr>
    </w:p>
    <w:p>
      <w:pPr>
        <w:autoSpaceDE w:val="0"/>
        <w:autoSpaceDN w:val="0"/>
        <w:adjustRightInd w:val="0"/>
        <w:spacing w:line="360" w:lineRule="auto"/>
        <w:jc w:val="center"/>
        <w:rPr>
          <w:rFonts w:hAnsi="宋体" w:cs="宋体"/>
          <w:b/>
          <w:color w:val="000000"/>
          <w:kern w:val="0"/>
          <w:sz w:val="24"/>
        </w:rPr>
      </w:pPr>
    </w:p>
    <w:p>
      <w:pPr>
        <w:pStyle w:val="2"/>
      </w:pPr>
    </w:p>
    <w:p>
      <w:pPr>
        <w:autoSpaceDE w:val="0"/>
        <w:autoSpaceDN w:val="0"/>
        <w:adjustRightInd w:val="0"/>
        <w:spacing w:line="360" w:lineRule="auto"/>
        <w:jc w:val="center"/>
        <w:rPr>
          <w:rFonts w:cs="宋体"/>
          <w:b/>
          <w:color w:val="000000"/>
          <w:kern w:val="0"/>
          <w:sz w:val="24"/>
        </w:rPr>
      </w:pPr>
      <w:r>
        <w:rPr>
          <w:rFonts w:hint="eastAsia" w:hAnsi="宋体" w:cs="宋体"/>
          <w:b/>
          <w:color w:val="000000"/>
          <w:kern w:val="0"/>
          <w:sz w:val="24"/>
        </w:rPr>
        <w:t>授权委托书</w:t>
      </w:r>
    </w:p>
    <w:p>
      <w:pPr>
        <w:autoSpaceDE w:val="0"/>
        <w:autoSpaceDN w:val="0"/>
        <w:adjustRightInd w:val="0"/>
        <w:spacing w:line="360" w:lineRule="auto"/>
        <w:jc w:val="center"/>
        <w:rPr>
          <w:rFonts w:cs="宋体"/>
          <w:color w:val="000000"/>
          <w:kern w:val="0"/>
          <w:sz w:val="24"/>
        </w:rPr>
      </w:pP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本人（姓名）系（投标人名称）的法定代表人，现委托</w:t>
      </w:r>
    </w:p>
    <w:p>
      <w:pPr>
        <w:autoSpaceDE w:val="0"/>
        <w:autoSpaceDN w:val="0"/>
        <w:adjustRightInd w:val="0"/>
        <w:spacing w:line="360" w:lineRule="auto"/>
        <w:jc w:val="left"/>
        <w:rPr>
          <w:rFonts w:cs="宋体"/>
          <w:color w:val="000000"/>
          <w:kern w:val="0"/>
          <w:szCs w:val="21"/>
        </w:rPr>
      </w:pPr>
      <w:r>
        <w:rPr>
          <w:rFonts w:hint="eastAsia" w:hAnsi="宋体" w:cs="宋体"/>
          <w:color w:val="000000"/>
          <w:kern w:val="0"/>
          <w:szCs w:val="21"/>
          <w:u w:val="single"/>
        </w:rPr>
        <w:t>（姓名）</w:t>
      </w:r>
      <w:r>
        <w:rPr>
          <w:rFonts w:hint="eastAsia" w:hAnsi="宋体" w:cs="宋体"/>
          <w:color w:val="000000"/>
          <w:kern w:val="0"/>
          <w:szCs w:val="21"/>
        </w:rPr>
        <w:t>为我方代理人。代理人根据授权，以我方名义签署、澄清、说明、补正、递交、撤回、修改（项目名称）监理投标文件、签订合同和处理有关事宜，其法律后果由我方承担。</w:t>
      </w: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委托期限：。</w:t>
      </w: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代理人无转委托权。</w:t>
      </w:r>
    </w:p>
    <w:p>
      <w:pPr>
        <w:autoSpaceDE w:val="0"/>
        <w:autoSpaceDN w:val="0"/>
        <w:adjustRightInd w:val="0"/>
        <w:spacing w:line="360" w:lineRule="auto"/>
        <w:ind w:firstLine="420" w:firstLineChars="200"/>
        <w:jc w:val="left"/>
        <w:rPr>
          <w:rFonts w:cs="宋体"/>
          <w:color w:val="000000"/>
          <w:kern w:val="0"/>
          <w:szCs w:val="21"/>
        </w:rPr>
      </w:pP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附：法定代表人身份证明</w:t>
      </w:r>
    </w:p>
    <w:p>
      <w:pPr>
        <w:autoSpaceDE w:val="0"/>
        <w:autoSpaceDN w:val="0"/>
        <w:adjustRightInd w:val="0"/>
        <w:spacing w:line="360" w:lineRule="auto"/>
        <w:ind w:firstLine="420" w:firstLineChars="200"/>
        <w:jc w:val="left"/>
        <w:rPr>
          <w:rFonts w:cs="宋体"/>
          <w:color w:val="000000"/>
          <w:kern w:val="0"/>
          <w:szCs w:val="21"/>
        </w:rPr>
      </w:pP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投标人：（盖单位章）</w:t>
      </w:r>
    </w:p>
    <w:p>
      <w:pPr>
        <w:autoSpaceDE w:val="0"/>
        <w:autoSpaceDN w:val="0"/>
        <w:adjustRightInd w:val="0"/>
        <w:spacing w:line="360" w:lineRule="auto"/>
        <w:ind w:firstLine="420" w:firstLineChars="200"/>
        <w:jc w:val="left"/>
        <w:rPr>
          <w:rFonts w:cs="宋体"/>
          <w:color w:val="000000"/>
          <w:kern w:val="0"/>
          <w:szCs w:val="21"/>
        </w:rPr>
      </w:pP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法定代表人：（签字）</w:t>
      </w:r>
    </w:p>
    <w:p>
      <w:pPr>
        <w:autoSpaceDE w:val="0"/>
        <w:autoSpaceDN w:val="0"/>
        <w:adjustRightInd w:val="0"/>
        <w:spacing w:line="360" w:lineRule="auto"/>
        <w:ind w:firstLine="420" w:firstLineChars="200"/>
        <w:jc w:val="left"/>
        <w:rPr>
          <w:rFonts w:cs="宋体"/>
          <w:color w:val="000000"/>
          <w:kern w:val="0"/>
          <w:szCs w:val="21"/>
        </w:rPr>
      </w:pPr>
    </w:p>
    <w:p>
      <w:pPr>
        <w:autoSpaceDE w:val="0"/>
        <w:autoSpaceDN w:val="0"/>
        <w:adjustRightInd w:val="0"/>
        <w:spacing w:line="360" w:lineRule="auto"/>
        <w:ind w:firstLine="420" w:firstLineChars="200"/>
        <w:jc w:val="left"/>
        <w:rPr>
          <w:rFonts w:cs="宋体"/>
          <w:color w:val="000000"/>
          <w:kern w:val="0"/>
          <w:szCs w:val="21"/>
          <w:u w:val="single"/>
        </w:rPr>
      </w:pPr>
      <w:r>
        <w:rPr>
          <w:rFonts w:hint="eastAsia" w:hAnsi="宋体" w:cs="宋体"/>
          <w:color w:val="000000"/>
          <w:kern w:val="0"/>
          <w:szCs w:val="21"/>
        </w:rPr>
        <w:t>身份证号码：</w:t>
      </w:r>
    </w:p>
    <w:p>
      <w:pPr>
        <w:autoSpaceDE w:val="0"/>
        <w:autoSpaceDN w:val="0"/>
        <w:adjustRightInd w:val="0"/>
        <w:spacing w:line="360" w:lineRule="auto"/>
        <w:ind w:firstLine="420" w:firstLineChars="200"/>
        <w:jc w:val="left"/>
        <w:rPr>
          <w:rFonts w:cs="宋体"/>
          <w:color w:val="000000"/>
          <w:kern w:val="0"/>
          <w:szCs w:val="21"/>
        </w:rPr>
      </w:pPr>
    </w:p>
    <w:p>
      <w:pPr>
        <w:autoSpaceDE w:val="0"/>
        <w:autoSpaceDN w:val="0"/>
        <w:adjustRightInd w:val="0"/>
        <w:spacing w:line="360" w:lineRule="auto"/>
        <w:ind w:firstLine="420" w:firstLineChars="200"/>
        <w:jc w:val="left"/>
        <w:rPr>
          <w:rFonts w:cs="宋体"/>
          <w:color w:val="000000"/>
          <w:kern w:val="0"/>
          <w:szCs w:val="21"/>
        </w:rPr>
      </w:pPr>
      <w:r>
        <w:rPr>
          <w:rFonts w:hint="eastAsia" w:hAnsi="宋体" w:cs="宋体"/>
          <w:color w:val="000000"/>
          <w:kern w:val="0"/>
          <w:szCs w:val="21"/>
        </w:rPr>
        <w:t>委托代理人：（签字）</w:t>
      </w:r>
    </w:p>
    <w:p>
      <w:pPr>
        <w:autoSpaceDE w:val="0"/>
        <w:autoSpaceDN w:val="0"/>
        <w:adjustRightInd w:val="0"/>
        <w:spacing w:line="360" w:lineRule="auto"/>
        <w:ind w:firstLine="420" w:firstLineChars="200"/>
        <w:jc w:val="left"/>
        <w:rPr>
          <w:rFonts w:cs="宋体"/>
          <w:color w:val="000000"/>
          <w:kern w:val="0"/>
          <w:szCs w:val="21"/>
        </w:rPr>
      </w:pPr>
    </w:p>
    <w:p>
      <w:pPr>
        <w:autoSpaceDE w:val="0"/>
        <w:autoSpaceDN w:val="0"/>
        <w:adjustRightInd w:val="0"/>
        <w:spacing w:line="360" w:lineRule="auto"/>
        <w:ind w:firstLine="420" w:firstLineChars="200"/>
        <w:jc w:val="left"/>
        <w:rPr>
          <w:rFonts w:cs="宋体"/>
          <w:color w:val="000000"/>
          <w:kern w:val="0"/>
          <w:szCs w:val="21"/>
          <w:u w:val="single"/>
        </w:rPr>
      </w:pPr>
      <w:r>
        <w:rPr>
          <w:rFonts w:hint="eastAsia" w:hAnsi="宋体" w:cs="宋体"/>
          <w:color w:val="000000"/>
          <w:kern w:val="0"/>
          <w:szCs w:val="21"/>
        </w:rPr>
        <w:t>身份证号码：</w:t>
      </w:r>
    </w:p>
    <w:p>
      <w:pPr>
        <w:autoSpaceDE w:val="0"/>
        <w:autoSpaceDN w:val="0"/>
        <w:adjustRightInd w:val="0"/>
        <w:spacing w:line="360" w:lineRule="auto"/>
        <w:ind w:firstLine="420" w:firstLineChars="200"/>
        <w:jc w:val="left"/>
        <w:rPr>
          <w:rFonts w:cs="宋体"/>
          <w:color w:val="000000"/>
          <w:kern w:val="0"/>
          <w:szCs w:val="21"/>
        </w:rPr>
      </w:pPr>
    </w:p>
    <w:p>
      <w:pPr>
        <w:autoSpaceDE w:val="0"/>
        <w:autoSpaceDN w:val="0"/>
        <w:adjustRightInd w:val="0"/>
        <w:spacing w:line="360" w:lineRule="auto"/>
        <w:ind w:firstLine="3255" w:firstLineChars="1550"/>
        <w:jc w:val="left"/>
        <w:rPr>
          <w:rFonts w:cs="宋体"/>
          <w:color w:val="000000"/>
          <w:kern w:val="0"/>
          <w:szCs w:val="21"/>
          <w:u w:val="single"/>
        </w:rPr>
      </w:pPr>
    </w:p>
    <w:p>
      <w:pPr>
        <w:autoSpaceDE w:val="0"/>
        <w:autoSpaceDN w:val="0"/>
        <w:adjustRightInd w:val="0"/>
        <w:spacing w:line="360" w:lineRule="auto"/>
        <w:ind w:firstLine="3255" w:firstLineChars="1550"/>
        <w:jc w:val="left"/>
        <w:rPr>
          <w:rFonts w:cs="宋体"/>
          <w:color w:val="000000"/>
          <w:kern w:val="0"/>
          <w:szCs w:val="21"/>
        </w:rPr>
      </w:pPr>
      <w:r>
        <w:rPr>
          <w:rFonts w:hint="eastAsia" w:hAnsi="宋体" w:cs="宋体"/>
          <w:color w:val="000000"/>
          <w:kern w:val="0"/>
          <w:szCs w:val="21"/>
        </w:rPr>
        <w:t>年月日</w:t>
      </w:r>
    </w:p>
    <w:p>
      <w:pPr>
        <w:autoSpaceDE w:val="0"/>
        <w:autoSpaceDN w:val="0"/>
        <w:adjustRightInd w:val="0"/>
        <w:spacing w:line="360" w:lineRule="auto"/>
        <w:ind w:firstLine="422" w:firstLineChars="200"/>
        <w:jc w:val="left"/>
        <w:rPr>
          <w:rFonts w:cs="宋体"/>
          <w:b/>
          <w:bCs/>
          <w:kern w:val="0"/>
          <w:szCs w:val="21"/>
        </w:rPr>
      </w:pPr>
      <w:r>
        <w:rPr>
          <w:rFonts w:hint="eastAsia" w:hAnsi="宋体" w:cs="宋体"/>
          <w:b/>
          <w:bCs/>
          <w:kern w:val="0"/>
          <w:szCs w:val="21"/>
        </w:rPr>
        <w:t>附：授权委托人身份证复印件</w:t>
      </w:r>
    </w:p>
    <w:p>
      <w:pPr>
        <w:pStyle w:val="4"/>
        <w:keepNext w:val="0"/>
        <w:keepLines w:val="0"/>
        <w:spacing w:line="360" w:lineRule="auto"/>
        <w:jc w:val="center"/>
        <w:rPr>
          <w:rFonts w:ascii="Times New Roman" w:hAnsi="Times New Roman" w:eastAsia="宋体"/>
          <w:b/>
          <w:color w:val="000000"/>
          <w:sz w:val="24"/>
          <w:szCs w:val="24"/>
        </w:rPr>
      </w:pPr>
      <w:r>
        <w:rPr>
          <w:rFonts w:ascii="Times New Roman" w:hAnsi="Times New Roman" w:eastAsia="宋体"/>
          <w:b/>
          <w:color w:val="000000"/>
          <w:sz w:val="24"/>
          <w:szCs w:val="24"/>
        </w:rPr>
        <w:br w:type="page"/>
      </w:r>
      <w:bookmarkStart w:id="300" w:name="_Toc9194627"/>
      <w:r>
        <w:rPr>
          <w:rFonts w:hint="eastAsia" w:ascii="Times New Roman" w:hAnsi="宋体" w:eastAsia="宋体"/>
          <w:b/>
          <w:color w:val="000000"/>
          <w:sz w:val="24"/>
          <w:szCs w:val="24"/>
        </w:rPr>
        <w:t>投标人基本情况一览表</w:t>
      </w:r>
      <w:bookmarkEnd w:id="300"/>
    </w:p>
    <w:tbl>
      <w:tblPr>
        <w:tblStyle w:val="17"/>
        <w:tblpPr w:leftFromText="180" w:rightFromText="180" w:vertAnchor="text" w:horzAnchor="page" w:tblpX="1909" w:tblpY="4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68"/>
        <w:gridCol w:w="791"/>
        <w:gridCol w:w="1099"/>
        <w:gridCol w:w="102"/>
        <w:gridCol w:w="1325"/>
        <w:gridCol w:w="475"/>
        <w:gridCol w:w="1130"/>
        <w:gridCol w:w="1570"/>
        <w:gridCol w:w="722"/>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b/>
                <w:szCs w:val="21"/>
              </w:rPr>
            </w:pPr>
            <w:bookmarkStart w:id="301" w:name="_Toc23714"/>
            <w:bookmarkStart w:id="302" w:name="_Toc398111725"/>
            <w:r>
              <w:rPr>
                <w:rFonts w:hint="eastAsia" w:hAnsi="宋体"/>
                <w:b/>
                <w:szCs w:val="21"/>
              </w:rPr>
              <w:t>单位名称</w:t>
            </w:r>
          </w:p>
        </w:tc>
        <w:tc>
          <w:tcPr>
            <w:tcW w:w="5242" w:type="dxa"/>
            <w:gridSpan w:val="6"/>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b/>
                <w:szCs w:val="21"/>
              </w:rPr>
            </w:pPr>
            <w:r>
              <w:rPr>
                <w:rFonts w:hint="eastAsia" w:hAnsi="宋体"/>
                <w:b/>
                <w:szCs w:val="21"/>
              </w:rPr>
              <w:t>上级主管部门</w:t>
            </w:r>
          </w:p>
        </w:tc>
        <w:tc>
          <w:tcPr>
            <w:tcW w:w="5242" w:type="dxa"/>
            <w:gridSpan w:val="6"/>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b/>
                <w:szCs w:val="21"/>
              </w:rPr>
            </w:pPr>
            <w:r>
              <w:rPr>
                <w:rFonts w:hint="eastAsia" w:hAnsi="宋体"/>
                <w:b/>
                <w:szCs w:val="21"/>
              </w:rPr>
              <w:t>营业执照批准部门及证号</w:t>
            </w:r>
          </w:p>
        </w:tc>
        <w:tc>
          <w:tcPr>
            <w:tcW w:w="5242" w:type="dxa"/>
            <w:gridSpan w:val="6"/>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348" w:type="dxa"/>
            <w:gridSpan w:val="5"/>
          </w:tcPr>
          <w:p>
            <w:pPr>
              <w:spacing w:line="360" w:lineRule="auto"/>
              <w:rPr>
                <w:b/>
                <w:szCs w:val="21"/>
              </w:rPr>
            </w:pPr>
            <w:r>
              <w:rPr>
                <w:rFonts w:hint="eastAsia" w:hAnsi="宋体"/>
                <w:b/>
                <w:szCs w:val="21"/>
              </w:rPr>
              <w:t>资质等级及批准部门</w:t>
            </w:r>
          </w:p>
        </w:tc>
        <w:tc>
          <w:tcPr>
            <w:tcW w:w="5242" w:type="dxa"/>
            <w:gridSpan w:val="6"/>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356" w:type="dxa"/>
            <w:gridSpan w:val="2"/>
            <w:vAlign w:val="center"/>
          </w:tcPr>
          <w:p>
            <w:pPr>
              <w:spacing w:line="360" w:lineRule="auto"/>
              <w:jc w:val="center"/>
              <w:rPr>
                <w:b/>
                <w:szCs w:val="21"/>
              </w:rPr>
            </w:pPr>
            <w:r>
              <w:rPr>
                <w:rFonts w:hint="eastAsia" w:hAnsi="宋体"/>
                <w:b/>
                <w:szCs w:val="21"/>
              </w:rPr>
              <w:t>公司</w:t>
            </w:r>
          </w:p>
          <w:p>
            <w:pPr>
              <w:spacing w:line="360" w:lineRule="auto"/>
              <w:jc w:val="center"/>
              <w:rPr>
                <w:b/>
                <w:szCs w:val="21"/>
              </w:rPr>
            </w:pPr>
            <w:r>
              <w:rPr>
                <w:rFonts w:hint="eastAsia" w:hAnsi="宋体"/>
                <w:b/>
                <w:szCs w:val="21"/>
              </w:rPr>
              <w:t>总人数</w:t>
            </w:r>
          </w:p>
        </w:tc>
        <w:tc>
          <w:tcPr>
            <w:tcW w:w="1992" w:type="dxa"/>
            <w:gridSpan w:val="3"/>
          </w:tcPr>
          <w:p>
            <w:pPr>
              <w:spacing w:line="360" w:lineRule="auto"/>
              <w:rPr>
                <w:b/>
                <w:szCs w:val="21"/>
              </w:rPr>
            </w:pPr>
          </w:p>
        </w:tc>
        <w:tc>
          <w:tcPr>
            <w:tcW w:w="1800" w:type="dxa"/>
            <w:gridSpan w:val="2"/>
            <w:vAlign w:val="center"/>
          </w:tcPr>
          <w:p>
            <w:pPr>
              <w:spacing w:line="360" w:lineRule="auto"/>
              <w:jc w:val="center"/>
              <w:rPr>
                <w:b/>
                <w:szCs w:val="21"/>
              </w:rPr>
            </w:pPr>
            <w:r>
              <w:rPr>
                <w:rFonts w:hint="eastAsia" w:hAnsi="宋体"/>
                <w:b/>
                <w:szCs w:val="21"/>
              </w:rPr>
              <w:t>国家注册</w:t>
            </w:r>
          </w:p>
          <w:p>
            <w:pPr>
              <w:spacing w:line="360" w:lineRule="auto"/>
              <w:jc w:val="center"/>
              <w:rPr>
                <w:b/>
                <w:szCs w:val="21"/>
              </w:rPr>
            </w:pPr>
            <w:r>
              <w:rPr>
                <w:rFonts w:hint="eastAsia" w:hAnsi="宋体"/>
                <w:b/>
                <w:szCs w:val="21"/>
              </w:rPr>
              <w:t>监理工程师人数</w:t>
            </w:r>
          </w:p>
        </w:tc>
        <w:tc>
          <w:tcPr>
            <w:tcW w:w="1130" w:type="dxa"/>
            <w:vAlign w:val="center"/>
          </w:tcPr>
          <w:p>
            <w:pPr>
              <w:spacing w:line="360" w:lineRule="auto"/>
              <w:jc w:val="center"/>
              <w:rPr>
                <w:b/>
                <w:szCs w:val="21"/>
              </w:rPr>
            </w:pPr>
          </w:p>
        </w:tc>
        <w:tc>
          <w:tcPr>
            <w:tcW w:w="1570" w:type="dxa"/>
            <w:vAlign w:val="center"/>
          </w:tcPr>
          <w:p>
            <w:pPr>
              <w:spacing w:line="360" w:lineRule="auto"/>
              <w:jc w:val="center"/>
              <w:rPr>
                <w:b/>
                <w:szCs w:val="21"/>
              </w:rPr>
            </w:pPr>
            <w:r>
              <w:rPr>
                <w:rFonts w:hint="eastAsia" w:hAnsi="宋体"/>
                <w:b/>
                <w:szCs w:val="21"/>
              </w:rPr>
              <w:t>省级监理工程师人数</w:t>
            </w:r>
          </w:p>
        </w:tc>
        <w:tc>
          <w:tcPr>
            <w:tcW w:w="742" w:type="dxa"/>
            <w:gridSpan w:val="2"/>
          </w:tcPr>
          <w:p>
            <w:pPr>
              <w:spacing w:line="360" w:lineRule="auto"/>
              <w:jc w:val="left"/>
              <w:rPr>
                <w:b/>
                <w:szCs w:val="21"/>
              </w:rPr>
            </w:pPr>
          </w:p>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356" w:type="dxa"/>
            <w:gridSpan w:val="2"/>
            <w:vAlign w:val="center"/>
          </w:tcPr>
          <w:p>
            <w:pPr>
              <w:spacing w:line="360" w:lineRule="auto"/>
              <w:jc w:val="center"/>
              <w:rPr>
                <w:b/>
                <w:szCs w:val="21"/>
              </w:rPr>
            </w:pPr>
            <w:r>
              <w:rPr>
                <w:rFonts w:hint="eastAsia" w:hAnsi="宋体"/>
                <w:b/>
                <w:szCs w:val="21"/>
              </w:rPr>
              <w:t>管理人员</w:t>
            </w:r>
          </w:p>
          <w:p>
            <w:pPr>
              <w:spacing w:line="360" w:lineRule="auto"/>
              <w:jc w:val="center"/>
              <w:rPr>
                <w:b/>
                <w:szCs w:val="21"/>
              </w:rPr>
            </w:pPr>
            <w:r>
              <w:rPr>
                <w:rFonts w:hint="eastAsia" w:hAnsi="宋体"/>
                <w:b/>
                <w:szCs w:val="21"/>
              </w:rPr>
              <w:t>人数</w:t>
            </w:r>
          </w:p>
        </w:tc>
        <w:tc>
          <w:tcPr>
            <w:tcW w:w="1992" w:type="dxa"/>
            <w:gridSpan w:val="3"/>
          </w:tcPr>
          <w:p>
            <w:pPr>
              <w:spacing w:line="360" w:lineRule="auto"/>
              <w:rPr>
                <w:b/>
                <w:szCs w:val="21"/>
              </w:rPr>
            </w:pPr>
          </w:p>
        </w:tc>
        <w:tc>
          <w:tcPr>
            <w:tcW w:w="1800" w:type="dxa"/>
            <w:gridSpan w:val="2"/>
            <w:vAlign w:val="center"/>
          </w:tcPr>
          <w:p>
            <w:pPr>
              <w:spacing w:line="360" w:lineRule="auto"/>
              <w:jc w:val="center"/>
              <w:rPr>
                <w:b/>
                <w:szCs w:val="21"/>
              </w:rPr>
            </w:pPr>
            <w:r>
              <w:rPr>
                <w:rFonts w:hint="eastAsia" w:hAnsi="宋体"/>
                <w:b/>
                <w:szCs w:val="21"/>
              </w:rPr>
              <w:t>监理岗位</w:t>
            </w:r>
          </w:p>
          <w:p>
            <w:pPr>
              <w:spacing w:line="360" w:lineRule="auto"/>
              <w:jc w:val="center"/>
              <w:rPr>
                <w:b/>
                <w:szCs w:val="21"/>
              </w:rPr>
            </w:pPr>
            <w:r>
              <w:rPr>
                <w:rFonts w:hint="eastAsia" w:hAnsi="宋体"/>
                <w:b/>
                <w:szCs w:val="21"/>
              </w:rPr>
              <w:t>培训证人数</w:t>
            </w:r>
          </w:p>
        </w:tc>
        <w:tc>
          <w:tcPr>
            <w:tcW w:w="1130" w:type="dxa"/>
            <w:vAlign w:val="center"/>
          </w:tcPr>
          <w:p>
            <w:pPr>
              <w:spacing w:line="360" w:lineRule="auto"/>
              <w:jc w:val="center"/>
              <w:rPr>
                <w:b/>
                <w:szCs w:val="21"/>
              </w:rPr>
            </w:pPr>
          </w:p>
        </w:tc>
        <w:tc>
          <w:tcPr>
            <w:tcW w:w="1570" w:type="dxa"/>
            <w:vAlign w:val="center"/>
          </w:tcPr>
          <w:p>
            <w:pPr>
              <w:spacing w:line="360" w:lineRule="auto"/>
              <w:jc w:val="center"/>
              <w:rPr>
                <w:b/>
                <w:szCs w:val="21"/>
              </w:rPr>
            </w:pPr>
            <w:r>
              <w:rPr>
                <w:rFonts w:hint="eastAsia" w:hAnsi="宋体"/>
                <w:b/>
                <w:szCs w:val="21"/>
              </w:rPr>
              <w:t>其他人数</w:t>
            </w:r>
          </w:p>
        </w:tc>
        <w:tc>
          <w:tcPr>
            <w:tcW w:w="742" w:type="dxa"/>
            <w:gridSpan w:val="2"/>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590" w:type="dxa"/>
            <w:gridSpan w:val="11"/>
            <w:vAlign w:val="center"/>
          </w:tcPr>
          <w:p>
            <w:pPr>
              <w:spacing w:line="360" w:lineRule="auto"/>
              <w:jc w:val="center"/>
              <w:rPr>
                <w:b/>
                <w:szCs w:val="21"/>
              </w:rPr>
            </w:pPr>
            <w:r>
              <w:rPr>
                <w:rFonts w:hint="eastAsia" w:hAnsi="宋体"/>
                <w:b/>
                <w:szCs w:val="21"/>
              </w:rPr>
              <w:t>单位领导情况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46" w:hRule="atLeast"/>
        </w:trPr>
        <w:tc>
          <w:tcPr>
            <w:tcW w:w="1188" w:type="dxa"/>
            <w:vAlign w:val="center"/>
          </w:tcPr>
          <w:p>
            <w:pPr>
              <w:spacing w:line="360" w:lineRule="auto"/>
              <w:jc w:val="center"/>
              <w:rPr>
                <w:b/>
                <w:szCs w:val="21"/>
              </w:rPr>
            </w:pPr>
            <w:r>
              <w:rPr>
                <w:rFonts w:hint="eastAsia" w:hAnsi="宋体"/>
                <w:b/>
                <w:szCs w:val="21"/>
              </w:rPr>
              <w:t>姓名</w:t>
            </w:r>
          </w:p>
        </w:tc>
        <w:tc>
          <w:tcPr>
            <w:tcW w:w="959" w:type="dxa"/>
            <w:gridSpan w:val="2"/>
            <w:vAlign w:val="center"/>
          </w:tcPr>
          <w:p>
            <w:pPr>
              <w:spacing w:line="360" w:lineRule="auto"/>
              <w:jc w:val="center"/>
              <w:rPr>
                <w:b/>
                <w:szCs w:val="21"/>
              </w:rPr>
            </w:pPr>
            <w:r>
              <w:rPr>
                <w:rFonts w:hint="eastAsia" w:hAnsi="宋体"/>
                <w:b/>
                <w:szCs w:val="21"/>
              </w:rPr>
              <w:t>年龄</w:t>
            </w:r>
          </w:p>
        </w:tc>
        <w:tc>
          <w:tcPr>
            <w:tcW w:w="1099" w:type="dxa"/>
            <w:vAlign w:val="center"/>
          </w:tcPr>
          <w:p>
            <w:pPr>
              <w:spacing w:line="360" w:lineRule="auto"/>
              <w:jc w:val="center"/>
              <w:rPr>
                <w:b/>
                <w:szCs w:val="21"/>
              </w:rPr>
            </w:pPr>
            <w:r>
              <w:rPr>
                <w:rFonts w:hint="eastAsia" w:hAnsi="宋体"/>
                <w:b/>
                <w:szCs w:val="21"/>
              </w:rPr>
              <w:t>职务</w:t>
            </w:r>
          </w:p>
        </w:tc>
        <w:tc>
          <w:tcPr>
            <w:tcW w:w="1427" w:type="dxa"/>
            <w:gridSpan w:val="2"/>
            <w:vAlign w:val="center"/>
          </w:tcPr>
          <w:p>
            <w:pPr>
              <w:spacing w:line="360" w:lineRule="auto"/>
              <w:jc w:val="center"/>
              <w:rPr>
                <w:b/>
                <w:szCs w:val="21"/>
              </w:rPr>
            </w:pPr>
            <w:r>
              <w:rPr>
                <w:rFonts w:hint="eastAsia" w:hAnsi="宋体"/>
                <w:b/>
                <w:szCs w:val="21"/>
              </w:rPr>
              <w:t>职称</w:t>
            </w:r>
          </w:p>
        </w:tc>
        <w:tc>
          <w:tcPr>
            <w:tcW w:w="3897" w:type="dxa"/>
            <w:gridSpan w:val="4"/>
            <w:vAlign w:val="center"/>
          </w:tcPr>
          <w:p>
            <w:pPr>
              <w:spacing w:line="360" w:lineRule="auto"/>
              <w:jc w:val="center"/>
              <w:rPr>
                <w:b/>
                <w:szCs w:val="21"/>
              </w:rPr>
            </w:pPr>
            <w:r>
              <w:rPr>
                <w:rFonts w:hint="eastAsia" w:hAnsi="宋体"/>
                <w:b/>
                <w:szCs w:val="21"/>
              </w:rPr>
              <w:t>从事监理工作年限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b/>
                <w:szCs w:val="21"/>
              </w:rPr>
            </w:pPr>
          </w:p>
        </w:tc>
        <w:tc>
          <w:tcPr>
            <w:tcW w:w="959" w:type="dxa"/>
            <w:gridSpan w:val="2"/>
          </w:tcPr>
          <w:p>
            <w:pPr>
              <w:spacing w:line="360" w:lineRule="auto"/>
              <w:rPr>
                <w:b/>
                <w:szCs w:val="21"/>
              </w:rPr>
            </w:pPr>
          </w:p>
        </w:tc>
        <w:tc>
          <w:tcPr>
            <w:tcW w:w="1099" w:type="dxa"/>
          </w:tcPr>
          <w:p>
            <w:pPr>
              <w:spacing w:line="360" w:lineRule="auto"/>
              <w:rPr>
                <w:b/>
                <w:szCs w:val="21"/>
              </w:rPr>
            </w:pPr>
          </w:p>
        </w:tc>
        <w:tc>
          <w:tcPr>
            <w:tcW w:w="1427" w:type="dxa"/>
            <w:gridSpan w:val="2"/>
          </w:tcPr>
          <w:p>
            <w:pPr>
              <w:spacing w:line="360" w:lineRule="auto"/>
              <w:rPr>
                <w:b/>
                <w:szCs w:val="21"/>
              </w:rPr>
            </w:pPr>
          </w:p>
        </w:tc>
        <w:tc>
          <w:tcPr>
            <w:tcW w:w="3897" w:type="dxa"/>
            <w:gridSpan w:val="4"/>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b/>
                <w:szCs w:val="21"/>
              </w:rPr>
            </w:pPr>
          </w:p>
        </w:tc>
        <w:tc>
          <w:tcPr>
            <w:tcW w:w="959" w:type="dxa"/>
            <w:gridSpan w:val="2"/>
          </w:tcPr>
          <w:p>
            <w:pPr>
              <w:spacing w:line="360" w:lineRule="auto"/>
              <w:rPr>
                <w:b/>
                <w:szCs w:val="21"/>
              </w:rPr>
            </w:pPr>
          </w:p>
        </w:tc>
        <w:tc>
          <w:tcPr>
            <w:tcW w:w="1099" w:type="dxa"/>
          </w:tcPr>
          <w:p>
            <w:pPr>
              <w:spacing w:line="360" w:lineRule="auto"/>
              <w:rPr>
                <w:b/>
                <w:szCs w:val="21"/>
              </w:rPr>
            </w:pPr>
          </w:p>
        </w:tc>
        <w:tc>
          <w:tcPr>
            <w:tcW w:w="1427" w:type="dxa"/>
            <w:gridSpan w:val="2"/>
          </w:tcPr>
          <w:p>
            <w:pPr>
              <w:spacing w:line="360" w:lineRule="auto"/>
              <w:rPr>
                <w:b/>
                <w:szCs w:val="21"/>
              </w:rPr>
            </w:pPr>
          </w:p>
        </w:tc>
        <w:tc>
          <w:tcPr>
            <w:tcW w:w="3897" w:type="dxa"/>
            <w:gridSpan w:val="4"/>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b/>
                <w:szCs w:val="21"/>
              </w:rPr>
            </w:pPr>
          </w:p>
        </w:tc>
        <w:tc>
          <w:tcPr>
            <w:tcW w:w="959" w:type="dxa"/>
            <w:gridSpan w:val="2"/>
          </w:tcPr>
          <w:p>
            <w:pPr>
              <w:spacing w:line="360" w:lineRule="auto"/>
              <w:rPr>
                <w:b/>
                <w:szCs w:val="21"/>
              </w:rPr>
            </w:pPr>
          </w:p>
        </w:tc>
        <w:tc>
          <w:tcPr>
            <w:tcW w:w="1099" w:type="dxa"/>
          </w:tcPr>
          <w:p>
            <w:pPr>
              <w:spacing w:line="360" w:lineRule="auto"/>
              <w:rPr>
                <w:b/>
                <w:szCs w:val="21"/>
              </w:rPr>
            </w:pPr>
          </w:p>
        </w:tc>
        <w:tc>
          <w:tcPr>
            <w:tcW w:w="1427" w:type="dxa"/>
            <w:gridSpan w:val="2"/>
          </w:tcPr>
          <w:p>
            <w:pPr>
              <w:spacing w:line="360" w:lineRule="auto"/>
              <w:rPr>
                <w:b/>
                <w:szCs w:val="21"/>
              </w:rPr>
            </w:pPr>
          </w:p>
        </w:tc>
        <w:tc>
          <w:tcPr>
            <w:tcW w:w="3897" w:type="dxa"/>
            <w:gridSpan w:val="4"/>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551" w:hRule="atLeast"/>
        </w:trPr>
        <w:tc>
          <w:tcPr>
            <w:tcW w:w="1188" w:type="dxa"/>
          </w:tcPr>
          <w:p>
            <w:pPr>
              <w:spacing w:line="360" w:lineRule="auto"/>
              <w:rPr>
                <w:b/>
                <w:szCs w:val="21"/>
              </w:rPr>
            </w:pPr>
          </w:p>
        </w:tc>
        <w:tc>
          <w:tcPr>
            <w:tcW w:w="959" w:type="dxa"/>
            <w:gridSpan w:val="2"/>
          </w:tcPr>
          <w:p>
            <w:pPr>
              <w:spacing w:line="360" w:lineRule="auto"/>
              <w:rPr>
                <w:b/>
                <w:szCs w:val="21"/>
              </w:rPr>
            </w:pPr>
          </w:p>
        </w:tc>
        <w:tc>
          <w:tcPr>
            <w:tcW w:w="1099" w:type="dxa"/>
          </w:tcPr>
          <w:p>
            <w:pPr>
              <w:spacing w:line="360" w:lineRule="auto"/>
              <w:rPr>
                <w:b/>
                <w:szCs w:val="21"/>
              </w:rPr>
            </w:pPr>
          </w:p>
        </w:tc>
        <w:tc>
          <w:tcPr>
            <w:tcW w:w="1427" w:type="dxa"/>
            <w:gridSpan w:val="2"/>
          </w:tcPr>
          <w:p>
            <w:pPr>
              <w:spacing w:line="360" w:lineRule="auto"/>
              <w:rPr>
                <w:b/>
                <w:szCs w:val="21"/>
              </w:rPr>
            </w:pPr>
          </w:p>
        </w:tc>
        <w:tc>
          <w:tcPr>
            <w:tcW w:w="3897" w:type="dxa"/>
            <w:gridSpan w:val="4"/>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590" w:type="dxa"/>
            <w:gridSpan w:val="11"/>
            <w:vAlign w:val="center"/>
          </w:tcPr>
          <w:p>
            <w:pPr>
              <w:spacing w:line="360" w:lineRule="auto"/>
              <w:jc w:val="center"/>
              <w:rPr>
                <w:b/>
                <w:szCs w:val="21"/>
              </w:rPr>
            </w:pPr>
            <w:r>
              <w:rPr>
                <w:rFonts w:hint="eastAsia" w:hAnsi="宋体"/>
                <w:b/>
                <w:szCs w:val="21"/>
              </w:rPr>
              <w:t>公司荣誉或业绩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8590" w:type="dxa"/>
            <w:gridSpan w:val="11"/>
          </w:tcPr>
          <w:p>
            <w:pPr>
              <w:spacing w:line="360" w:lineRule="auto"/>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590" w:type="dxa"/>
            <w:gridSpan w:val="11"/>
          </w:tcPr>
          <w:p>
            <w:pPr>
              <w:spacing w:line="360" w:lineRule="auto"/>
              <w:jc w:val="center"/>
              <w:rPr>
                <w:b/>
                <w:szCs w:val="21"/>
              </w:rPr>
            </w:pPr>
            <w:r>
              <w:rPr>
                <w:rFonts w:hint="eastAsia" w:hAnsi="宋体"/>
                <w:b/>
                <w:szCs w:val="21"/>
              </w:rPr>
              <w:t>公司优势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590" w:type="dxa"/>
            <w:gridSpan w:val="11"/>
            <w:vAlign w:val="center"/>
          </w:tcPr>
          <w:p>
            <w:pPr>
              <w:spacing w:line="360" w:lineRule="auto"/>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trPr>
        <w:tc>
          <w:tcPr>
            <w:tcW w:w="8590" w:type="dxa"/>
            <w:gridSpan w:val="11"/>
          </w:tcPr>
          <w:p>
            <w:pPr>
              <w:spacing w:line="360" w:lineRule="auto"/>
              <w:rPr>
                <w:b/>
                <w:szCs w:val="21"/>
              </w:rPr>
            </w:pPr>
            <w:r>
              <w:rPr>
                <w:rFonts w:hint="eastAsia" w:hAnsi="宋体"/>
                <w:b/>
                <w:szCs w:val="21"/>
              </w:rPr>
              <w:t>备注：</w:t>
            </w:r>
          </w:p>
        </w:tc>
      </w:tr>
    </w:tbl>
    <w:p>
      <w:pPr>
        <w:pStyle w:val="4"/>
        <w:keepNext w:val="0"/>
        <w:keepLines w:val="0"/>
        <w:spacing w:line="360" w:lineRule="auto"/>
        <w:jc w:val="center"/>
        <w:rPr>
          <w:rFonts w:ascii="Times New Roman" w:hAnsi="Times New Roman" w:eastAsia="宋体"/>
          <w:b/>
          <w:color w:val="000000"/>
          <w:sz w:val="24"/>
          <w:szCs w:val="24"/>
        </w:rPr>
      </w:pPr>
      <w:r>
        <w:rPr>
          <w:rFonts w:ascii="Times New Roman" w:hAnsi="Times New Roman" w:eastAsia="宋体"/>
          <w:b/>
          <w:color w:val="000000"/>
          <w:sz w:val="24"/>
          <w:szCs w:val="24"/>
        </w:rPr>
        <w:br w:type="page"/>
      </w:r>
      <w:bookmarkEnd w:id="301"/>
      <w:bookmarkEnd w:id="302"/>
      <w:bookmarkStart w:id="303" w:name="_Toc9194628"/>
      <w:bookmarkStart w:id="304" w:name="_Toc8649"/>
      <w:bookmarkStart w:id="305" w:name="_Toc398111726"/>
      <w:r>
        <w:rPr>
          <w:rFonts w:hint="eastAsia" w:ascii="Times New Roman" w:hAnsi="宋体" w:eastAsia="宋体"/>
          <w:b/>
          <w:color w:val="000000"/>
          <w:sz w:val="24"/>
          <w:szCs w:val="24"/>
        </w:rPr>
        <w:t>拟派项目监理机构人员一览表</w:t>
      </w:r>
      <w:bookmarkEnd w:id="303"/>
      <w:bookmarkEnd w:id="304"/>
      <w:bookmarkEnd w:id="305"/>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12"/>
        <w:gridCol w:w="709"/>
        <w:gridCol w:w="709"/>
        <w:gridCol w:w="708"/>
        <w:gridCol w:w="1512"/>
        <w:gridCol w:w="1276"/>
        <w:gridCol w:w="1417"/>
        <w:gridCol w:w="7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restart"/>
            <w:vAlign w:val="center"/>
          </w:tcPr>
          <w:p>
            <w:pPr>
              <w:spacing w:line="360" w:lineRule="auto"/>
              <w:jc w:val="center"/>
              <w:rPr>
                <w:color w:val="000000"/>
                <w:szCs w:val="21"/>
              </w:rPr>
            </w:pPr>
            <w:r>
              <w:rPr>
                <w:rFonts w:hint="eastAsia" w:hAnsi="宋体"/>
                <w:color w:val="000000"/>
                <w:szCs w:val="21"/>
              </w:rPr>
              <w:t>拟任岗位</w:t>
            </w:r>
          </w:p>
        </w:tc>
        <w:tc>
          <w:tcPr>
            <w:tcW w:w="709" w:type="dxa"/>
            <w:vMerge w:val="restart"/>
            <w:vAlign w:val="center"/>
          </w:tcPr>
          <w:p>
            <w:pPr>
              <w:spacing w:line="360" w:lineRule="auto"/>
              <w:jc w:val="center"/>
              <w:rPr>
                <w:color w:val="000000"/>
                <w:szCs w:val="21"/>
              </w:rPr>
            </w:pPr>
            <w:r>
              <w:rPr>
                <w:rFonts w:hint="eastAsia" w:hAnsi="宋体"/>
                <w:color w:val="000000"/>
                <w:szCs w:val="21"/>
              </w:rPr>
              <w:t>姓名</w:t>
            </w:r>
          </w:p>
        </w:tc>
        <w:tc>
          <w:tcPr>
            <w:tcW w:w="709" w:type="dxa"/>
            <w:vMerge w:val="restart"/>
            <w:vAlign w:val="center"/>
          </w:tcPr>
          <w:p>
            <w:pPr>
              <w:spacing w:line="360" w:lineRule="auto"/>
              <w:jc w:val="center"/>
              <w:rPr>
                <w:color w:val="000000"/>
                <w:szCs w:val="21"/>
              </w:rPr>
            </w:pPr>
            <w:r>
              <w:rPr>
                <w:rFonts w:hint="eastAsia" w:hAnsi="宋体"/>
                <w:color w:val="000000"/>
                <w:szCs w:val="21"/>
              </w:rPr>
              <w:t>年龄</w:t>
            </w:r>
          </w:p>
        </w:tc>
        <w:tc>
          <w:tcPr>
            <w:tcW w:w="708" w:type="dxa"/>
            <w:vMerge w:val="restart"/>
            <w:vAlign w:val="center"/>
          </w:tcPr>
          <w:p>
            <w:pPr>
              <w:spacing w:line="360" w:lineRule="auto"/>
              <w:jc w:val="center"/>
              <w:rPr>
                <w:color w:val="000000"/>
                <w:szCs w:val="21"/>
              </w:rPr>
            </w:pPr>
            <w:r>
              <w:rPr>
                <w:rFonts w:hint="eastAsia" w:hAnsi="宋体"/>
                <w:color w:val="000000"/>
                <w:szCs w:val="21"/>
              </w:rPr>
              <w:t>职称</w:t>
            </w:r>
          </w:p>
        </w:tc>
        <w:tc>
          <w:tcPr>
            <w:tcW w:w="1512" w:type="dxa"/>
            <w:vMerge w:val="restart"/>
            <w:vAlign w:val="center"/>
          </w:tcPr>
          <w:p>
            <w:pPr>
              <w:spacing w:line="360" w:lineRule="auto"/>
              <w:jc w:val="center"/>
              <w:rPr>
                <w:color w:val="000000"/>
                <w:szCs w:val="21"/>
              </w:rPr>
            </w:pPr>
            <w:r>
              <w:rPr>
                <w:rFonts w:hint="eastAsia" w:hAnsi="宋体"/>
                <w:color w:val="000000"/>
                <w:szCs w:val="21"/>
              </w:rPr>
              <w:t>从事监理工作年限</w:t>
            </w:r>
          </w:p>
        </w:tc>
        <w:tc>
          <w:tcPr>
            <w:tcW w:w="3402" w:type="dxa"/>
            <w:gridSpan w:val="3"/>
            <w:vAlign w:val="center"/>
          </w:tcPr>
          <w:p>
            <w:pPr>
              <w:spacing w:line="360" w:lineRule="auto"/>
              <w:jc w:val="center"/>
              <w:rPr>
                <w:color w:val="000000"/>
                <w:szCs w:val="21"/>
              </w:rPr>
            </w:pPr>
            <w:r>
              <w:rPr>
                <w:rFonts w:hint="eastAsia" w:hAnsi="宋体"/>
                <w:color w:val="000000"/>
                <w:szCs w:val="21"/>
              </w:rPr>
              <w:t>执业或职业资格证书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trPr>
        <w:tc>
          <w:tcPr>
            <w:tcW w:w="1512" w:type="dxa"/>
            <w:vMerge w:val="continue"/>
            <w:vAlign w:val="center"/>
          </w:tcPr>
          <w:p>
            <w:pPr>
              <w:spacing w:line="360" w:lineRule="auto"/>
              <w:jc w:val="center"/>
              <w:rPr>
                <w:color w:val="000000"/>
                <w:szCs w:val="21"/>
              </w:rPr>
            </w:pPr>
          </w:p>
        </w:tc>
        <w:tc>
          <w:tcPr>
            <w:tcW w:w="709" w:type="dxa"/>
            <w:vMerge w:val="continue"/>
            <w:vAlign w:val="center"/>
          </w:tcPr>
          <w:p>
            <w:pPr>
              <w:spacing w:line="360" w:lineRule="auto"/>
              <w:jc w:val="center"/>
              <w:rPr>
                <w:color w:val="000000"/>
                <w:szCs w:val="21"/>
              </w:rPr>
            </w:pPr>
          </w:p>
        </w:tc>
        <w:tc>
          <w:tcPr>
            <w:tcW w:w="709" w:type="dxa"/>
            <w:vMerge w:val="continue"/>
            <w:vAlign w:val="center"/>
          </w:tcPr>
          <w:p>
            <w:pPr>
              <w:spacing w:line="360" w:lineRule="auto"/>
              <w:jc w:val="center"/>
              <w:rPr>
                <w:color w:val="000000"/>
                <w:szCs w:val="21"/>
              </w:rPr>
            </w:pPr>
          </w:p>
        </w:tc>
        <w:tc>
          <w:tcPr>
            <w:tcW w:w="708" w:type="dxa"/>
            <w:vMerge w:val="continue"/>
            <w:vAlign w:val="center"/>
          </w:tcPr>
          <w:p>
            <w:pPr>
              <w:spacing w:line="360" w:lineRule="auto"/>
              <w:jc w:val="center"/>
              <w:rPr>
                <w:color w:val="000000"/>
                <w:szCs w:val="21"/>
              </w:rPr>
            </w:pPr>
          </w:p>
        </w:tc>
        <w:tc>
          <w:tcPr>
            <w:tcW w:w="1512" w:type="dxa"/>
            <w:vMerge w:val="continue"/>
            <w:vAlign w:val="center"/>
          </w:tcPr>
          <w:p>
            <w:pPr>
              <w:spacing w:line="360" w:lineRule="auto"/>
              <w:jc w:val="center"/>
              <w:rPr>
                <w:color w:val="000000"/>
                <w:szCs w:val="21"/>
              </w:rPr>
            </w:pPr>
          </w:p>
        </w:tc>
        <w:tc>
          <w:tcPr>
            <w:tcW w:w="1276" w:type="dxa"/>
            <w:vAlign w:val="center"/>
          </w:tcPr>
          <w:p>
            <w:pPr>
              <w:spacing w:line="360" w:lineRule="auto"/>
              <w:jc w:val="center"/>
              <w:rPr>
                <w:color w:val="000000"/>
                <w:szCs w:val="21"/>
              </w:rPr>
            </w:pPr>
            <w:r>
              <w:rPr>
                <w:rFonts w:hint="eastAsia" w:hAnsi="宋体"/>
                <w:color w:val="000000"/>
                <w:szCs w:val="21"/>
              </w:rPr>
              <w:t>证书名称</w:t>
            </w:r>
          </w:p>
        </w:tc>
        <w:tc>
          <w:tcPr>
            <w:tcW w:w="1417" w:type="dxa"/>
            <w:vAlign w:val="center"/>
          </w:tcPr>
          <w:p>
            <w:pPr>
              <w:spacing w:line="360" w:lineRule="auto"/>
              <w:jc w:val="center"/>
              <w:rPr>
                <w:color w:val="000000"/>
                <w:szCs w:val="21"/>
              </w:rPr>
            </w:pPr>
            <w:r>
              <w:rPr>
                <w:rFonts w:hint="eastAsia" w:hAnsi="宋体"/>
                <w:color w:val="000000"/>
                <w:szCs w:val="21"/>
              </w:rPr>
              <w:t>证书编号</w:t>
            </w:r>
          </w:p>
        </w:tc>
        <w:tc>
          <w:tcPr>
            <w:tcW w:w="709" w:type="dxa"/>
            <w:vAlign w:val="center"/>
          </w:tcPr>
          <w:p>
            <w:pPr>
              <w:spacing w:line="360" w:lineRule="auto"/>
              <w:jc w:val="center"/>
              <w:rPr>
                <w:color w:val="000000"/>
                <w:szCs w:val="21"/>
              </w:rPr>
            </w:pPr>
            <w:r>
              <w:rPr>
                <w:rFonts w:hint="eastAsia" w:hAnsi="宋体"/>
                <w:color w:val="000000"/>
                <w:szCs w:val="21"/>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pPr>
              <w:spacing w:line="360" w:lineRule="auto"/>
              <w:jc w:val="center"/>
              <w:rPr>
                <w:color w:val="000000"/>
                <w:szCs w:val="21"/>
              </w:rPr>
            </w:pPr>
            <w:r>
              <w:rPr>
                <w:rFonts w:hint="eastAsia" w:hAnsi="宋体"/>
                <w:color w:val="000000"/>
                <w:szCs w:val="21"/>
              </w:rPr>
              <w:t>总监</w:t>
            </w:r>
          </w:p>
        </w:tc>
        <w:tc>
          <w:tcPr>
            <w:tcW w:w="709" w:type="dxa"/>
            <w:vAlign w:val="center"/>
          </w:tcPr>
          <w:p>
            <w:pPr>
              <w:spacing w:line="360" w:lineRule="auto"/>
              <w:jc w:val="center"/>
              <w:rPr>
                <w:color w:val="000000"/>
                <w:szCs w:val="21"/>
              </w:rPr>
            </w:pPr>
          </w:p>
        </w:tc>
        <w:tc>
          <w:tcPr>
            <w:tcW w:w="709" w:type="dxa"/>
            <w:vAlign w:val="center"/>
          </w:tcPr>
          <w:p>
            <w:pPr>
              <w:spacing w:line="360" w:lineRule="auto"/>
              <w:jc w:val="center"/>
              <w:rPr>
                <w:color w:val="000000"/>
                <w:szCs w:val="21"/>
              </w:rPr>
            </w:pPr>
          </w:p>
        </w:tc>
        <w:tc>
          <w:tcPr>
            <w:tcW w:w="708" w:type="dxa"/>
            <w:vAlign w:val="center"/>
          </w:tcPr>
          <w:p>
            <w:pPr>
              <w:spacing w:line="360" w:lineRule="auto"/>
              <w:jc w:val="center"/>
              <w:rPr>
                <w:color w:val="000000"/>
                <w:szCs w:val="21"/>
              </w:rPr>
            </w:pPr>
          </w:p>
        </w:tc>
        <w:tc>
          <w:tcPr>
            <w:tcW w:w="1512" w:type="dxa"/>
            <w:vAlign w:val="center"/>
          </w:tcPr>
          <w:p>
            <w:pPr>
              <w:spacing w:line="360" w:lineRule="auto"/>
              <w:jc w:val="center"/>
              <w:rPr>
                <w:color w:val="000000"/>
                <w:szCs w:val="21"/>
              </w:rPr>
            </w:pPr>
          </w:p>
        </w:tc>
        <w:tc>
          <w:tcPr>
            <w:tcW w:w="1276" w:type="dxa"/>
            <w:vAlign w:val="center"/>
          </w:tcPr>
          <w:p>
            <w:pPr>
              <w:spacing w:line="360" w:lineRule="auto"/>
              <w:jc w:val="center"/>
              <w:rPr>
                <w:color w:val="000000"/>
                <w:szCs w:val="21"/>
              </w:rPr>
            </w:pPr>
          </w:p>
        </w:tc>
        <w:tc>
          <w:tcPr>
            <w:tcW w:w="1417" w:type="dxa"/>
            <w:vAlign w:val="center"/>
          </w:tcPr>
          <w:p>
            <w:pPr>
              <w:spacing w:line="360" w:lineRule="auto"/>
              <w:jc w:val="center"/>
              <w:rPr>
                <w:color w:val="000000"/>
                <w:szCs w:val="21"/>
              </w:rPr>
            </w:pPr>
          </w:p>
        </w:tc>
        <w:tc>
          <w:tcPr>
            <w:tcW w:w="709" w:type="dxa"/>
            <w:vAlign w:val="center"/>
          </w:tcPr>
          <w:p>
            <w:pPr>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vAlign w:val="center"/>
          </w:tcPr>
          <w:p>
            <w:pPr>
              <w:spacing w:line="360" w:lineRule="auto"/>
              <w:jc w:val="center"/>
              <w:rPr>
                <w:color w:val="000000"/>
                <w:szCs w:val="21"/>
              </w:rPr>
            </w:pPr>
            <w:r>
              <w:rPr>
                <w:rFonts w:hint="eastAsia" w:hAnsi="宋体"/>
                <w:color w:val="000000"/>
                <w:szCs w:val="21"/>
              </w:rPr>
              <w:t>专业监理工程师</w:t>
            </w:r>
          </w:p>
        </w:tc>
        <w:tc>
          <w:tcPr>
            <w:tcW w:w="709" w:type="dxa"/>
            <w:tcBorders>
              <w:bottom w:val="single" w:color="auto" w:sz="4" w:space="0"/>
            </w:tcBorders>
            <w:vAlign w:val="center"/>
          </w:tcPr>
          <w:p>
            <w:pPr>
              <w:spacing w:line="360" w:lineRule="auto"/>
              <w:jc w:val="center"/>
              <w:rPr>
                <w:color w:val="000000"/>
                <w:szCs w:val="21"/>
              </w:rPr>
            </w:pPr>
          </w:p>
        </w:tc>
        <w:tc>
          <w:tcPr>
            <w:tcW w:w="709" w:type="dxa"/>
            <w:tcBorders>
              <w:bottom w:val="single" w:color="auto" w:sz="4" w:space="0"/>
            </w:tcBorders>
            <w:vAlign w:val="center"/>
          </w:tcPr>
          <w:p>
            <w:pPr>
              <w:spacing w:line="360" w:lineRule="auto"/>
              <w:jc w:val="center"/>
              <w:rPr>
                <w:color w:val="000000"/>
                <w:szCs w:val="21"/>
              </w:rPr>
            </w:pPr>
          </w:p>
        </w:tc>
        <w:tc>
          <w:tcPr>
            <w:tcW w:w="708" w:type="dxa"/>
            <w:tcBorders>
              <w:bottom w:val="single" w:color="auto" w:sz="4" w:space="0"/>
            </w:tcBorders>
            <w:vAlign w:val="center"/>
          </w:tcPr>
          <w:p>
            <w:pPr>
              <w:spacing w:line="360" w:lineRule="auto"/>
              <w:jc w:val="center"/>
              <w:rPr>
                <w:color w:val="000000"/>
                <w:szCs w:val="21"/>
              </w:rPr>
            </w:pPr>
          </w:p>
        </w:tc>
        <w:tc>
          <w:tcPr>
            <w:tcW w:w="1512" w:type="dxa"/>
            <w:tcBorders>
              <w:bottom w:val="single" w:color="auto" w:sz="4" w:space="0"/>
            </w:tcBorders>
            <w:vAlign w:val="center"/>
          </w:tcPr>
          <w:p>
            <w:pPr>
              <w:spacing w:line="360" w:lineRule="auto"/>
              <w:jc w:val="center"/>
              <w:rPr>
                <w:color w:val="000000"/>
                <w:szCs w:val="21"/>
              </w:rPr>
            </w:pPr>
          </w:p>
        </w:tc>
        <w:tc>
          <w:tcPr>
            <w:tcW w:w="1276" w:type="dxa"/>
            <w:tcBorders>
              <w:bottom w:val="single" w:color="auto" w:sz="4" w:space="0"/>
            </w:tcBorders>
            <w:vAlign w:val="center"/>
          </w:tcPr>
          <w:p>
            <w:pPr>
              <w:spacing w:line="360" w:lineRule="auto"/>
              <w:jc w:val="center"/>
              <w:rPr>
                <w:color w:val="000000"/>
                <w:szCs w:val="21"/>
              </w:rPr>
            </w:pPr>
          </w:p>
        </w:tc>
        <w:tc>
          <w:tcPr>
            <w:tcW w:w="1417" w:type="dxa"/>
            <w:tcBorders>
              <w:bottom w:val="single" w:color="auto" w:sz="4" w:space="0"/>
            </w:tcBorders>
            <w:vAlign w:val="center"/>
          </w:tcPr>
          <w:p>
            <w:pPr>
              <w:spacing w:line="360" w:lineRule="auto"/>
              <w:jc w:val="center"/>
              <w:rPr>
                <w:color w:val="000000"/>
                <w:szCs w:val="21"/>
              </w:rPr>
            </w:pPr>
          </w:p>
        </w:tc>
        <w:tc>
          <w:tcPr>
            <w:tcW w:w="709" w:type="dxa"/>
            <w:tcBorders>
              <w:bottom w:val="single" w:color="auto" w:sz="4" w:space="0"/>
            </w:tcBorders>
            <w:vAlign w:val="center"/>
          </w:tcPr>
          <w:p>
            <w:pPr>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c>
          <w:tcPr>
            <w:tcW w:w="708" w:type="dxa"/>
            <w:tcBorders>
              <w:top w:val="single" w:color="auto" w:sz="4" w:space="0"/>
              <w:bottom w:val="single" w:color="auto" w:sz="4" w:space="0"/>
            </w:tcBorders>
            <w:vAlign w:val="center"/>
          </w:tcPr>
          <w:p>
            <w:pPr>
              <w:spacing w:line="360" w:lineRule="auto"/>
              <w:jc w:val="center"/>
              <w:rPr>
                <w:color w:val="000000"/>
                <w:szCs w:val="21"/>
              </w:rPr>
            </w:pPr>
          </w:p>
        </w:tc>
        <w:tc>
          <w:tcPr>
            <w:tcW w:w="1512" w:type="dxa"/>
            <w:tcBorders>
              <w:top w:val="single" w:color="auto" w:sz="4" w:space="0"/>
              <w:bottom w:val="single" w:color="auto" w:sz="4" w:space="0"/>
            </w:tcBorders>
            <w:vAlign w:val="center"/>
          </w:tcPr>
          <w:p>
            <w:pPr>
              <w:spacing w:line="360" w:lineRule="auto"/>
              <w:jc w:val="center"/>
              <w:rPr>
                <w:color w:val="000000"/>
                <w:szCs w:val="21"/>
              </w:rPr>
            </w:pPr>
          </w:p>
        </w:tc>
        <w:tc>
          <w:tcPr>
            <w:tcW w:w="1276" w:type="dxa"/>
            <w:tcBorders>
              <w:top w:val="single" w:color="auto" w:sz="4" w:space="0"/>
              <w:bottom w:val="single" w:color="auto" w:sz="4" w:space="0"/>
            </w:tcBorders>
            <w:vAlign w:val="center"/>
          </w:tcPr>
          <w:p>
            <w:pPr>
              <w:spacing w:line="360" w:lineRule="auto"/>
              <w:jc w:val="center"/>
              <w:rPr>
                <w:color w:val="000000"/>
                <w:szCs w:val="21"/>
              </w:rPr>
            </w:pPr>
          </w:p>
        </w:tc>
        <w:tc>
          <w:tcPr>
            <w:tcW w:w="1417" w:type="dxa"/>
            <w:tcBorders>
              <w:top w:val="single" w:color="auto" w:sz="4" w:space="0"/>
              <w:bottom w:val="single" w:color="auto" w:sz="4" w:space="0"/>
            </w:tcBorders>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c>
          <w:tcPr>
            <w:tcW w:w="708" w:type="dxa"/>
            <w:tcBorders>
              <w:top w:val="single" w:color="auto" w:sz="4" w:space="0"/>
              <w:bottom w:val="single" w:color="auto" w:sz="4" w:space="0"/>
            </w:tcBorders>
            <w:vAlign w:val="center"/>
          </w:tcPr>
          <w:p>
            <w:pPr>
              <w:spacing w:line="360" w:lineRule="auto"/>
              <w:jc w:val="center"/>
              <w:rPr>
                <w:color w:val="000000"/>
                <w:szCs w:val="21"/>
              </w:rPr>
            </w:pPr>
          </w:p>
        </w:tc>
        <w:tc>
          <w:tcPr>
            <w:tcW w:w="1512" w:type="dxa"/>
            <w:tcBorders>
              <w:top w:val="single" w:color="auto" w:sz="4" w:space="0"/>
              <w:bottom w:val="single" w:color="auto" w:sz="4" w:space="0"/>
            </w:tcBorders>
            <w:vAlign w:val="center"/>
          </w:tcPr>
          <w:p>
            <w:pPr>
              <w:spacing w:line="360" w:lineRule="auto"/>
              <w:jc w:val="center"/>
              <w:rPr>
                <w:color w:val="000000"/>
                <w:szCs w:val="21"/>
              </w:rPr>
            </w:pPr>
          </w:p>
        </w:tc>
        <w:tc>
          <w:tcPr>
            <w:tcW w:w="1276" w:type="dxa"/>
            <w:tcBorders>
              <w:top w:val="single" w:color="auto" w:sz="4" w:space="0"/>
              <w:bottom w:val="single" w:color="auto" w:sz="4" w:space="0"/>
            </w:tcBorders>
            <w:vAlign w:val="center"/>
          </w:tcPr>
          <w:p>
            <w:pPr>
              <w:spacing w:line="360" w:lineRule="auto"/>
              <w:jc w:val="center"/>
              <w:rPr>
                <w:color w:val="000000"/>
                <w:szCs w:val="21"/>
              </w:rPr>
            </w:pPr>
          </w:p>
        </w:tc>
        <w:tc>
          <w:tcPr>
            <w:tcW w:w="1417" w:type="dxa"/>
            <w:tcBorders>
              <w:top w:val="single" w:color="auto" w:sz="4" w:space="0"/>
              <w:bottom w:val="single" w:color="auto" w:sz="4" w:space="0"/>
            </w:tcBorders>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c>
          <w:tcPr>
            <w:tcW w:w="708" w:type="dxa"/>
            <w:tcBorders>
              <w:top w:val="single" w:color="auto" w:sz="4" w:space="0"/>
              <w:bottom w:val="single" w:color="auto" w:sz="4" w:space="0"/>
            </w:tcBorders>
            <w:vAlign w:val="center"/>
          </w:tcPr>
          <w:p>
            <w:pPr>
              <w:spacing w:line="360" w:lineRule="auto"/>
              <w:jc w:val="center"/>
              <w:rPr>
                <w:color w:val="000000"/>
                <w:szCs w:val="21"/>
              </w:rPr>
            </w:pPr>
          </w:p>
        </w:tc>
        <w:tc>
          <w:tcPr>
            <w:tcW w:w="1512" w:type="dxa"/>
            <w:tcBorders>
              <w:top w:val="single" w:color="auto" w:sz="4" w:space="0"/>
              <w:bottom w:val="single" w:color="auto" w:sz="4" w:space="0"/>
            </w:tcBorders>
            <w:vAlign w:val="center"/>
          </w:tcPr>
          <w:p>
            <w:pPr>
              <w:spacing w:line="360" w:lineRule="auto"/>
              <w:jc w:val="center"/>
              <w:rPr>
                <w:color w:val="000000"/>
                <w:szCs w:val="21"/>
              </w:rPr>
            </w:pPr>
          </w:p>
        </w:tc>
        <w:tc>
          <w:tcPr>
            <w:tcW w:w="1276" w:type="dxa"/>
            <w:tcBorders>
              <w:top w:val="single" w:color="auto" w:sz="4" w:space="0"/>
              <w:bottom w:val="single" w:color="auto" w:sz="4" w:space="0"/>
            </w:tcBorders>
            <w:vAlign w:val="center"/>
          </w:tcPr>
          <w:p>
            <w:pPr>
              <w:spacing w:line="360" w:lineRule="auto"/>
              <w:jc w:val="center"/>
              <w:rPr>
                <w:color w:val="000000"/>
                <w:szCs w:val="21"/>
              </w:rPr>
            </w:pPr>
          </w:p>
        </w:tc>
        <w:tc>
          <w:tcPr>
            <w:tcW w:w="1417" w:type="dxa"/>
            <w:tcBorders>
              <w:top w:val="single" w:color="auto" w:sz="4" w:space="0"/>
              <w:bottom w:val="single" w:color="auto" w:sz="4" w:space="0"/>
            </w:tcBorders>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color w:val="000000"/>
                <w:szCs w:val="21"/>
              </w:rPr>
            </w:pPr>
          </w:p>
        </w:tc>
        <w:tc>
          <w:tcPr>
            <w:tcW w:w="709" w:type="dxa"/>
            <w:tcBorders>
              <w:top w:val="single" w:color="auto" w:sz="4" w:space="0"/>
            </w:tcBorders>
            <w:vAlign w:val="center"/>
          </w:tcPr>
          <w:p>
            <w:pPr>
              <w:spacing w:line="360" w:lineRule="auto"/>
              <w:jc w:val="center"/>
              <w:rPr>
                <w:color w:val="000000"/>
                <w:szCs w:val="21"/>
              </w:rPr>
            </w:pPr>
            <w:r>
              <w:rPr>
                <w:color w:val="000000"/>
                <w:szCs w:val="21"/>
              </w:rPr>
              <w:t>…</w:t>
            </w:r>
          </w:p>
        </w:tc>
        <w:tc>
          <w:tcPr>
            <w:tcW w:w="709" w:type="dxa"/>
            <w:tcBorders>
              <w:top w:val="single" w:color="auto" w:sz="4" w:space="0"/>
            </w:tcBorders>
            <w:vAlign w:val="center"/>
          </w:tcPr>
          <w:p>
            <w:pPr>
              <w:spacing w:line="360" w:lineRule="auto"/>
              <w:jc w:val="center"/>
              <w:rPr>
                <w:color w:val="000000"/>
                <w:szCs w:val="21"/>
              </w:rPr>
            </w:pPr>
          </w:p>
        </w:tc>
        <w:tc>
          <w:tcPr>
            <w:tcW w:w="708" w:type="dxa"/>
            <w:tcBorders>
              <w:top w:val="single" w:color="auto" w:sz="4" w:space="0"/>
            </w:tcBorders>
            <w:vAlign w:val="center"/>
          </w:tcPr>
          <w:p>
            <w:pPr>
              <w:spacing w:line="360" w:lineRule="auto"/>
              <w:jc w:val="center"/>
              <w:rPr>
                <w:color w:val="000000"/>
                <w:szCs w:val="21"/>
              </w:rPr>
            </w:pPr>
          </w:p>
        </w:tc>
        <w:tc>
          <w:tcPr>
            <w:tcW w:w="1512" w:type="dxa"/>
            <w:tcBorders>
              <w:top w:val="single" w:color="auto" w:sz="4" w:space="0"/>
            </w:tcBorders>
            <w:vAlign w:val="center"/>
          </w:tcPr>
          <w:p>
            <w:pPr>
              <w:spacing w:line="360" w:lineRule="auto"/>
              <w:jc w:val="center"/>
              <w:rPr>
                <w:color w:val="000000"/>
                <w:szCs w:val="21"/>
              </w:rPr>
            </w:pPr>
          </w:p>
        </w:tc>
        <w:tc>
          <w:tcPr>
            <w:tcW w:w="1276" w:type="dxa"/>
            <w:tcBorders>
              <w:top w:val="single" w:color="auto" w:sz="4" w:space="0"/>
            </w:tcBorders>
            <w:vAlign w:val="center"/>
          </w:tcPr>
          <w:p>
            <w:pPr>
              <w:spacing w:line="360" w:lineRule="auto"/>
              <w:jc w:val="center"/>
              <w:rPr>
                <w:color w:val="000000"/>
                <w:szCs w:val="21"/>
              </w:rPr>
            </w:pPr>
          </w:p>
        </w:tc>
        <w:tc>
          <w:tcPr>
            <w:tcW w:w="1417" w:type="dxa"/>
            <w:tcBorders>
              <w:top w:val="single" w:color="auto" w:sz="4" w:space="0"/>
            </w:tcBorders>
            <w:vAlign w:val="center"/>
          </w:tcPr>
          <w:p>
            <w:pPr>
              <w:spacing w:line="360" w:lineRule="auto"/>
              <w:jc w:val="center"/>
              <w:rPr>
                <w:color w:val="000000"/>
                <w:szCs w:val="21"/>
              </w:rPr>
            </w:pPr>
          </w:p>
        </w:tc>
        <w:tc>
          <w:tcPr>
            <w:tcW w:w="709" w:type="dxa"/>
            <w:tcBorders>
              <w:top w:val="single" w:color="auto" w:sz="4" w:space="0"/>
            </w:tcBorders>
            <w:vAlign w:val="center"/>
          </w:tcPr>
          <w:p>
            <w:pPr>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restart"/>
            <w:vAlign w:val="center"/>
          </w:tcPr>
          <w:p>
            <w:pPr>
              <w:spacing w:line="360" w:lineRule="auto"/>
              <w:jc w:val="center"/>
              <w:rPr>
                <w:color w:val="000000"/>
                <w:szCs w:val="21"/>
              </w:rPr>
            </w:pPr>
            <w:r>
              <w:rPr>
                <w:rFonts w:hint="eastAsia" w:hAnsi="宋体"/>
                <w:color w:val="000000"/>
                <w:szCs w:val="21"/>
              </w:rPr>
              <w:t>监理员</w:t>
            </w:r>
          </w:p>
        </w:tc>
        <w:tc>
          <w:tcPr>
            <w:tcW w:w="709" w:type="dxa"/>
            <w:tcBorders>
              <w:bottom w:val="single" w:color="auto" w:sz="4" w:space="0"/>
            </w:tcBorders>
            <w:vAlign w:val="center"/>
          </w:tcPr>
          <w:p>
            <w:pPr>
              <w:spacing w:line="360" w:lineRule="auto"/>
              <w:jc w:val="center"/>
              <w:rPr>
                <w:color w:val="000000"/>
                <w:szCs w:val="21"/>
              </w:rPr>
            </w:pPr>
          </w:p>
        </w:tc>
        <w:tc>
          <w:tcPr>
            <w:tcW w:w="709" w:type="dxa"/>
            <w:tcBorders>
              <w:bottom w:val="single" w:color="auto" w:sz="4" w:space="0"/>
            </w:tcBorders>
            <w:vAlign w:val="center"/>
          </w:tcPr>
          <w:p>
            <w:pPr>
              <w:spacing w:line="360" w:lineRule="auto"/>
              <w:jc w:val="center"/>
              <w:rPr>
                <w:color w:val="000000"/>
                <w:szCs w:val="21"/>
              </w:rPr>
            </w:pPr>
          </w:p>
        </w:tc>
        <w:tc>
          <w:tcPr>
            <w:tcW w:w="708" w:type="dxa"/>
            <w:tcBorders>
              <w:bottom w:val="single" w:color="auto" w:sz="4" w:space="0"/>
            </w:tcBorders>
            <w:vAlign w:val="center"/>
          </w:tcPr>
          <w:p>
            <w:pPr>
              <w:spacing w:line="360" w:lineRule="auto"/>
              <w:jc w:val="center"/>
              <w:rPr>
                <w:color w:val="000000"/>
                <w:szCs w:val="21"/>
              </w:rPr>
            </w:pPr>
          </w:p>
        </w:tc>
        <w:tc>
          <w:tcPr>
            <w:tcW w:w="1512" w:type="dxa"/>
            <w:tcBorders>
              <w:bottom w:val="single" w:color="auto" w:sz="4" w:space="0"/>
            </w:tcBorders>
            <w:vAlign w:val="center"/>
          </w:tcPr>
          <w:p>
            <w:pPr>
              <w:spacing w:line="360" w:lineRule="auto"/>
              <w:jc w:val="center"/>
              <w:rPr>
                <w:color w:val="000000"/>
                <w:szCs w:val="21"/>
              </w:rPr>
            </w:pPr>
          </w:p>
        </w:tc>
        <w:tc>
          <w:tcPr>
            <w:tcW w:w="1276" w:type="dxa"/>
            <w:tcBorders>
              <w:bottom w:val="single" w:color="auto" w:sz="4" w:space="0"/>
            </w:tcBorders>
            <w:vAlign w:val="center"/>
          </w:tcPr>
          <w:p>
            <w:pPr>
              <w:spacing w:line="360" w:lineRule="auto"/>
              <w:jc w:val="center"/>
              <w:rPr>
                <w:color w:val="000000"/>
                <w:szCs w:val="21"/>
              </w:rPr>
            </w:pPr>
          </w:p>
        </w:tc>
        <w:tc>
          <w:tcPr>
            <w:tcW w:w="1417" w:type="dxa"/>
            <w:tcBorders>
              <w:bottom w:val="single" w:color="auto" w:sz="4" w:space="0"/>
            </w:tcBorders>
            <w:vAlign w:val="center"/>
          </w:tcPr>
          <w:p>
            <w:pPr>
              <w:spacing w:line="360" w:lineRule="auto"/>
              <w:jc w:val="center"/>
              <w:rPr>
                <w:color w:val="000000"/>
                <w:szCs w:val="21"/>
              </w:rPr>
            </w:pPr>
          </w:p>
        </w:tc>
        <w:tc>
          <w:tcPr>
            <w:tcW w:w="709" w:type="dxa"/>
            <w:tcBorders>
              <w:bottom w:val="single" w:color="auto" w:sz="4" w:space="0"/>
            </w:tcBorders>
            <w:vAlign w:val="center"/>
          </w:tcPr>
          <w:p>
            <w:pPr>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c>
          <w:tcPr>
            <w:tcW w:w="708" w:type="dxa"/>
            <w:tcBorders>
              <w:top w:val="single" w:color="auto" w:sz="4" w:space="0"/>
              <w:bottom w:val="single" w:color="auto" w:sz="4" w:space="0"/>
            </w:tcBorders>
            <w:vAlign w:val="center"/>
          </w:tcPr>
          <w:p>
            <w:pPr>
              <w:spacing w:line="360" w:lineRule="auto"/>
              <w:jc w:val="center"/>
              <w:rPr>
                <w:color w:val="000000"/>
                <w:szCs w:val="21"/>
              </w:rPr>
            </w:pPr>
          </w:p>
        </w:tc>
        <w:tc>
          <w:tcPr>
            <w:tcW w:w="1512" w:type="dxa"/>
            <w:tcBorders>
              <w:top w:val="single" w:color="auto" w:sz="4" w:space="0"/>
              <w:bottom w:val="single" w:color="auto" w:sz="4" w:space="0"/>
            </w:tcBorders>
            <w:vAlign w:val="center"/>
          </w:tcPr>
          <w:p>
            <w:pPr>
              <w:spacing w:line="360" w:lineRule="auto"/>
              <w:jc w:val="center"/>
              <w:rPr>
                <w:color w:val="000000"/>
                <w:szCs w:val="21"/>
              </w:rPr>
            </w:pPr>
          </w:p>
        </w:tc>
        <w:tc>
          <w:tcPr>
            <w:tcW w:w="1276" w:type="dxa"/>
            <w:tcBorders>
              <w:top w:val="single" w:color="auto" w:sz="4" w:space="0"/>
              <w:bottom w:val="single" w:color="auto" w:sz="4" w:space="0"/>
            </w:tcBorders>
            <w:vAlign w:val="center"/>
          </w:tcPr>
          <w:p>
            <w:pPr>
              <w:spacing w:line="360" w:lineRule="auto"/>
              <w:jc w:val="center"/>
              <w:rPr>
                <w:color w:val="000000"/>
                <w:szCs w:val="21"/>
              </w:rPr>
            </w:pPr>
          </w:p>
        </w:tc>
        <w:tc>
          <w:tcPr>
            <w:tcW w:w="1417" w:type="dxa"/>
            <w:tcBorders>
              <w:top w:val="single" w:color="auto" w:sz="4" w:space="0"/>
              <w:bottom w:val="single" w:color="auto" w:sz="4" w:space="0"/>
            </w:tcBorders>
            <w:vAlign w:val="center"/>
          </w:tcPr>
          <w:p>
            <w:pPr>
              <w:spacing w:line="360" w:lineRule="auto"/>
              <w:jc w:val="center"/>
              <w:rPr>
                <w:color w:val="000000"/>
                <w:szCs w:val="21"/>
              </w:rPr>
            </w:pPr>
          </w:p>
        </w:tc>
        <w:tc>
          <w:tcPr>
            <w:tcW w:w="709" w:type="dxa"/>
            <w:tcBorders>
              <w:top w:val="single" w:color="auto" w:sz="4" w:space="0"/>
              <w:bottom w:val="single" w:color="auto" w:sz="4" w:space="0"/>
            </w:tcBorders>
            <w:vAlign w:val="center"/>
          </w:tcPr>
          <w:p>
            <w:pPr>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Merge w:val="continue"/>
            <w:vAlign w:val="center"/>
          </w:tcPr>
          <w:p>
            <w:pPr>
              <w:spacing w:line="360" w:lineRule="auto"/>
              <w:jc w:val="center"/>
              <w:rPr>
                <w:color w:val="000000"/>
                <w:szCs w:val="21"/>
              </w:rPr>
            </w:pPr>
          </w:p>
        </w:tc>
        <w:tc>
          <w:tcPr>
            <w:tcW w:w="709" w:type="dxa"/>
            <w:tcBorders>
              <w:top w:val="single" w:color="auto" w:sz="4" w:space="0"/>
            </w:tcBorders>
            <w:vAlign w:val="center"/>
          </w:tcPr>
          <w:p>
            <w:pPr>
              <w:spacing w:line="360" w:lineRule="auto"/>
              <w:jc w:val="center"/>
              <w:rPr>
                <w:color w:val="000000"/>
                <w:szCs w:val="21"/>
              </w:rPr>
            </w:pPr>
            <w:r>
              <w:rPr>
                <w:color w:val="000000"/>
                <w:szCs w:val="21"/>
              </w:rPr>
              <w:t>…</w:t>
            </w:r>
          </w:p>
        </w:tc>
        <w:tc>
          <w:tcPr>
            <w:tcW w:w="709" w:type="dxa"/>
            <w:tcBorders>
              <w:top w:val="single" w:color="auto" w:sz="4" w:space="0"/>
            </w:tcBorders>
            <w:vAlign w:val="center"/>
          </w:tcPr>
          <w:p>
            <w:pPr>
              <w:spacing w:line="360" w:lineRule="auto"/>
              <w:jc w:val="center"/>
              <w:rPr>
                <w:color w:val="000000"/>
                <w:szCs w:val="21"/>
              </w:rPr>
            </w:pPr>
          </w:p>
        </w:tc>
        <w:tc>
          <w:tcPr>
            <w:tcW w:w="708" w:type="dxa"/>
            <w:tcBorders>
              <w:top w:val="single" w:color="auto" w:sz="4" w:space="0"/>
            </w:tcBorders>
            <w:vAlign w:val="center"/>
          </w:tcPr>
          <w:p>
            <w:pPr>
              <w:spacing w:line="360" w:lineRule="auto"/>
              <w:jc w:val="center"/>
              <w:rPr>
                <w:color w:val="000000"/>
                <w:szCs w:val="21"/>
              </w:rPr>
            </w:pPr>
          </w:p>
        </w:tc>
        <w:tc>
          <w:tcPr>
            <w:tcW w:w="1512" w:type="dxa"/>
            <w:tcBorders>
              <w:top w:val="single" w:color="auto" w:sz="4" w:space="0"/>
            </w:tcBorders>
            <w:vAlign w:val="center"/>
          </w:tcPr>
          <w:p>
            <w:pPr>
              <w:spacing w:line="360" w:lineRule="auto"/>
              <w:jc w:val="center"/>
              <w:rPr>
                <w:color w:val="000000"/>
                <w:szCs w:val="21"/>
              </w:rPr>
            </w:pPr>
          </w:p>
        </w:tc>
        <w:tc>
          <w:tcPr>
            <w:tcW w:w="1276" w:type="dxa"/>
            <w:tcBorders>
              <w:top w:val="single" w:color="auto" w:sz="4" w:space="0"/>
            </w:tcBorders>
            <w:vAlign w:val="center"/>
          </w:tcPr>
          <w:p>
            <w:pPr>
              <w:spacing w:line="360" w:lineRule="auto"/>
              <w:jc w:val="center"/>
              <w:rPr>
                <w:color w:val="000000"/>
                <w:szCs w:val="21"/>
              </w:rPr>
            </w:pPr>
          </w:p>
        </w:tc>
        <w:tc>
          <w:tcPr>
            <w:tcW w:w="1417" w:type="dxa"/>
            <w:tcBorders>
              <w:top w:val="single" w:color="auto" w:sz="4" w:space="0"/>
            </w:tcBorders>
            <w:vAlign w:val="center"/>
          </w:tcPr>
          <w:p>
            <w:pPr>
              <w:spacing w:line="360" w:lineRule="auto"/>
              <w:jc w:val="center"/>
              <w:rPr>
                <w:color w:val="000000"/>
                <w:szCs w:val="21"/>
              </w:rPr>
            </w:pPr>
          </w:p>
        </w:tc>
        <w:tc>
          <w:tcPr>
            <w:tcW w:w="709" w:type="dxa"/>
            <w:tcBorders>
              <w:top w:val="single" w:color="auto" w:sz="4" w:space="0"/>
            </w:tcBorders>
            <w:vAlign w:val="center"/>
          </w:tcPr>
          <w:p>
            <w:pPr>
              <w:spacing w:line="360" w:lineRule="auto"/>
              <w:jc w:val="center"/>
              <w:rPr>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512" w:type="dxa"/>
            <w:vAlign w:val="center"/>
          </w:tcPr>
          <w:p>
            <w:pPr>
              <w:spacing w:line="360" w:lineRule="auto"/>
              <w:jc w:val="center"/>
              <w:rPr>
                <w:color w:val="000000"/>
                <w:szCs w:val="21"/>
              </w:rPr>
            </w:pPr>
            <w:r>
              <w:rPr>
                <w:color w:val="000000"/>
                <w:szCs w:val="21"/>
              </w:rPr>
              <w:t>…</w:t>
            </w:r>
          </w:p>
        </w:tc>
        <w:tc>
          <w:tcPr>
            <w:tcW w:w="709" w:type="dxa"/>
            <w:vAlign w:val="center"/>
          </w:tcPr>
          <w:p>
            <w:pPr>
              <w:spacing w:line="360" w:lineRule="auto"/>
              <w:jc w:val="center"/>
              <w:rPr>
                <w:color w:val="000000"/>
                <w:szCs w:val="21"/>
              </w:rPr>
            </w:pPr>
          </w:p>
        </w:tc>
        <w:tc>
          <w:tcPr>
            <w:tcW w:w="709" w:type="dxa"/>
            <w:vAlign w:val="center"/>
          </w:tcPr>
          <w:p>
            <w:pPr>
              <w:spacing w:line="360" w:lineRule="auto"/>
              <w:jc w:val="center"/>
              <w:rPr>
                <w:color w:val="000000"/>
                <w:szCs w:val="21"/>
              </w:rPr>
            </w:pPr>
          </w:p>
        </w:tc>
        <w:tc>
          <w:tcPr>
            <w:tcW w:w="708" w:type="dxa"/>
            <w:vAlign w:val="center"/>
          </w:tcPr>
          <w:p>
            <w:pPr>
              <w:spacing w:line="360" w:lineRule="auto"/>
              <w:jc w:val="center"/>
              <w:rPr>
                <w:color w:val="000000"/>
                <w:szCs w:val="21"/>
              </w:rPr>
            </w:pPr>
          </w:p>
        </w:tc>
        <w:tc>
          <w:tcPr>
            <w:tcW w:w="1512" w:type="dxa"/>
            <w:vAlign w:val="center"/>
          </w:tcPr>
          <w:p>
            <w:pPr>
              <w:spacing w:line="360" w:lineRule="auto"/>
              <w:jc w:val="center"/>
              <w:rPr>
                <w:color w:val="000000"/>
                <w:szCs w:val="21"/>
              </w:rPr>
            </w:pPr>
          </w:p>
        </w:tc>
        <w:tc>
          <w:tcPr>
            <w:tcW w:w="1276" w:type="dxa"/>
            <w:vAlign w:val="center"/>
          </w:tcPr>
          <w:p>
            <w:pPr>
              <w:spacing w:line="360" w:lineRule="auto"/>
              <w:jc w:val="center"/>
              <w:rPr>
                <w:color w:val="000000"/>
                <w:szCs w:val="21"/>
              </w:rPr>
            </w:pPr>
          </w:p>
        </w:tc>
        <w:tc>
          <w:tcPr>
            <w:tcW w:w="1417" w:type="dxa"/>
            <w:vAlign w:val="center"/>
          </w:tcPr>
          <w:p>
            <w:pPr>
              <w:spacing w:line="360" w:lineRule="auto"/>
              <w:jc w:val="center"/>
              <w:rPr>
                <w:color w:val="000000"/>
                <w:szCs w:val="21"/>
              </w:rPr>
            </w:pPr>
          </w:p>
        </w:tc>
        <w:tc>
          <w:tcPr>
            <w:tcW w:w="709" w:type="dxa"/>
            <w:vAlign w:val="center"/>
          </w:tcPr>
          <w:p>
            <w:pPr>
              <w:spacing w:line="360" w:lineRule="auto"/>
              <w:jc w:val="center"/>
              <w:rPr>
                <w:color w:val="000000"/>
                <w:szCs w:val="21"/>
              </w:rPr>
            </w:pPr>
          </w:p>
        </w:tc>
      </w:tr>
    </w:tbl>
    <w:p>
      <w:pPr>
        <w:spacing w:line="360" w:lineRule="auto"/>
        <w:jc w:val="center"/>
        <w:rPr>
          <w:b/>
          <w:color w:val="000000"/>
          <w:kern w:val="0"/>
          <w:sz w:val="24"/>
        </w:rPr>
      </w:pPr>
    </w:p>
    <w:p>
      <w:pPr>
        <w:spacing w:line="360" w:lineRule="auto"/>
        <w:jc w:val="center"/>
        <w:rPr>
          <w:b/>
          <w:color w:val="000000"/>
          <w:kern w:val="0"/>
          <w:sz w:val="24"/>
        </w:rPr>
      </w:pPr>
    </w:p>
    <w:p>
      <w:pPr>
        <w:spacing w:line="360" w:lineRule="auto"/>
        <w:rPr>
          <w:b/>
          <w:color w:val="000000"/>
          <w:kern w:val="0"/>
          <w:sz w:val="24"/>
        </w:rPr>
      </w:pPr>
    </w:p>
    <w:p>
      <w:pPr>
        <w:pStyle w:val="4"/>
        <w:keepNext w:val="0"/>
        <w:keepLines w:val="0"/>
        <w:spacing w:line="360" w:lineRule="auto"/>
        <w:rPr>
          <w:rFonts w:ascii="Times New Roman" w:hAnsi="Times New Roman" w:eastAsia="宋体"/>
          <w:b/>
          <w:bCs w:val="0"/>
          <w:color w:val="000000"/>
          <w:sz w:val="24"/>
          <w:szCs w:val="24"/>
        </w:rPr>
      </w:pPr>
      <w:bookmarkStart w:id="306" w:name="_Toc9194629"/>
      <w:bookmarkStart w:id="307" w:name="_Toc16339"/>
      <w:r>
        <w:rPr>
          <w:rFonts w:ascii="Times New Roman" w:hAnsi="Times New Roman" w:eastAsia="宋体"/>
          <w:b/>
          <w:bCs w:val="0"/>
          <w:color w:val="000000"/>
          <w:sz w:val="24"/>
          <w:szCs w:val="24"/>
        </w:rPr>
        <w:br w:type="page"/>
      </w:r>
      <w:bookmarkEnd w:id="306"/>
      <w:bookmarkEnd w:id="307"/>
      <w:bookmarkStart w:id="308" w:name="_Toc4776"/>
    </w:p>
    <w:p>
      <w:pPr>
        <w:pStyle w:val="4"/>
        <w:keepNext w:val="0"/>
        <w:keepLines w:val="0"/>
        <w:spacing w:line="360" w:lineRule="auto"/>
        <w:jc w:val="center"/>
        <w:rPr>
          <w:rFonts w:ascii="Times New Roman" w:hAnsi="Times New Roman" w:eastAsia="宋体" w:cs="宋体"/>
          <w:b/>
          <w:bCs w:val="0"/>
          <w:color w:val="000000"/>
          <w:sz w:val="24"/>
          <w:szCs w:val="24"/>
        </w:rPr>
      </w:pPr>
      <w:bookmarkStart w:id="309" w:name="_Toc9194630"/>
      <w:bookmarkStart w:id="310" w:name="_Toc398111728"/>
      <w:r>
        <w:rPr>
          <w:rFonts w:hint="eastAsia" w:ascii="Times New Roman" w:hAnsi="宋体" w:eastAsia="宋体" w:cs="宋体"/>
          <w:b/>
          <w:bCs w:val="0"/>
          <w:color w:val="000000"/>
          <w:sz w:val="24"/>
          <w:szCs w:val="24"/>
        </w:rPr>
        <w:t>拟投入现场的设备、检测仪器一览表</w:t>
      </w:r>
      <w:bookmarkEnd w:id="308"/>
      <w:bookmarkEnd w:id="309"/>
      <w:bookmarkEnd w:id="310"/>
    </w:p>
    <w:tbl>
      <w:tblPr>
        <w:tblStyle w:val="17"/>
        <w:tblpPr w:leftFromText="180" w:rightFromText="180" w:vertAnchor="text" w:horzAnchor="page" w:tblpX="1712" w:tblpY="8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1"/>
        <w:gridCol w:w="1260"/>
        <w:gridCol w:w="72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trPr>
        <w:tc>
          <w:tcPr>
            <w:tcW w:w="817"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r>
              <w:rPr>
                <w:rFonts w:hint="eastAsia" w:hAnsi="宋体" w:cs="宋体"/>
                <w:color w:val="000000"/>
                <w:szCs w:val="21"/>
              </w:rPr>
              <w:t>序号</w:t>
            </w:r>
          </w:p>
        </w:tc>
        <w:tc>
          <w:tcPr>
            <w:tcW w:w="1841"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r>
              <w:rPr>
                <w:rFonts w:hint="eastAsia" w:hAnsi="宋体" w:cs="宋体"/>
                <w:color w:val="000000"/>
                <w:szCs w:val="21"/>
              </w:rPr>
              <w:t>设备或仪器名称</w:t>
            </w: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r>
              <w:rPr>
                <w:rFonts w:hint="eastAsia" w:hAnsi="宋体" w:cs="宋体"/>
                <w:color w:val="000000"/>
                <w:szCs w:val="21"/>
              </w:rPr>
              <w:t>型号规格</w:t>
            </w: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r>
              <w:rPr>
                <w:rFonts w:hint="eastAsia" w:hAnsi="宋体" w:cs="宋体"/>
                <w:color w:val="000000"/>
                <w:szCs w:val="21"/>
              </w:rPr>
              <w:t>数量</w:t>
            </w: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r>
              <w:rPr>
                <w:rFonts w:hint="eastAsia" w:hAnsi="宋体" w:cs="宋体"/>
                <w:color w:val="000000"/>
                <w:szCs w:val="21"/>
              </w:rPr>
              <w:t>国别产地</w:t>
            </w: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r>
              <w:rPr>
                <w:rFonts w:hint="eastAsia" w:hAnsi="宋体" w:cs="宋体"/>
                <w:color w:val="000000"/>
                <w:szCs w:val="21"/>
              </w:rPr>
              <w:t>制造年份</w:t>
            </w: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r>
              <w:rPr>
                <w:rFonts w:hint="eastAsia" w:hAnsi="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17"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841"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26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72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44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c>
          <w:tcPr>
            <w:tcW w:w="1080" w:type="dxa"/>
            <w:tcBorders>
              <w:top w:val="outset" w:color="auto" w:sz="6" w:space="0"/>
              <w:left w:val="outset" w:color="auto" w:sz="6" w:space="0"/>
              <w:bottom w:val="outset" w:color="auto" w:sz="6" w:space="0"/>
              <w:right w:val="outset" w:color="auto" w:sz="6" w:space="0"/>
            </w:tcBorders>
            <w:vAlign w:val="center"/>
          </w:tcPr>
          <w:p>
            <w:pPr>
              <w:spacing w:line="360" w:lineRule="auto"/>
              <w:rPr>
                <w:rFonts w:cs="宋体"/>
                <w:color w:val="000000"/>
                <w:szCs w:val="21"/>
              </w:rPr>
            </w:pPr>
          </w:p>
        </w:tc>
      </w:tr>
    </w:tbl>
    <w:p>
      <w:pPr>
        <w:spacing w:line="360" w:lineRule="auto"/>
        <w:rPr>
          <w:rFonts w:cs="宋体"/>
          <w:color w:val="000000"/>
          <w:sz w:val="24"/>
        </w:rPr>
      </w:pPr>
    </w:p>
    <w:p>
      <w:pPr>
        <w:spacing w:line="360" w:lineRule="auto"/>
        <w:rPr>
          <w:rFonts w:cs="宋体"/>
          <w:color w:val="000000"/>
          <w:sz w:val="24"/>
        </w:rPr>
      </w:pPr>
      <w:bookmarkStart w:id="311" w:name="_Toc29437"/>
    </w:p>
    <w:bookmarkEnd w:id="311"/>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p>
    <w:p>
      <w:pPr>
        <w:spacing w:line="360" w:lineRule="auto"/>
        <w:rPr>
          <w:rFonts w:cs="宋体"/>
          <w:color w:val="000000"/>
          <w:sz w:val="24"/>
        </w:rPr>
      </w:pPr>
      <w:bookmarkStart w:id="312" w:name="_Toc26739"/>
    </w:p>
    <w:bookmarkEnd w:id="312"/>
    <w:p>
      <w:pPr>
        <w:rPr>
          <w:b/>
          <w:color w:val="000000"/>
          <w:sz w:val="24"/>
        </w:rPr>
      </w:pPr>
      <w:bookmarkStart w:id="313" w:name="_Toc9194631"/>
      <w:r>
        <w:rPr>
          <w:rFonts w:hint="eastAsia"/>
          <w:b/>
          <w:color w:val="000000"/>
          <w:sz w:val="24"/>
        </w:rPr>
        <w:br w:type="page"/>
      </w:r>
    </w:p>
    <w:bookmarkEnd w:id="313"/>
    <w:p>
      <w:pPr>
        <w:tabs>
          <w:tab w:val="left" w:pos="7395"/>
        </w:tabs>
        <w:spacing w:line="360" w:lineRule="auto"/>
        <w:jc w:val="center"/>
        <w:rPr>
          <w:b/>
          <w:sz w:val="24"/>
        </w:rPr>
      </w:pPr>
      <w:r>
        <w:rPr>
          <w:rFonts w:hint="eastAsia" w:hAnsi="宋体"/>
          <w:b/>
          <w:sz w:val="24"/>
        </w:rPr>
        <w:t>诚信承诺书</w:t>
      </w:r>
    </w:p>
    <w:p>
      <w:pPr>
        <w:spacing w:line="360" w:lineRule="auto"/>
        <w:rPr>
          <w:szCs w:val="21"/>
        </w:rPr>
      </w:pPr>
      <w:r>
        <w:rPr>
          <w:rFonts w:hint="eastAsia" w:hAnsi="宋体" w:cs="Arial"/>
          <w:b/>
          <w:bCs/>
          <w:spacing w:val="-4"/>
          <w:kern w:val="0"/>
          <w:szCs w:val="21"/>
          <w:u w:val="single"/>
        </w:rPr>
        <w:t xml:space="preserve">  （招标人名称）</w:t>
      </w:r>
      <w:r>
        <w:rPr>
          <w:rFonts w:hint="eastAsia" w:hAnsi="宋体"/>
          <w:szCs w:val="21"/>
        </w:rPr>
        <w:t>：</w:t>
      </w:r>
    </w:p>
    <w:p>
      <w:pPr>
        <w:spacing w:line="360" w:lineRule="auto"/>
        <w:ind w:firstLine="409" w:firstLineChars="195"/>
        <w:jc w:val="left"/>
        <w:rPr>
          <w:szCs w:val="21"/>
        </w:rPr>
      </w:pPr>
      <w:r>
        <w:rPr>
          <w:rFonts w:hint="eastAsia" w:hAnsi="宋体"/>
          <w:szCs w:val="21"/>
        </w:rPr>
        <w:t>我方参加你方的</w:t>
      </w:r>
      <w:r>
        <w:rPr>
          <w:rFonts w:hint="eastAsia" w:hAnsi="宋体" w:cs="宋体"/>
          <w:kern w:val="0"/>
          <w:szCs w:val="21"/>
        </w:rPr>
        <w:t>（以下简称</w:t>
      </w:r>
      <w:r>
        <w:rPr>
          <w:rFonts w:hint="eastAsia" w:cs="宋体"/>
          <w:kern w:val="0"/>
          <w:szCs w:val="21"/>
        </w:rPr>
        <w:t>“</w:t>
      </w:r>
      <w:r>
        <w:rPr>
          <w:rFonts w:hint="eastAsia" w:hAnsi="宋体" w:cs="宋体"/>
          <w:kern w:val="0"/>
          <w:szCs w:val="21"/>
        </w:rPr>
        <w:t>本工程</w:t>
      </w:r>
      <w:r>
        <w:rPr>
          <w:rFonts w:hint="eastAsia" w:cs="宋体"/>
          <w:kern w:val="0"/>
          <w:szCs w:val="21"/>
        </w:rPr>
        <w:t>”</w:t>
      </w:r>
      <w:r>
        <w:rPr>
          <w:rFonts w:hint="eastAsia" w:hAnsi="宋体" w:cs="宋体"/>
          <w:kern w:val="0"/>
          <w:szCs w:val="21"/>
        </w:rPr>
        <w:t>）</w:t>
      </w:r>
      <w:r>
        <w:rPr>
          <w:rFonts w:hint="eastAsia" w:hAnsi="宋体"/>
          <w:szCs w:val="21"/>
        </w:rPr>
        <w:t>的投标，现我方法定代表人向你方慎重承诺：</w:t>
      </w:r>
    </w:p>
    <w:p>
      <w:pPr>
        <w:spacing w:line="360" w:lineRule="auto"/>
        <w:ind w:firstLine="409" w:firstLineChars="195"/>
        <w:jc w:val="left"/>
        <w:rPr>
          <w:rFonts w:cs="宋体"/>
          <w:kern w:val="0"/>
          <w:szCs w:val="21"/>
        </w:rPr>
      </w:pPr>
      <w:r>
        <w:rPr>
          <w:szCs w:val="21"/>
        </w:rPr>
        <w:t>1</w:t>
      </w:r>
      <w:r>
        <w:rPr>
          <w:rFonts w:hint="eastAsia" w:hAnsi="宋体"/>
          <w:szCs w:val="21"/>
        </w:rPr>
        <w:t>、我方</w:t>
      </w:r>
      <w:r>
        <w:rPr>
          <w:rFonts w:hint="eastAsia" w:hAnsi="宋体" w:cs="宋体"/>
          <w:kern w:val="0"/>
          <w:szCs w:val="21"/>
        </w:rPr>
        <w:t>拟派项目总监（身份证号码：；注册号：），保证自投标之日起至工程结束（若中标），非因不可抗力影响，不更换项目总监。</w:t>
      </w:r>
    </w:p>
    <w:p>
      <w:pPr>
        <w:spacing w:line="360" w:lineRule="auto"/>
        <w:ind w:firstLine="420" w:firstLineChars="200"/>
        <w:jc w:val="left"/>
        <w:rPr>
          <w:rFonts w:cs="宋体"/>
          <w:kern w:val="0"/>
          <w:szCs w:val="21"/>
        </w:rPr>
      </w:pPr>
      <w:r>
        <w:rPr>
          <w:rFonts w:hint="eastAsia" w:cs="宋体"/>
          <w:kern w:val="0"/>
          <w:szCs w:val="21"/>
        </w:rPr>
        <w:t>2</w:t>
      </w:r>
      <w:r>
        <w:rPr>
          <w:rFonts w:hint="eastAsia" w:hAnsi="宋体" w:cs="宋体"/>
          <w:kern w:val="0"/>
          <w:szCs w:val="21"/>
        </w:rPr>
        <w:t>、企业财务和经营状况良好，具备履行合同能力；未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不予退还投标保证金，并接受处罚。</w:t>
      </w:r>
    </w:p>
    <w:p>
      <w:pPr>
        <w:spacing w:line="360" w:lineRule="auto"/>
        <w:ind w:firstLine="409" w:firstLineChars="195"/>
        <w:jc w:val="left"/>
        <w:rPr>
          <w:rFonts w:cs="宋体"/>
          <w:kern w:val="0"/>
          <w:szCs w:val="21"/>
        </w:rPr>
      </w:pPr>
      <w:r>
        <w:rPr>
          <w:rFonts w:hint="eastAsia" w:cs="宋体"/>
          <w:kern w:val="0"/>
          <w:szCs w:val="21"/>
        </w:rPr>
        <w:t>3</w:t>
      </w:r>
      <w:r>
        <w:rPr>
          <w:rFonts w:hint="eastAsia" w:hAnsi="宋体" w:cs="宋体"/>
          <w:kern w:val="0"/>
          <w:szCs w:val="21"/>
        </w:rPr>
        <w:t>、我方严格执行《江苏省工程建设领域违法违纪违规行为防治办法》（苏建监</w:t>
      </w:r>
      <w:r>
        <w:rPr>
          <w:rFonts w:hint="eastAsia" w:cs="宋体"/>
          <w:kern w:val="0"/>
          <w:szCs w:val="21"/>
        </w:rPr>
        <w:t>[2004]272</w:t>
      </w:r>
      <w:r>
        <w:rPr>
          <w:rFonts w:hint="eastAsia" w:hAnsi="宋体" w:cs="宋体"/>
          <w:kern w:val="0"/>
          <w:szCs w:val="21"/>
        </w:rPr>
        <w:t>号），在江苏省内无因该办法第六条列举且被县级及以上建设行政主管部门作出的在有效期内的处罚决定事项的承包人的不当行为（以江苏省住房和城乡建设厅所发公告为准）。</w:t>
      </w:r>
    </w:p>
    <w:p>
      <w:pPr>
        <w:spacing w:line="360" w:lineRule="auto"/>
        <w:ind w:firstLine="409" w:firstLineChars="195"/>
        <w:jc w:val="left"/>
        <w:rPr>
          <w:szCs w:val="21"/>
        </w:rPr>
      </w:pPr>
      <w:r>
        <w:rPr>
          <w:szCs w:val="21"/>
        </w:rPr>
        <w:t>4</w:t>
      </w:r>
      <w:r>
        <w:rPr>
          <w:rFonts w:hint="eastAsia" w:hAnsi="宋体"/>
          <w:szCs w:val="21"/>
        </w:rPr>
        <w:t>、本单位递交的投标文件中的所有资料都是真实可信的，没有弄虚作假。</w:t>
      </w:r>
    </w:p>
    <w:p>
      <w:pPr>
        <w:spacing w:line="360" w:lineRule="auto"/>
        <w:ind w:firstLine="409" w:firstLineChars="195"/>
        <w:jc w:val="left"/>
        <w:rPr>
          <w:szCs w:val="21"/>
        </w:rPr>
      </w:pPr>
      <w:r>
        <w:rPr>
          <w:szCs w:val="21"/>
        </w:rPr>
        <w:t>5</w:t>
      </w:r>
      <w:r>
        <w:rPr>
          <w:rFonts w:hint="eastAsia" w:hAnsi="宋体"/>
          <w:szCs w:val="21"/>
        </w:rPr>
        <w:t>、不组织、不参与串标围标，没有出借资质等违法违规行为。</w:t>
      </w:r>
    </w:p>
    <w:p>
      <w:pPr>
        <w:spacing w:line="360" w:lineRule="auto"/>
        <w:ind w:firstLine="409" w:firstLineChars="195"/>
        <w:jc w:val="left"/>
        <w:rPr>
          <w:szCs w:val="21"/>
        </w:rPr>
      </w:pPr>
      <w:r>
        <w:rPr>
          <w:szCs w:val="21"/>
        </w:rPr>
        <w:t>6</w:t>
      </w:r>
      <w:r>
        <w:rPr>
          <w:rFonts w:hint="eastAsia" w:hAnsi="宋体"/>
          <w:szCs w:val="21"/>
        </w:rPr>
        <w:t>、如果以后涉及招标投标方面的投诉举报，我方将严格按照《工程建设项目招标投标活动投诉处理办法》（七部委第</w:t>
      </w:r>
      <w:r>
        <w:rPr>
          <w:szCs w:val="21"/>
        </w:rPr>
        <w:t>11</w:t>
      </w:r>
      <w:r>
        <w:rPr>
          <w:rFonts w:hint="eastAsia" w:hAnsi="宋体"/>
          <w:szCs w:val="21"/>
        </w:rPr>
        <w:t>号令）的规定进行投诉，否则，招标人可以不予受理。</w:t>
      </w:r>
    </w:p>
    <w:p>
      <w:pPr>
        <w:spacing w:line="360" w:lineRule="auto"/>
        <w:ind w:firstLine="420" w:firstLineChars="200"/>
        <w:rPr>
          <w:b/>
          <w:szCs w:val="21"/>
        </w:rPr>
      </w:pPr>
      <w:r>
        <w:rPr>
          <w:szCs w:val="21"/>
        </w:rPr>
        <w:t>7</w:t>
      </w:r>
      <w:r>
        <w:rPr>
          <w:rFonts w:hint="eastAsia" w:hAnsi="宋体"/>
          <w:szCs w:val="21"/>
        </w:rPr>
        <w:t>、我方保证：如中标，确保在公示结束后三天内签订合同，并在规定的合同工期内完成监理任务。如在规定的合同工期内未完成监理任务，即可认为我方监理不力。</w:t>
      </w:r>
    </w:p>
    <w:p>
      <w:pPr>
        <w:spacing w:line="360" w:lineRule="auto"/>
        <w:ind w:firstLine="422" w:firstLineChars="200"/>
        <w:rPr>
          <w:b/>
          <w:szCs w:val="21"/>
        </w:rPr>
      </w:pPr>
    </w:p>
    <w:p>
      <w:pPr>
        <w:spacing w:line="360" w:lineRule="auto"/>
        <w:ind w:firstLine="422" w:firstLineChars="200"/>
        <w:rPr>
          <w:b/>
          <w:szCs w:val="21"/>
        </w:rPr>
      </w:pPr>
      <w:r>
        <w:rPr>
          <w:rFonts w:hint="eastAsia" w:hAnsi="宋体"/>
          <w:b/>
          <w:szCs w:val="21"/>
        </w:rPr>
        <w:t>我方承诺：违反上述任何一条承诺，愿意接受任何处罚，包括同意你方不予退还投标保证金或履约保证金，</w:t>
      </w:r>
      <w:r>
        <w:rPr>
          <w:rFonts w:hint="eastAsia" w:hAnsi="宋体" w:cs="宋体"/>
          <w:b/>
          <w:kern w:val="0"/>
          <w:szCs w:val="21"/>
        </w:rPr>
        <w:t>将我方列入黑名单，并上报建设主管部门，我方主动放弃今后二十四个月内参与你方投标或竞价的资格。</w:t>
      </w:r>
    </w:p>
    <w:p>
      <w:pPr>
        <w:spacing w:line="360" w:lineRule="auto"/>
        <w:ind w:right="-512" w:rightChars="-244" w:firstLine="3255" w:firstLineChars="1550"/>
        <w:rPr>
          <w:szCs w:val="21"/>
        </w:rPr>
      </w:pPr>
      <w:r>
        <w:rPr>
          <w:rFonts w:hint="eastAsia" w:hAnsi="宋体"/>
          <w:szCs w:val="21"/>
        </w:rPr>
        <w:t>投标申请人（盖章）：</w:t>
      </w:r>
    </w:p>
    <w:p>
      <w:pPr>
        <w:tabs>
          <w:tab w:val="left" w:pos="4320"/>
        </w:tabs>
        <w:spacing w:line="360" w:lineRule="auto"/>
        <w:ind w:right="-512" w:rightChars="-244" w:firstLine="3255" w:firstLineChars="1550"/>
        <w:rPr>
          <w:szCs w:val="21"/>
        </w:rPr>
      </w:pPr>
      <w:r>
        <w:rPr>
          <w:rFonts w:hint="eastAsia" w:hAnsi="宋体"/>
          <w:szCs w:val="21"/>
        </w:rPr>
        <w:t>法定代表人（签字或盖章）：</w:t>
      </w:r>
    </w:p>
    <w:p>
      <w:pPr>
        <w:spacing w:line="360" w:lineRule="auto"/>
        <w:rPr>
          <w:rFonts w:cs="宋体"/>
          <w:color w:val="000000"/>
          <w:szCs w:val="21"/>
        </w:rPr>
      </w:pPr>
      <w:r>
        <w:rPr>
          <w:rFonts w:hint="eastAsia" w:hAnsi="宋体"/>
          <w:szCs w:val="21"/>
        </w:rPr>
        <w:t>年月日</w:t>
      </w:r>
    </w:p>
    <w:p>
      <w:pPr>
        <w:spacing w:line="360" w:lineRule="auto"/>
        <w:rPr>
          <w:b/>
          <w:bCs/>
          <w:sz w:val="24"/>
        </w:rPr>
      </w:pPr>
      <w:bookmarkStart w:id="314" w:name="_Toc19852"/>
      <w:r>
        <w:rPr>
          <w:color w:val="000000"/>
          <w:sz w:val="24"/>
        </w:rPr>
        <w:br w:type="page"/>
      </w:r>
      <w:bookmarkEnd w:id="314"/>
    </w:p>
    <w:p>
      <w:pPr>
        <w:spacing w:line="360" w:lineRule="auto"/>
        <w:jc w:val="center"/>
        <w:rPr>
          <w:b/>
          <w:sz w:val="24"/>
        </w:rPr>
      </w:pPr>
      <w:r>
        <w:rPr>
          <w:rFonts w:hint="eastAsia" w:hAnsi="宋体"/>
          <w:b/>
          <w:sz w:val="24"/>
        </w:rPr>
        <w:t>无在监工程承诺书</w:t>
      </w:r>
    </w:p>
    <w:p>
      <w:pPr>
        <w:spacing w:line="360" w:lineRule="auto"/>
        <w:jc w:val="center"/>
        <w:rPr>
          <w:b/>
          <w:sz w:val="24"/>
        </w:rPr>
      </w:pPr>
    </w:p>
    <w:p>
      <w:pPr>
        <w:spacing w:line="360" w:lineRule="auto"/>
        <w:rPr>
          <w:spacing w:val="8"/>
          <w:szCs w:val="21"/>
        </w:rPr>
      </w:pPr>
      <w:r>
        <w:rPr>
          <w:rFonts w:hint="eastAsia" w:cs="Arial"/>
          <w:b/>
          <w:bCs/>
          <w:spacing w:val="-4"/>
          <w:kern w:val="0"/>
          <w:szCs w:val="21"/>
          <w:u w:val="single"/>
        </w:rPr>
        <w:t xml:space="preserve">  （招标人名称）</w:t>
      </w:r>
      <w:r>
        <w:rPr>
          <w:rFonts w:hint="eastAsia" w:hAnsi="宋体"/>
          <w:spacing w:val="8"/>
          <w:szCs w:val="21"/>
        </w:rPr>
        <w:t>：</w:t>
      </w:r>
    </w:p>
    <w:p>
      <w:pPr>
        <w:spacing w:line="360" w:lineRule="auto"/>
        <w:ind w:firstLine="440" w:firstLineChars="195"/>
        <w:rPr>
          <w:spacing w:val="8"/>
          <w:szCs w:val="21"/>
        </w:rPr>
      </w:pPr>
      <w:r>
        <w:rPr>
          <w:rFonts w:hint="eastAsia" w:hAnsi="宋体"/>
          <w:spacing w:val="8"/>
          <w:szCs w:val="21"/>
        </w:rPr>
        <w:t>我方参加你方的监理（以下简称</w:t>
      </w:r>
      <w:r>
        <w:rPr>
          <w:rFonts w:hint="eastAsia"/>
          <w:spacing w:val="8"/>
          <w:szCs w:val="21"/>
        </w:rPr>
        <w:t>“</w:t>
      </w:r>
      <w:r>
        <w:rPr>
          <w:rFonts w:hint="eastAsia" w:hAnsi="宋体"/>
          <w:spacing w:val="8"/>
          <w:szCs w:val="21"/>
        </w:rPr>
        <w:t>本项目</w:t>
      </w:r>
      <w:r>
        <w:rPr>
          <w:rFonts w:hint="eastAsia"/>
          <w:spacing w:val="8"/>
          <w:szCs w:val="21"/>
        </w:rPr>
        <w:t>”</w:t>
      </w:r>
      <w:r>
        <w:rPr>
          <w:rFonts w:hint="eastAsia" w:hAnsi="宋体"/>
          <w:spacing w:val="8"/>
          <w:szCs w:val="21"/>
        </w:rPr>
        <w:t>）投标的申请，拟派项目总监理工程师为</w:t>
      </w:r>
      <w:r>
        <w:rPr>
          <w:rFonts w:hint="eastAsia" w:hAnsi="宋体"/>
          <w:spacing w:val="8"/>
          <w:szCs w:val="21"/>
          <w:u w:val="single"/>
          <w:lang w:val="en-US" w:eastAsia="zh-CN"/>
        </w:rPr>
        <w:t xml:space="preserve">  </w:t>
      </w:r>
      <w:r>
        <w:rPr>
          <w:rFonts w:hint="eastAsia" w:hAnsi="宋体"/>
          <w:spacing w:val="8"/>
          <w:szCs w:val="21"/>
        </w:rPr>
        <w:t>。现我方向你方慎重承诺：</w:t>
      </w:r>
    </w:p>
    <w:p>
      <w:pPr>
        <w:pStyle w:val="6"/>
        <w:spacing w:line="360" w:lineRule="auto"/>
        <w:ind w:firstLine="452"/>
        <w:rPr>
          <w:spacing w:val="8"/>
          <w:szCs w:val="21"/>
        </w:rPr>
      </w:pPr>
      <w:r>
        <w:rPr>
          <w:rFonts w:hint="eastAsia" w:hAnsi="宋体"/>
          <w:spacing w:val="8"/>
          <w:szCs w:val="21"/>
        </w:rPr>
        <w:t>拟派项目总监理工程师从现在开始至本项目投标文件递交截止时间内无在监工程，如果我方经本工程评标委员会评定为第一中标候选人，在公示期间被他人举报并经招标投标监管机构核实，确认拟派项目总监理工程师有在监工程，那么我方自愿放弃第一中标候选人资格和投标保证金。</w:t>
      </w:r>
    </w:p>
    <w:p>
      <w:pPr>
        <w:pStyle w:val="6"/>
        <w:spacing w:line="360" w:lineRule="auto"/>
        <w:ind w:firstLine="452"/>
        <w:rPr>
          <w:spacing w:val="8"/>
          <w:szCs w:val="21"/>
        </w:rPr>
      </w:pPr>
    </w:p>
    <w:p>
      <w:pPr>
        <w:pStyle w:val="6"/>
        <w:spacing w:line="360" w:lineRule="auto"/>
        <w:ind w:firstLine="452"/>
        <w:rPr>
          <w:spacing w:val="8"/>
          <w:szCs w:val="21"/>
        </w:rPr>
      </w:pPr>
      <w:r>
        <w:rPr>
          <w:rFonts w:hint="eastAsia" w:hAnsi="宋体"/>
          <w:spacing w:val="8"/>
          <w:szCs w:val="21"/>
        </w:rPr>
        <w:t>投标申请人（盖公章）：</w:t>
      </w:r>
    </w:p>
    <w:p>
      <w:pPr>
        <w:pStyle w:val="6"/>
        <w:spacing w:line="360" w:lineRule="auto"/>
        <w:ind w:firstLine="452"/>
        <w:rPr>
          <w:spacing w:val="8"/>
          <w:szCs w:val="21"/>
        </w:rPr>
      </w:pPr>
      <w:r>
        <w:rPr>
          <w:rFonts w:hint="eastAsia" w:hAnsi="宋体"/>
          <w:spacing w:val="8"/>
          <w:szCs w:val="21"/>
        </w:rPr>
        <w:t>法定代表人（签字或盖章）：</w:t>
      </w:r>
    </w:p>
    <w:p>
      <w:pPr>
        <w:pStyle w:val="6"/>
        <w:spacing w:line="360" w:lineRule="auto"/>
        <w:ind w:firstLine="452"/>
        <w:rPr>
          <w:spacing w:val="8"/>
          <w:szCs w:val="21"/>
        </w:rPr>
      </w:pPr>
      <w:r>
        <w:rPr>
          <w:rFonts w:hint="eastAsia" w:hAnsi="宋体"/>
          <w:spacing w:val="8"/>
          <w:szCs w:val="21"/>
        </w:rPr>
        <w:t>年月日</w:t>
      </w:r>
    </w:p>
    <w:p/>
    <w:sectPr>
      <w:pgSz w:w="11906" w:h="16838"/>
      <w:pgMar w:top="1440" w:right="1230" w:bottom="1440" w:left="123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12"/>
                </w:pPr>
                <w:r>
                  <w:fldChar w:fldCharType="begin"/>
                </w:r>
                <w:r>
                  <w:instrText xml:space="preserve"> PAGE  \* MERGEFORMAT </w:instrText>
                </w:r>
                <w:r>
                  <w:fldChar w:fldCharType="separate"/>
                </w:r>
                <w:r>
                  <w:t>36</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DAE3BA"/>
    <w:multiLevelType w:val="singleLevel"/>
    <w:tmpl w:val="85DAE3BA"/>
    <w:lvl w:ilvl="0" w:tentative="0">
      <w:start w:val="1"/>
      <w:numFmt w:val="decimal"/>
      <w:suff w:val="nothing"/>
      <w:lvlText w:val="（%1）"/>
      <w:lvlJc w:val="left"/>
    </w:lvl>
  </w:abstractNum>
  <w:abstractNum w:abstractNumId="1">
    <w:nsid w:val="97165EBD"/>
    <w:multiLevelType w:val="singleLevel"/>
    <w:tmpl w:val="97165EBD"/>
    <w:lvl w:ilvl="0" w:tentative="0">
      <w:start w:val="1"/>
      <w:numFmt w:val="upperLetter"/>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UwNmZkNDQxZTk1MjIzMDk3MmJlZmIyYWI1ODA2MzIifQ=="/>
  </w:docVars>
  <w:rsids>
    <w:rsidRoot w:val="197E0461"/>
    <w:rsid w:val="0000347E"/>
    <w:rsid w:val="00022F8E"/>
    <w:rsid w:val="00077D9A"/>
    <w:rsid w:val="00091CCD"/>
    <w:rsid w:val="000A490A"/>
    <w:rsid w:val="000B7924"/>
    <w:rsid w:val="00113547"/>
    <w:rsid w:val="00133EBE"/>
    <w:rsid w:val="00141135"/>
    <w:rsid w:val="0015001B"/>
    <w:rsid w:val="00151F99"/>
    <w:rsid w:val="00157FD7"/>
    <w:rsid w:val="00162A62"/>
    <w:rsid w:val="001876F9"/>
    <w:rsid w:val="001C20BF"/>
    <w:rsid w:val="001C6845"/>
    <w:rsid w:val="001F0687"/>
    <w:rsid w:val="001F73A7"/>
    <w:rsid w:val="00244BC7"/>
    <w:rsid w:val="00245E97"/>
    <w:rsid w:val="00250CAB"/>
    <w:rsid w:val="00275245"/>
    <w:rsid w:val="002D5E22"/>
    <w:rsid w:val="002D647F"/>
    <w:rsid w:val="002E33F1"/>
    <w:rsid w:val="002E5DA7"/>
    <w:rsid w:val="00332E7B"/>
    <w:rsid w:val="00333A2A"/>
    <w:rsid w:val="00344BD0"/>
    <w:rsid w:val="00382BCD"/>
    <w:rsid w:val="003A1DB5"/>
    <w:rsid w:val="003B06C6"/>
    <w:rsid w:val="003B6C8B"/>
    <w:rsid w:val="003E1CF9"/>
    <w:rsid w:val="003E4AC3"/>
    <w:rsid w:val="00400600"/>
    <w:rsid w:val="00414D3E"/>
    <w:rsid w:val="0042618F"/>
    <w:rsid w:val="00444AA1"/>
    <w:rsid w:val="00444B0E"/>
    <w:rsid w:val="00465896"/>
    <w:rsid w:val="00486C57"/>
    <w:rsid w:val="004B3DA1"/>
    <w:rsid w:val="004C054C"/>
    <w:rsid w:val="004C68E3"/>
    <w:rsid w:val="004D338F"/>
    <w:rsid w:val="004E02E5"/>
    <w:rsid w:val="004E551C"/>
    <w:rsid w:val="005015CE"/>
    <w:rsid w:val="00514AEB"/>
    <w:rsid w:val="005352B4"/>
    <w:rsid w:val="0056307D"/>
    <w:rsid w:val="00580DAD"/>
    <w:rsid w:val="0058200D"/>
    <w:rsid w:val="00583010"/>
    <w:rsid w:val="005A4F37"/>
    <w:rsid w:val="005B6FF5"/>
    <w:rsid w:val="005E06BD"/>
    <w:rsid w:val="005E1B38"/>
    <w:rsid w:val="005F481F"/>
    <w:rsid w:val="00601F3D"/>
    <w:rsid w:val="00621F7F"/>
    <w:rsid w:val="00657693"/>
    <w:rsid w:val="006714C7"/>
    <w:rsid w:val="0067262A"/>
    <w:rsid w:val="0067264E"/>
    <w:rsid w:val="006A78F6"/>
    <w:rsid w:val="006D0505"/>
    <w:rsid w:val="006D48BB"/>
    <w:rsid w:val="006E3815"/>
    <w:rsid w:val="006E49AD"/>
    <w:rsid w:val="00735736"/>
    <w:rsid w:val="007705F3"/>
    <w:rsid w:val="007A6C35"/>
    <w:rsid w:val="007F2937"/>
    <w:rsid w:val="008077BD"/>
    <w:rsid w:val="008137E4"/>
    <w:rsid w:val="008347E1"/>
    <w:rsid w:val="00836CB0"/>
    <w:rsid w:val="008A426C"/>
    <w:rsid w:val="008A68F2"/>
    <w:rsid w:val="008D7741"/>
    <w:rsid w:val="008F78DF"/>
    <w:rsid w:val="009361DE"/>
    <w:rsid w:val="00942DE0"/>
    <w:rsid w:val="00960CD5"/>
    <w:rsid w:val="00973100"/>
    <w:rsid w:val="009738A7"/>
    <w:rsid w:val="009B2912"/>
    <w:rsid w:val="00A06284"/>
    <w:rsid w:val="00A1284E"/>
    <w:rsid w:val="00A201DF"/>
    <w:rsid w:val="00A23760"/>
    <w:rsid w:val="00A307D0"/>
    <w:rsid w:val="00A30DFC"/>
    <w:rsid w:val="00A84ED8"/>
    <w:rsid w:val="00A90E43"/>
    <w:rsid w:val="00AC53B1"/>
    <w:rsid w:val="00AE2604"/>
    <w:rsid w:val="00AF14A8"/>
    <w:rsid w:val="00B02AFD"/>
    <w:rsid w:val="00B52C38"/>
    <w:rsid w:val="00B67EA1"/>
    <w:rsid w:val="00B80144"/>
    <w:rsid w:val="00B920FE"/>
    <w:rsid w:val="00BC1365"/>
    <w:rsid w:val="00BF185E"/>
    <w:rsid w:val="00C046A5"/>
    <w:rsid w:val="00C10A55"/>
    <w:rsid w:val="00C17E38"/>
    <w:rsid w:val="00C326D8"/>
    <w:rsid w:val="00C3363D"/>
    <w:rsid w:val="00C53883"/>
    <w:rsid w:val="00C56A0D"/>
    <w:rsid w:val="00C62397"/>
    <w:rsid w:val="00C83BF8"/>
    <w:rsid w:val="00CC6028"/>
    <w:rsid w:val="00D24BA5"/>
    <w:rsid w:val="00D462B1"/>
    <w:rsid w:val="00D674B3"/>
    <w:rsid w:val="00D67CEC"/>
    <w:rsid w:val="00D67D51"/>
    <w:rsid w:val="00D72957"/>
    <w:rsid w:val="00D739E5"/>
    <w:rsid w:val="00DD4DBA"/>
    <w:rsid w:val="00DF2E54"/>
    <w:rsid w:val="00E10B9F"/>
    <w:rsid w:val="00E120E9"/>
    <w:rsid w:val="00E2780C"/>
    <w:rsid w:val="00E37198"/>
    <w:rsid w:val="00E54311"/>
    <w:rsid w:val="00E91CBC"/>
    <w:rsid w:val="00EB34F6"/>
    <w:rsid w:val="00EB467F"/>
    <w:rsid w:val="00EE562F"/>
    <w:rsid w:val="00F0141A"/>
    <w:rsid w:val="00F04CB6"/>
    <w:rsid w:val="00F525DA"/>
    <w:rsid w:val="00FB2A4F"/>
    <w:rsid w:val="00FD753E"/>
    <w:rsid w:val="013A6BBA"/>
    <w:rsid w:val="01476F03"/>
    <w:rsid w:val="01AB67B0"/>
    <w:rsid w:val="01F5417E"/>
    <w:rsid w:val="022A3E0C"/>
    <w:rsid w:val="024261A6"/>
    <w:rsid w:val="0283153E"/>
    <w:rsid w:val="02B074FF"/>
    <w:rsid w:val="02C24E2A"/>
    <w:rsid w:val="02C34023"/>
    <w:rsid w:val="02E56406"/>
    <w:rsid w:val="02FB57E0"/>
    <w:rsid w:val="02FD5BC2"/>
    <w:rsid w:val="030B6598"/>
    <w:rsid w:val="03372A1A"/>
    <w:rsid w:val="033A0C2B"/>
    <w:rsid w:val="036C0CE0"/>
    <w:rsid w:val="03A527A2"/>
    <w:rsid w:val="03AC38D7"/>
    <w:rsid w:val="03B2599D"/>
    <w:rsid w:val="03C35446"/>
    <w:rsid w:val="03C926DB"/>
    <w:rsid w:val="03F05F53"/>
    <w:rsid w:val="04580FC7"/>
    <w:rsid w:val="046010D7"/>
    <w:rsid w:val="04792E24"/>
    <w:rsid w:val="04E62E18"/>
    <w:rsid w:val="050A19B8"/>
    <w:rsid w:val="050C1D2C"/>
    <w:rsid w:val="05194A5C"/>
    <w:rsid w:val="05476E5D"/>
    <w:rsid w:val="05577A65"/>
    <w:rsid w:val="057B45F2"/>
    <w:rsid w:val="0606305E"/>
    <w:rsid w:val="06080863"/>
    <w:rsid w:val="06451DC1"/>
    <w:rsid w:val="06766E2B"/>
    <w:rsid w:val="06D45A15"/>
    <w:rsid w:val="06DA3C88"/>
    <w:rsid w:val="07151767"/>
    <w:rsid w:val="07387591"/>
    <w:rsid w:val="075C068F"/>
    <w:rsid w:val="078838F5"/>
    <w:rsid w:val="07E850FA"/>
    <w:rsid w:val="08122176"/>
    <w:rsid w:val="085D7896"/>
    <w:rsid w:val="086754E4"/>
    <w:rsid w:val="08CB140A"/>
    <w:rsid w:val="08D7132B"/>
    <w:rsid w:val="08FE3363"/>
    <w:rsid w:val="090D074B"/>
    <w:rsid w:val="09117D6B"/>
    <w:rsid w:val="092B1F08"/>
    <w:rsid w:val="09523D3F"/>
    <w:rsid w:val="096B62F5"/>
    <w:rsid w:val="096C0B9A"/>
    <w:rsid w:val="09F9539C"/>
    <w:rsid w:val="09FA0698"/>
    <w:rsid w:val="0A216D3B"/>
    <w:rsid w:val="0A6E5441"/>
    <w:rsid w:val="0A7D4FF2"/>
    <w:rsid w:val="0A981059"/>
    <w:rsid w:val="0AAC13B6"/>
    <w:rsid w:val="0AC2744D"/>
    <w:rsid w:val="0AE20B0A"/>
    <w:rsid w:val="0AF70F06"/>
    <w:rsid w:val="0B117F8F"/>
    <w:rsid w:val="0BDF1202"/>
    <w:rsid w:val="0BFE0700"/>
    <w:rsid w:val="0C2606B1"/>
    <w:rsid w:val="0C3218D4"/>
    <w:rsid w:val="0C871CA3"/>
    <w:rsid w:val="0C9141AC"/>
    <w:rsid w:val="0CC679CB"/>
    <w:rsid w:val="0CF940F5"/>
    <w:rsid w:val="0CFA081E"/>
    <w:rsid w:val="0D144C7C"/>
    <w:rsid w:val="0D802482"/>
    <w:rsid w:val="0DAC3FE1"/>
    <w:rsid w:val="0DC13B67"/>
    <w:rsid w:val="0E4B5059"/>
    <w:rsid w:val="0E5276DC"/>
    <w:rsid w:val="0E746D2E"/>
    <w:rsid w:val="0E8611C8"/>
    <w:rsid w:val="0E95564D"/>
    <w:rsid w:val="0EA55AF2"/>
    <w:rsid w:val="0EAC41F8"/>
    <w:rsid w:val="0EAF6971"/>
    <w:rsid w:val="0EF51D98"/>
    <w:rsid w:val="0F1E3F27"/>
    <w:rsid w:val="0F2E13F9"/>
    <w:rsid w:val="0FAF71D6"/>
    <w:rsid w:val="10014FAA"/>
    <w:rsid w:val="10305C56"/>
    <w:rsid w:val="107022C4"/>
    <w:rsid w:val="107D397A"/>
    <w:rsid w:val="108F6AD4"/>
    <w:rsid w:val="110A7E8F"/>
    <w:rsid w:val="111E777C"/>
    <w:rsid w:val="11511F61"/>
    <w:rsid w:val="11D303FF"/>
    <w:rsid w:val="123F78AA"/>
    <w:rsid w:val="124C37A5"/>
    <w:rsid w:val="12CF313E"/>
    <w:rsid w:val="13135793"/>
    <w:rsid w:val="13203B66"/>
    <w:rsid w:val="136722E6"/>
    <w:rsid w:val="137E1742"/>
    <w:rsid w:val="13D65F26"/>
    <w:rsid w:val="13DD0B68"/>
    <w:rsid w:val="13E55090"/>
    <w:rsid w:val="13FE6D3E"/>
    <w:rsid w:val="14036F6F"/>
    <w:rsid w:val="143A6CDD"/>
    <w:rsid w:val="144435B4"/>
    <w:rsid w:val="145F4480"/>
    <w:rsid w:val="14786F14"/>
    <w:rsid w:val="14921783"/>
    <w:rsid w:val="14B549BC"/>
    <w:rsid w:val="1543532F"/>
    <w:rsid w:val="15696E26"/>
    <w:rsid w:val="15875F52"/>
    <w:rsid w:val="159424F6"/>
    <w:rsid w:val="161A395A"/>
    <w:rsid w:val="1643237F"/>
    <w:rsid w:val="16F45869"/>
    <w:rsid w:val="17202D76"/>
    <w:rsid w:val="172779EC"/>
    <w:rsid w:val="173E2219"/>
    <w:rsid w:val="175B30FE"/>
    <w:rsid w:val="17BF3EC7"/>
    <w:rsid w:val="17C01C44"/>
    <w:rsid w:val="17C61ABD"/>
    <w:rsid w:val="17CC352C"/>
    <w:rsid w:val="17F636AD"/>
    <w:rsid w:val="17FB2E23"/>
    <w:rsid w:val="180725A6"/>
    <w:rsid w:val="1839525D"/>
    <w:rsid w:val="185B1070"/>
    <w:rsid w:val="18882132"/>
    <w:rsid w:val="188E2868"/>
    <w:rsid w:val="18953515"/>
    <w:rsid w:val="19025C20"/>
    <w:rsid w:val="190466CF"/>
    <w:rsid w:val="190653E0"/>
    <w:rsid w:val="191163B8"/>
    <w:rsid w:val="194C29FB"/>
    <w:rsid w:val="197E0461"/>
    <w:rsid w:val="198E77DD"/>
    <w:rsid w:val="19C749D9"/>
    <w:rsid w:val="1A073B05"/>
    <w:rsid w:val="1A1F3234"/>
    <w:rsid w:val="1A2E4FEC"/>
    <w:rsid w:val="1AAB244B"/>
    <w:rsid w:val="1AE8231C"/>
    <w:rsid w:val="1B436570"/>
    <w:rsid w:val="1B742AD4"/>
    <w:rsid w:val="1BAA1CA5"/>
    <w:rsid w:val="1C314E69"/>
    <w:rsid w:val="1C894C01"/>
    <w:rsid w:val="1CA74E85"/>
    <w:rsid w:val="1D022A5D"/>
    <w:rsid w:val="1D5A7BA1"/>
    <w:rsid w:val="1D8D3A63"/>
    <w:rsid w:val="1DA70230"/>
    <w:rsid w:val="1DAD6772"/>
    <w:rsid w:val="1DE25E0D"/>
    <w:rsid w:val="1E0F1C82"/>
    <w:rsid w:val="1E7C6B2A"/>
    <w:rsid w:val="1E7D6144"/>
    <w:rsid w:val="1E8D5C8D"/>
    <w:rsid w:val="1E9D67E6"/>
    <w:rsid w:val="1EA77665"/>
    <w:rsid w:val="1EC91389"/>
    <w:rsid w:val="1F7C289F"/>
    <w:rsid w:val="1FAE25D2"/>
    <w:rsid w:val="1FCA4774"/>
    <w:rsid w:val="1FD837FF"/>
    <w:rsid w:val="1FDF0333"/>
    <w:rsid w:val="1FDF7991"/>
    <w:rsid w:val="1FFD0854"/>
    <w:rsid w:val="20077C53"/>
    <w:rsid w:val="20A06C94"/>
    <w:rsid w:val="20C444FE"/>
    <w:rsid w:val="20C44C4E"/>
    <w:rsid w:val="20D66A29"/>
    <w:rsid w:val="21192404"/>
    <w:rsid w:val="218E6EF9"/>
    <w:rsid w:val="21F77984"/>
    <w:rsid w:val="22342FE2"/>
    <w:rsid w:val="223557B8"/>
    <w:rsid w:val="225959E9"/>
    <w:rsid w:val="226C310F"/>
    <w:rsid w:val="229769D7"/>
    <w:rsid w:val="22DD7372"/>
    <w:rsid w:val="22DE34E5"/>
    <w:rsid w:val="22EC3F3F"/>
    <w:rsid w:val="23073382"/>
    <w:rsid w:val="232B1DB3"/>
    <w:rsid w:val="233934F2"/>
    <w:rsid w:val="23510BE2"/>
    <w:rsid w:val="23570ADA"/>
    <w:rsid w:val="23827AA9"/>
    <w:rsid w:val="24060BDD"/>
    <w:rsid w:val="240B41F2"/>
    <w:rsid w:val="24194B61"/>
    <w:rsid w:val="24294678"/>
    <w:rsid w:val="24D0793E"/>
    <w:rsid w:val="250023CA"/>
    <w:rsid w:val="250B6DBE"/>
    <w:rsid w:val="251124CC"/>
    <w:rsid w:val="253E30F1"/>
    <w:rsid w:val="25443147"/>
    <w:rsid w:val="254A35F5"/>
    <w:rsid w:val="255B3A27"/>
    <w:rsid w:val="258D0061"/>
    <w:rsid w:val="25C67A17"/>
    <w:rsid w:val="25EF0F51"/>
    <w:rsid w:val="26205F9A"/>
    <w:rsid w:val="267D6DF9"/>
    <w:rsid w:val="2685112A"/>
    <w:rsid w:val="26865DB2"/>
    <w:rsid w:val="26C37006"/>
    <w:rsid w:val="26D66D39"/>
    <w:rsid w:val="274517C9"/>
    <w:rsid w:val="27697971"/>
    <w:rsid w:val="277B73E9"/>
    <w:rsid w:val="278238E3"/>
    <w:rsid w:val="27936A2D"/>
    <w:rsid w:val="27977C67"/>
    <w:rsid w:val="27C35B90"/>
    <w:rsid w:val="27DF7A0E"/>
    <w:rsid w:val="27F51441"/>
    <w:rsid w:val="283E6EB9"/>
    <w:rsid w:val="28906633"/>
    <w:rsid w:val="289438BD"/>
    <w:rsid w:val="28A565CD"/>
    <w:rsid w:val="28DD446D"/>
    <w:rsid w:val="290F1A1A"/>
    <w:rsid w:val="2931167D"/>
    <w:rsid w:val="294D132B"/>
    <w:rsid w:val="29522C92"/>
    <w:rsid w:val="295A0D7A"/>
    <w:rsid w:val="297070D8"/>
    <w:rsid w:val="297F2038"/>
    <w:rsid w:val="298068D7"/>
    <w:rsid w:val="29B01DC7"/>
    <w:rsid w:val="29DB7B52"/>
    <w:rsid w:val="29E54F36"/>
    <w:rsid w:val="29F56E4C"/>
    <w:rsid w:val="2A0D1E04"/>
    <w:rsid w:val="2A3468BD"/>
    <w:rsid w:val="2AD57308"/>
    <w:rsid w:val="2AEB08D9"/>
    <w:rsid w:val="2AF750A1"/>
    <w:rsid w:val="2AFA28CA"/>
    <w:rsid w:val="2BA810B0"/>
    <w:rsid w:val="2BA847CB"/>
    <w:rsid w:val="2BAD5B8F"/>
    <w:rsid w:val="2BC32773"/>
    <w:rsid w:val="2BCF1FA9"/>
    <w:rsid w:val="2BFC19D3"/>
    <w:rsid w:val="2C2C0E5B"/>
    <w:rsid w:val="2C3F712F"/>
    <w:rsid w:val="2C651478"/>
    <w:rsid w:val="2C6E62A0"/>
    <w:rsid w:val="2CC528DB"/>
    <w:rsid w:val="2CE51A84"/>
    <w:rsid w:val="2CF75313"/>
    <w:rsid w:val="2CFE66A2"/>
    <w:rsid w:val="2D1D3491"/>
    <w:rsid w:val="2D512639"/>
    <w:rsid w:val="2D5251B9"/>
    <w:rsid w:val="2D647F19"/>
    <w:rsid w:val="2DB02E9A"/>
    <w:rsid w:val="2E692241"/>
    <w:rsid w:val="2EB320D7"/>
    <w:rsid w:val="2F0210BE"/>
    <w:rsid w:val="2F1F6DA3"/>
    <w:rsid w:val="2F331338"/>
    <w:rsid w:val="2F4D714F"/>
    <w:rsid w:val="2F65331D"/>
    <w:rsid w:val="2F67799C"/>
    <w:rsid w:val="2FA219D4"/>
    <w:rsid w:val="2FA42C93"/>
    <w:rsid w:val="2FCA31B3"/>
    <w:rsid w:val="2FDE2E39"/>
    <w:rsid w:val="2FEA0064"/>
    <w:rsid w:val="2FEC137B"/>
    <w:rsid w:val="30506E41"/>
    <w:rsid w:val="30561961"/>
    <w:rsid w:val="30890898"/>
    <w:rsid w:val="30EC078D"/>
    <w:rsid w:val="312018A4"/>
    <w:rsid w:val="317C04DD"/>
    <w:rsid w:val="31C979A6"/>
    <w:rsid w:val="32210F66"/>
    <w:rsid w:val="32220515"/>
    <w:rsid w:val="32386938"/>
    <w:rsid w:val="327D191B"/>
    <w:rsid w:val="327E018E"/>
    <w:rsid w:val="32995ABE"/>
    <w:rsid w:val="329D5CF6"/>
    <w:rsid w:val="32A01FA9"/>
    <w:rsid w:val="33354DE7"/>
    <w:rsid w:val="33704071"/>
    <w:rsid w:val="33CF6FEA"/>
    <w:rsid w:val="33F94067"/>
    <w:rsid w:val="33FA30D0"/>
    <w:rsid w:val="34062663"/>
    <w:rsid w:val="341B4691"/>
    <w:rsid w:val="34311B8D"/>
    <w:rsid w:val="3439625E"/>
    <w:rsid w:val="34532048"/>
    <w:rsid w:val="347D0345"/>
    <w:rsid w:val="34A845B2"/>
    <w:rsid w:val="34D97E94"/>
    <w:rsid w:val="34E04272"/>
    <w:rsid w:val="353A59CF"/>
    <w:rsid w:val="356A1AE2"/>
    <w:rsid w:val="35812566"/>
    <w:rsid w:val="359C3EDC"/>
    <w:rsid w:val="360E389E"/>
    <w:rsid w:val="3612678C"/>
    <w:rsid w:val="36494172"/>
    <w:rsid w:val="36520C66"/>
    <w:rsid w:val="36592B9B"/>
    <w:rsid w:val="36E83F1F"/>
    <w:rsid w:val="373C7CC9"/>
    <w:rsid w:val="377A101B"/>
    <w:rsid w:val="37EB13EA"/>
    <w:rsid w:val="37FE0D94"/>
    <w:rsid w:val="38323357"/>
    <w:rsid w:val="389B5548"/>
    <w:rsid w:val="38F51B38"/>
    <w:rsid w:val="39167BAC"/>
    <w:rsid w:val="39270650"/>
    <w:rsid w:val="394702FC"/>
    <w:rsid w:val="3970267C"/>
    <w:rsid w:val="397F31CA"/>
    <w:rsid w:val="3A0B1E0C"/>
    <w:rsid w:val="3A162EBF"/>
    <w:rsid w:val="3A696390"/>
    <w:rsid w:val="3ADA148E"/>
    <w:rsid w:val="3ADE4F69"/>
    <w:rsid w:val="3AEC01CF"/>
    <w:rsid w:val="3AF8166E"/>
    <w:rsid w:val="3B345984"/>
    <w:rsid w:val="3B3911ED"/>
    <w:rsid w:val="3B7E1F45"/>
    <w:rsid w:val="3BDE5D18"/>
    <w:rsid w:val="3C1258A2"/>
    <w:rsid w:val="3C162914"/>
    <w:rsid w:val="3C1A1220"/>
    <w:rsid w:val="3C1E5401"/>
    <w:rsid w:val="3C210595"/>
    <w:rsid w:val="3C4F5E1E"/>
    <w:rsid w:val="3C8C25A1"/>
    <w:rsid w:val="3C94736A"/>
    <w:rsid w:val="3CB939B5"/>
    <w:rsid w:val="3CCF3BB7"/>
    <w:rsid w:val="3CE52FA8"/>
    <w:rsid w:val="3D3D408D"/>
    <w:rsid w:val="3D5D146F"/>
    <w:rsid w:val="3D840810"/>
    <w:rsid w:val="3DEB4E54"/>
    <w:rsid w:val="3E035329"/>
    <w:rsid w:val="3E4A1248"/>
    <w:rsid w:val="3E505A50"/>
    <w:rsid w:val="3E522F1E"/>
    <w:rsid w:val="3E670341"/>
    <w:rsid w:val="3E894239"/>
    <w:rsid w:val="3E8B5826"/>
    <w:rsid w:val="3FB37DD1"/>
    <w:rsid w:val="401D2367"/>
    <w:rsid w:val="40387CC5"/>
    <w:rsid w:val="40426260"/>
    <w:rsid w:val="409574DC"/>
    <w:rsid w:val="410E3E35"/>
    <w:rsid w:val="415D577B"/>
    <w:rsid w:val="416F6F3B"/>
    <w:rsid w:val="41855EFA"/>
    <w:rsid w:val="423544BC"/>
    <w:rsid w:val="42372B20"/>
    <w:rsid w:val="42770578"/>
    <w:rsid w:val="428F724E"/>
    <w:rsid w:val="42EF11F9"/>
    <w:rsid w:val="430A2572"/>
    <w:rsid w:val="431B1B9B"/>
    <w:rsid w:val="432D18A6"/>
    <w:rsid w:val="432F0755"/>
    <w:rsid w:val="437E5788"/>
    <w:rsid w:val="439604DD"/>
    <w:rsid w:val="43C95804"/>
    <w:rsid w:val="43CB4097"/>
    <w:rsid w:val="43D00A5E"/>
    <w:rsid w:val="440A3726"/>
    <w:rsid w:val="441307C2"/>
    <w:rsid w:val="44136974"/>
    <w:rsid w:val="446D46C0"/>
    <w:rsid w:val="449175CA"/>
    <w:rsid w:val="44B91F25"/>
    <w:rsid w:val="44DA7BD8"/>
    <w:rsid w:val="452D4725"/>
    <w:rsid w:val="456F23DB"/>
    <w:rsid w:val="45DE2DE6"/>
    <w:rsid w:val="46411D80"/>
    <w:rsid w:val="46833448"/>
    <w:rsid w:val="468F24D6"/>
    <w:rsid w:val="46932C0A"/>
    <w:rsid w:val="46A20FAA"/>
    <w:rsid w:val="46E36155"/>
    <w:rsid w:val="471769EE"/>
    <w:rsid w:val="471E63A8"/>
    <w:rsid w:val="476B4E24"/>
    <w:rsid w:val="47B12FFF"/>
    <w:rsid w:val="47D16CB4"/>
    <w:rsid w:val="47F170D7"/>
    <w:rsid w:val="47FA63E7"/>
    <w:rsid w:val="481D611E"/>
    <w:rsid w:val="482855B8"/>
    <w:rsid w:val="483B0BC3"/>
    <w:rsid w:val="48855A71"/>
    <w:rsid w:val="48B00D40"/>
    <w:rsid w:val="48EB7EEE"/>
    <w:rsid w:val="49095B22"/>
    <w:rsid w:val="493F20C4"/>
    <w:rsid w:val="49DE368B"/>
    <w:rsid w:val="49EB5DA8"/>
    <w:rsid w:val="4A3B6D2F"/>
    <w:rsid w:val="4A447A61"/>
    <w:rsid w:val="4A5F19BD"/>
    <w:rsid w:val="4A6A3171"/>
    <w:rsid w:val="4A79303E"/>
    <w:rsid w:val="4AE97204"/>
    <w:rsid w:val="4AF54711"/>
    <w:rsid w:val="4B455F24"/>
    <w:rsid w:val="4B7C542E"/>
    <w:rsid w:val="4BEF1B80"/>
    <w:rsid w:val="4BF6430F"/>
    <w:rsid w:val="4C2D6E24"/>
    <w:rsid w:val="4C3A3AC4"/>
    <w:rsid w:val="4C4C37F5"/>
    <w:rsid w:val="4D6D36A4"/>
    <w:rsid w:val="4D727CB8"/>
    <w:rsid w:val="4D767C12"/>
    <w:rsid w:val="4D8203AE"/>
    <w:rsid w:val="4DCE722B"/>
    <w:rsid w:val="4E5A52AA"/>
    <w:rsid w:val="4E86492F"/>
    <w:rsid w:val="4EA341B8"/>
    <w:rsid w:val="4EC54E1A"/>
    <w:rsid w:val="4F29722F"/>
    <w:rsid w:val="4F4425D1"/>
    <w:rsid w:val="4F525511"/>
    <w:rsid w:val="4F586118"/>
    <w:rsid w:val="4F651112"/>
    <w:rsid w:val="4FF8148F"/>
    <w:rsid w:val="50113FDD"/>
    <w:rsid w:val="501200C3"/>
    <w:rsid w:val="50626632"/>
    <w:rsid w:val="50635A3D"/>
    <w:rsid w:val="509D5063"/>
    <w:rsid w:val="50B21089"/>
    <w:rsid w:val="50D6330E"/>
    <w:rsid w:val="50E479CB"/>
    <w:rsid w:val="51026074"/>
    <w:rsid w:val="5109331D"/>
    <w:rsid w:val="51491C3E"/>
    <w:rsid w:val="514C7D0B"/>
    <w:rsid w:val="51783422"/>
    <w:rsid w:val="52072402"/>
    <w:rsid w:val="52187918"/>
    <w:rsid w:val="52397FF8"/>
    <w:rsid w:val="523D0E4F"/>
    <w:rsid w:val="525D3A91"/>
    <w:rsid w:val="52A35472"/>
    <w:rsid w:val="52A754C3"/>
    <w:rsid w:val="53063B19"/>
    <w:rsid w:val="5328385F"/>
    <w:rsid w:val="53377CC0"/>
    <w:rsid w:val="53854A95"/>
    <w:rsid w:val="53A720AE"/>
    <w:rsid w:val="53D07C6C"/>
    <w:rsid w:val="541127AE"/>
    <w:rsid w:val="542B441B"/>
    <w:rsid w:val="543A1E06"/>
    <w:rsid w:val="543A23AB"/>
    <w:rsid w:val="54422A68"/>
    <w:rsid w:val="545811F3"/>
    <w:rsid w:val="54781E2D"/>
    <w:rsid w:val="54A90FCB"/>
    <w:rsid w:val="54CB5082"/>
    <w:rsid w:val="54EB4C35"/>
    <w:rsid w:val="550A50CE"/>
    <w:rsid w:val="557F1D4D"/>
    <w:rsid w:val="55A01D3D"/>
    <w:rsid w:val="55EE2EA8"/>
    <w:rsid w:val="56115AD1"/>
    <w:rsid w:val="561F4764"/>
    <w:rsid w:val="563408DF"/>
    <w:rsid w:val="56535115"/>
    <w:rsid w:val="569A3030"/>
    <w:rsid w:val="577E5F7D"/>
    <w:rsid w:val="57C15675"/>
    <w:rsid w:val="585A1660"/>
    <w:rsid w:val="586F24D7"/>
    <w:rsid w:val="58FE7BBA"/>
    <w:rsid w:val="593D4DCE"/>
    <w:rsid w:val="59511332"/>
    <w:rsid w:val="59533DB4"/>
    <w:rsid w:val="59563DAC"/>
    <w:rsid w:val="59905F4A"/>
    <w:rsid w:val="599A64DF"/>
    <w:rsid w:val="599D5E47"/>
    <w:rsid w:val="59EC6A6D"/>
    <w:rsid w:val="5A033D79"/>
    <w:rsid w:val="5A093B18"/>
    <w:rsid w:val="5A0F736D"/>
    <w:rsid w:val="5A3B4BD8"/>
    <w:rsid w:val="5A563B74"/>
    <w:rsid w:val="5AE22FD3"/>
    <w:rsid w:val="5B0E1043"/>
    <w:rsid w:val="5B10327E"/>
    <w:rsid w:val="5B5E2DA7"/>
    <w:rsid w:val="5B8872ED"/>
    <w:rsid w:val="5BDE5985"/>
    <w:rsid w:val="5C09421F"/>
    <w:rsid w:val="5CDB111B"/>
    <w:rsid w:val="5D0B10A7"/>
    <w:rsid w:val="5D280572"/>
    <w:rsid w:val="5D737731"/>
    <w:rsid w:val="5D894A30"/>
    <w:rsid w:val="5D9F709E"/>
    <w:rsid w:val="5E05639E"/>
    <w:rsid w:val="5E352176"/>
    <w:rsid w:val="5E391380"/>
    <w:rsid w:val="5E8A5738"/>
    <w:rsid w:val="5E9B7945"/>
    <w:rsid w:val="5EDC477D"/>
    <w:rsid w:val="5F900D81"/>
    <w:rsid w:val="5FC52ECB"/>
    <w:rsid w:val="5FF67529"/>
    <w:rsid w:val="600A4D82"/>
    <w:rsid w:val="60636240"/>
    <w:rsid w:val="608B6453"/>
    <w:rsid w:val="60956CE9"/>
    <w:rsid w:val="60A64DCE"/>
    <w:rsid w:val="60AE4E6C"/>
    <w:rsid w:val="60EB0285"/>
    <w:rsid w:val="61355E2F"/>
    <w:rsid w:val="613B4117"/>
    <w:rsid w:val="613E2F72"/>
    <w:rsid w:val="619565A7"/>
    <w:rsid w:val="61A2477F"/>
    <w:rsid w:val="61CB0541"/>
    <w:rsid w:val="61F91A0A"/>
    <w:rsid w:val="62087D51"/>
    <w:rsid w:val="62720B6D"/>
    <w:rsid w:val="62AF39BF"/>
    <w:rsid w:val="62C33B99"/>
    <w:rsid w:val="62DE0AD2"/>
    <w:rsid w:val="640C55D8"/>
    <w:rsid w:val="646C44EB"/>
    <w:rsid w:val="6473719D"/>
    <w:rsid w:val="65247F7C"/>
    <w:rsid w:val="658D6FAC"/>
    <w:rsid w:val="65A67349"/>
    <w:rsid w:val="65D7580E"/>
    <w:rsid w:val="66092364"/>
    <w:rsid w:val="66246472"/>
    <w:rsid w:val="66552ACF"/>
    <w:rsid w:val="66565CCD"/>
    <w:rsid w:val="665B163A"/>
    <w:rsid w:val="667E7A65"/>
    <w:rsid w:val="66B72A3B"/>
    <w:rsid w:val="66E612EE"/>
    <w:rsid w:val="67233D00"/>
    <w:rsid w:val="682E5386"/>
    <w:rsid w:val="683B5605"/>
    <w:rsid w:val="68464DC5"/>
    <w:rsid w:val="68561AC4"/>
    <w:rsid w:val="686950D4"/>
    <w:rsid w:val="68A5514D"/>
    <w:rsid w:val="68B3402B"/>
    <w:rsid w:val="68CB4EB2"/>
    <w:rsid w:val="68FE744E"/>
    <w:rsid w:val="6A3B4D55"/>
    <w:rsid w:val="6A8678E7"/>
    <w:rsid w:val="6AA015F2"/>
    <w:rsid w:val="6AE96BAB"/>
    <w:rsid w:val="6B4C4C7E"/>
    <w:rsid w:val="6B5D4AE2"/>
    <w:rsid w:val="6B6E08BB"/>
    <w:rsid w:val="6B7C465A"/>
    <w:rsid w:val="6B8C3084"/>
    <w:rsid w:val="6BB107A8"/>
    <w:rsid w:val="6BCB6BB1"/>
    <w:rsid w:val="6BCC0792"/>
    <w:rsid w:val="6BD02406"/>
    <w:rsid w:val="6BD5313A"/>
    <w:rsid w:val="6C2076DB"/>
    <w:rsid w:val="6C2B2CE1"/>
    <w:rsid w:val="6C450EF0"/>
    <w:rsid w:val="6C4B2418"/>
    <w:rsid w:val="6C67530A"/>
    <w:rsid w:val="6C91733C"/>
    <w:rsid w:val="6CA65FA0"/>
    <w:rsid w:val="6CB17E3F"/>
    <w:rsid w:val="6CF55020"/>
    <w:rsid w:val="6D714693"/>
    <w:rsid w:val="6DEB1331"/>
    <w:rsid w:val="6DF567EC"/>
    <w:rsid w:val="6E4E077D"/>
    <w:rsid w:val="6E541814"/>
    <w:rsid w:val="6E561F09"/>
    <w:rsid w:val="6EAB7730"/>
    <w:rsid w:val="6ED16857"/>
    <w:rsid w:val="6EDF575B"/>
    <w:rsid w:val="6EE52695"/>
    <w:rsid w:val="6F424D04"/>
    <w:rsid w:val="6F552505"/>
    <w:rsid w:val="6F912373"/>
    <w:rsid w:val="6FC9455B"/>
    <w:rsid w:val="6FE43935"/>
    <w:rsid w:val="702156C6"/>
    <w:rsid w:val="704D1BB3"/>
    <w:rsid w:val="70A143A6"/>
    <w:rsid w:val="70F96E79"/>
    <w:rsid w:val="710B44B6"/>
    <w:rsid w:val="71B5386F"/>
    <w:rsid w:val="71C30AB4"/>
    <w:rsid w:val="71C342A5"/>
    <w:rsid w:val="71D074AE"/>
    <w:rsid w:val="71DB548B"/>
    <w:rsid w:val="71EC253A"/>
    <w:rsid w:val="71F652FE"/>
    <w:rsid w:val="720417BF"/>
    <w:rsid w:val="72380DCE"/>
    <w:rsid w:val="726F27D5"/>
    <w:rsid w:val="72736C84"/>
    <w:rsid w:val="72774C01"/>
    <w:rsid w:val="727D5888"/>
    <w:rsid w:val="729130E1"/>
    <w:rsid w:val="72C434E4"/>
    <w:rsid w:val="72D035A6"/>
    <w:rsid w:val="72EC6569"/>
    <w:rsid w:val="73064314"/>
    <w:rsid w:val="731544C0"/>
    <w:rsid w:val="731F41DD"/>
    <w:rsid w:val="732F3B04"/>
    <w:rsid w:val="733C4DFB"/>
    <w:rsid w:val="736275AC"/>
    <w:rsid w:val="736A08A1"/>
    <w:rsid w:val="73996ECC"/>
    <w:rsid w:val="739C7F8F"/>
    <w:rsid w:val="73B452D9"/>
    <w:rsid w:val="73CC2148"/>
    <w:rsid w:val="73CD639B"/>
    <w:rsid w:val="73E50FA4"/>
    <w:rsid w:val="740B6150"/>
    <w:rsid w:val="74363F40"/>
    <w:rsid w:val="74485068"/>
    <w:rsid w:val="74556459"/>
    <w:rsid w:val="74B20EAC"/>
    <w:rsid w:val="74CD7162"/>
    <w:rsid w:val="74E71DFA"/>
    <w:rsid w:val="75485EF4"/>
    <w:rsid w:val="754E6420"/>
    <w:rsid w:val="75862CA5"/>
    <w:rsid w:val="759C6025"/>
    <w:rsid w:val="75B415C0"/>
    <w:rsid w:val="75CB720D"/>
    <w:rsid w:val="75EA3C37"/>
    <w:rsid w:val="75F06371"/>
    <w:rsid w:val="763B0C2D"/>
    <w:rsid w:val="763D4955"/>
    <w:rsid w:val="76456B36"/>
    <w:rsid w:val="766F5A16"/>
    <w:rsid w:val="76825489"/>
    <w:rsid w:val="76B92627"/>
    <w:rsid w:val="770B5023"/>
    <w:rsid w:val="77133466"/>
    <w:rsid w:val="77314BFB"/>
    <w:rsid w:val="77D00B58"/>
    <w:rsid w:val="77E62DF7"/>
    <w:rsid w:val="78774EDF"/>
    <w:rsid w:val="787B0738"/>
    <w:rsid w:val="787F33B3"/>
    <w:rsid w:val="78EC6B6D"/>
    <w:rsid w:val="78FC33D7"/>
    <w:rsid w:val="790970F9"/>
    <w:rsid w:val="791E4632"/>
    <w:rsid w:val="7922764A"/>
    <w:rsid w:val="796E0AED"/>
    <w:rsid w:val="798219D5"/>
    <w:rsid w:val="79A50677"/>
    <w:rsid w:val="79C23A28"/>
    <w:rsid w:val="79D84853"/>
    <w:rsid w:val="7A8E48F1"/>
    <w:rsid w:val="7AB96EB4"/>
    <w:rsid w:val="7B2E5971"/>
    <w:rsid w:val="7B3E032F"/>
    <w:rsid w:val="7B7517F2"/>
    <w:rsid w:val="7B8B2DC3"/>
    <w:rsid w:val="7BB876E4"/>
    <w:rsid w:val="7BE02E34"/>
    <w:rsid w:val="7C077352"/>
    <w:rsid w:val="7C6B7C06"/>
    <w:rsid w:val="7C8B10AE"/>
    <w:rsid w:val="7CB1685A"/>
    <w:rsid w:val="7CCB1D5A"/>
    <w:rsid w:val="7CD460A4"/>
    <w:rsid w:val="7D056BA5"/>
    <w:rsid w:val="7D0C5D68"/>
    <w:rsid w:val="7D3D4F01"/>
    <w:rsid w:val="7D5E5B6B"/>
    <w:rsid w:val="7D773891"/>
    <w:rsid w:val="7D9431F6"/>
    <w:rsid w:val="7DA91DB7"/>
    <w:rsid w:val="7DD86F7C"/>
    <w:rsid w:val="7DDB3462"/>
    <w:rsid w:val="7DEB1DF5"/>
    <w:rsid w:val="7E455CCF"/>
    <w:rsid w:val="7E4A7DC2"/>
    <w:rsid w:val="7EA500E0"/>
    <w:rsid w:val="7EC65C47"/>
    <w:rsid w:val="7ECC2A41"/>
    <w:rsid w:val="7EE96104"/>
    <w:rsid w:val="7F4D7EE5"/>
    <w:rsid w:val="7F632B56"/>
    <w:rsid w:val="7F82628B"/>
    <w:rsid w:val="7F865CA2"/>
    <w:rsid w:val="7FED48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0"/>
    <w:pPr>
      <w:keepNext/>
      <w:keepLines/>
      <w:spacing w:before="120" w:after="120" w:line="416" w:lineRule="auto"/>
      <w:outlineLvl w:val="1"/>
    </w:pPr>
    <w:rPr>
      <w:rFonts w:ascii="Arial" w:hAnsi="Arial" w:eastAsia="黑体"/>
      <w:bCs/>
      <w:kern w:val="0"/>
      <w:sz w:val="32"/>
      <w:szCs w:val="32"/>
    </w:rPr>
  </w:style>
  <w:style w:type="paragraph" w:styleId="5">
    <w:name w:val="heading 3"/>
    <w:basedOn w:val="1"/>
    <w:next w:val="1"/>
    <w:link w:val="23"/>
    <w:qFormat/>
    <w:uiPriority w:val="0"/>
    <w:pPr>
      <w:keepNext/>
      <w:keepLines/>
      <w:spacing w:before="20" w:after="20" w:line="416" w:lineRule="auto"/>
      <w:outlineLvl w:val="2"/>
    </w:pPr>
    <w:rPr>
      <w:rFonts w:eastAsia="黑体"/>
      <w:bCs/>
      <w:kern w:val="0"/>
      <w:sz w:val="24"/>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firstLineChars="200"/>
    </w:pPr>
  </w:style>
  <w:style w:type="paragraph" w:styleId="7">
    <w:name w:val="annotation text"/>
    <w:basedOn w:val="1"/>
    <w:qFormat/>
    <w:uiPriority w:val="0"/>
    <w:pPr>
      <w:jc w:val="left"/>
    </w:pPr>
  </w:style>
  <w:style w:type="paragraph" w:styleId="8">
    <w:name w:val="Body Text Indent"/>
    <w:basedOn w:val="1"/>
    <w:next w:val="9"/>
    <w:qFormat/>
    <w:uiPriority w:val="0"/>
    <w:pPr>
      <w:spacing w:line="360" w:lineRule="auto"/>
      <w:ind w:firstLine="500" w:firstLineChars="200"/>
    </w:pPr>
    <w:rPr>
      <w:rFonts w:ascii="Tahoma" w:hAnsi="Tahoma" w:eastAsia="仿宋_GB2312"/>
      <w:sz w:val="24"/>
      <w:szCs w:val="20"/>
    </w:rPr>
  </w:style>
  <w:style w:type="paragraph" w:styleId="9">
    <w:name w:val="envelope return"/>
    <w:basedOn w:val="1"/>
    <w:unhideWhenUsed/>
    <w:qFormat/>
    <w:uiPriority w:val="99"/>
    <w:pPr>
      <w:snapToGrid w:val="0"/>
    </w:pPr>
    <w:rPr>
      <w:rFonts w:ascii="Arial" w:hAnsi="Arial"/>
    </w:rPr>
  </w:style>
  <w:style w:type="paragraph" w:styleId="10">
    <w:name w:val="Plain Text"/>
    <w:basedOn w:val="1"/>
    <w:qFormat/>
    <w:uiPriority w:val="0"/>
    <w:rPr>
      <w:rFonts w:ascii="宋体" w:hAnsi="Courier New"/>
      <w:szCs w:val="20"/>
    </w:rPr>
  </w:style>
  <w:style w:type="paragraph" w:styleId="11">
    <w:name w:val="Date"/>
    <w:basedOn w:val="1"/>
    <w:next w:val="1"/>
    <w:qFormat/>
    <w:uiPriority w:val="0"/>
    <w:pPr>
      <w:ind w:left="100" w:leftChars="25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Body Text First Indent 2"/>
    <w:basedOn w:val="8"/>
    <w:unhideWhenUsed/>
    <w:qFormat/>
    <w:uiPriority w:val="99"/>
    <w:pPr>
      <w:ind w:firstLine="420"/>
    </w:pPr>
  </w:style>
  <w:style w:type="character" w:styleId="19">
    <w:name w:val="Strong"/>
    <w:qFormat/>
    <w:uiPriority w:val="22"/>
    <w:rPr>
      <w:b/>
    </w:rPr>
  </w:style>
  <w:style w:type="character" w:styleId="20">
    <w:name w:val="page number"/>
    <w:qFormat/>
    <w:uiPriority w:val="0"/>
  </w:style>
  <w:style w:type="character" w:styleId="21">
    <w:name w:val="Hyperlink"/>
    <w:qFormat/>
    <w:uiPriority w:val="99"/>
    <w:rPr>
      <w:color w:val="0000FF"/>
      <w:u w:val="single"/>
    </w:rPr>
  </w:style>
  <w:style w:type="character" w:customStyle="1" w:styleId="22">
    <w:name w:val="标题 2 Char"/>
    <w:link w:val="4"/>
    <w:qFormat/>
    <w:uiPriority w:val="0"/>
    <w:rPr>
      <w:rFonts w:ascii="Arial" w:hAnsi="Arial" w:eastAsia="黑体"/>
      <w:bCs/>
      <w:sz w:val="32"/>
      <w:szCs w:val="32"/>
    </w:rPr>
  </w:style>
  <w:style w:type="character" w:customStyle="1" w:styleId="23">
    <w:name w:val="标题 3 Char"/>
    <w:link w:val="5"/>
    <w:qFormat/>
    <w:uiPriority w:val="0"/>
    <w:rPr>
      <w:rFonts w:eastAsia="黑体"/>
      <w:bCs/>
      <w:kern w:val="0"/>
      <w:sz w:val="24"/>
      <w:szCs w:val="32"/>
    </w:rPr>
  </w:style>
  <w:style w:type="paragraph" w:styleId="24">
    <w:name w:val="List Paragraph"/>
    <w:basedOn w:val="1"/>
    <w:qFormat/>
    <w:uiPriority w:val="34"/>
    <w:pPr>
      <w:ind w:firstLine="420" w:firstLineChars="200"/>
    </w:pPr>
  </w:style>
  <w:style w:type="character" w:customStyle="1" w:styleId="25">
    <w:name w:val="明显强调1"/>
    <w:qFormat/>
    <w:uiPriority w:val="0"/>
    <w:rPr>
      <w:b/>
      <w:bCs/>
      <w:i/>
      <w:iCs/>
      <w:color w:val="4F81B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2C35A6-1BE2-4DC4-9626-B21B8312CAC5}">
  <ds:schemaRefs/>
</ds:datastoreItem>
</file>

<file path=docProps/app.xml><?xml version="1.0" encoding="utf-8"?>
<Properties xmlns="http://schemas.openxmlformats.org/officeDocument/2006/extended-properties" xmlns:vt="http://schemas.openxmlformats.org/officeDocument/2006/docPropsVTypes">
  <Template>Normal</Template>
  <Company>kbs1</Company>
  <Pages>56</Pages>
  <Words>33331</Words>
  <Characters>35158</Characters>
  <Lines>272</Lines>
  <Paragraphs>76</Paragraphs>
  <TotalTime>3</TotalTime>
  <ScaleCrop>false</ScaleCrop>
  <LinksUpToDate>false</LinksUpToDate>
  <CharactersWithSpaces>36827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2021-11-17T06:22:00Z</dcterms:created>
  <dc:creator>~一只~小螃蟹~</dc:creator>
  <cp:lastModifiedBy>Nothing</cp:lastModifiedBy>
  <cp:lastPrinted>2021-11-17T06:19:00Z</cp:lastPrinted>
  <dcterms:modified xsi:type="dcterms:W3CDTF">2022-09-14T08:37:12Z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9F32DC9284C94C9BAE8E06CE0E4650EF</vt:lpwstr>
  </property>
</Properties>
</file>