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F2BD">
      <w:pPr>
        <w:adjustRightInd w:val="0"/>
        <w:snapToGrid w:val="0"/>
        <w:ind w:left="-158" w:leftChars="-75" w:right="-601" w:rightChars="-286"/>
        <w:rPr>
          <w:rFonts w:hint="eastAsia" w:ascii="宋体" w:hAnsi="宋体"/>
          <w:snapToGrid w:val="0"/>
          <w:color w:val="auto"/>
          <w:sz w:val="26"/>
          <w:szCs w:val="28"/>
          <w:highlight w:val="none"/>
        </w:rPr>
      </w:pPr>
    </w:p>
    <w:p w14:paraId="637EA3DB">
      <w:pPr>
        <w:spacing w:line="500" w:lineRule="exact"/>
        <w:jc w:val="center"/>
        <w:rPr>
          <w:rFonts w:hint="eastAsia" w:ascii="宋体" w:hAnsi="宋体"/>
          <w:b/>
          <w:color w:val="auto"/>
          <w:spacing w:val="20"/>
          <w:sz w:val="48"/>
          <w:szCs w:val="28"/>
          <w:highlight w:val="none"/>
          <w:u w:val="none"/>
          <w:lang w:val="en-US" w:eastAsia="zh-CN"/>
        </w:rPr>
      </w:pPr>
    </w:p>
    <w:p w14:paraId="4736E03A">
      <w:pPr>
        <w:jc w:val="center"/>
        <w:rPr>
          <w:rFonts w:hint="eastAsia" w:ascii="华文新魏" w:eastAsia="华文新魏"/>
          <w:b/>
          <w:color w:val="auto"/>
          <w:sz w:val="72"/>
          <w:szCs w:val="72"/>
          <w:highlight w:val="none"/>
        </w:rPr>
      </w:pPr>
      <w:r>
        <w:rPr>
          <w:rFonts w:hint="eastAsia" w:ascii="宋体" w:hAnsi="宋体"/>
          <w:b/>
          <w:color w:val="auto"/>
          <w:spacing w:val="20"/>
          <w:sz w:val="44"/>
          <w:szCs w:val="24"/>
          <w:highlight w:val="none"/>
          <w:u w:val="none"/>
          <w:lang w:val="en-US" w:eastAsia="zh-CN"/>
        </w:rPr>
        <w:t>南通产业新城厂房厨房设备采购项目</w:t>
      </w:r>
    </w:p>
    <w:p w14:paraId="6ED17646">
      <w:pPr>
        <w:pStyle w:val="18"/>
        <w:ind w:left="0" w:leftChars="0" w:firstLine="0" w:firstLineChars="0"/>
        <w:rPr>
          <w:rFonts w:hint="eastAsia" w:ascii="华文新魏" w:eastAsia="华文新魏"/>
          <w:b/>
          <w:color w:val="auto"/>
          <w:sz w:val="100"/>
          <w:szCs w:val="100"/>
          <w:highlight w:val="none"/>
        </w:rPr>
      </w:pPr>
    </w:p>
    <w:p w14:paraId="7862C6F7">
      <w:pPr>
        <w:pStyle w:val="18"/>
        <w:rPr>
          <w:rFonts w:hint="eastAsia" w:ascii="华文新魏" w:eastAsia="华文新魏"/>
          <w:b/>
          <w:color w:val="auto"/>
          <w:sz w:val="100"/>
          <w:szCs w:val="100"/>
          <w:highlight w:val="none"/>
        </w:rPr>
      </w:pPr>
    </w:p>
    <w:p w14:paraId="685DD729">
      <w:pPr>
        <w:jc w:val="center"/>
        <w:rPr>
          <w:rFonts w:hint="eastAsia" w:ascii="华文新魏" w:eastAsia="华文新魏"/>
          <w:b/>
          <w:color w:val="auto"/>
          <w:sz w:val="100"/>
          <w:szCs w:val="100"/>
          <w:highlight w:val="none"/>
        </w:rPr>
      </w:pPr>
      <w:r>
        <w:rPr>
          <w:rFonts w:hint="eastAsia" w:ascii="华文新魏" w:eastAsia="华文新魏"/>
          <w:b/>
          <w:color w:val="auto"/>
          <w:sz w:val="100"/>
          <w:szCs w:val="100"/>
          <w:highlight w:val="none"/>
        </w:rPr>
        <w:t>招标文件</w:t>
      </w:r>
    </w:p>
    <w:p w14:paraId="7EA0FFCE">
      <w:pPr>
        <w:rPr>
          <w:rFonts w:hint="eastAsia"/>
          <w:color w:val="auto"/>
          <w:highlight w:val="none"/>
        </w:rPr>
      </w:pPr>
    </w:p>
    <w:p w14:paraId="28B362ED">
      <w:pPr>
        <w:spacing w:line="500" w:lineRule="exact"/>
        <w:jc w:val="center"/>
        <w:rPr>
          <w:rFonts w:hint="eastAsia" w:ascii="宋体" w:hAnsi="宋体" w:eastAsia="宋体" w:cs="宋体"/>
          <w:b/>
          <w:color w:val="auto"/>
          <w:sz w:val="36"/>
          <w:highlight w:val="none"/>
          <w:lang w:val="en-US" w:eastAsia="zh-CN"/>
        </w:rPr>
      </w:pPr>
    </w:p>
    <w:p w14:paraId="634F8017">
      <w:pPr>
        <w:pStyle w:val="26"/>
        <w:rPr>
          <w:rFonts w:hint="eastAsia"/>
          <w:color w:val="auto"/>
          <w:highlight w:val="none"/>
        </w:rPr>
      </w:pPr>
    </w:p>
    <w:p w14:paraId="00D5F3DB">
      <w:pPr>
        <w:rPr>
          <w:rFonts w:hint="eastAsia"/>
          <w:color w:val="auto"/>
          <w:highlight w:val="none"/>
        </w:rPr>
      </w:pPr>
    </w:p>
    <w:p w14:paraId="787B7479">
      <w:pPr>
        <w:spacing w:line="500" w:lineRule="exact"/>
        <w:jc w:val="center"/>
        <w:rPr>
          <w:rFonts w:hint="eastAsia" w:ascii="仿宋_GB2312" w:eastAsia="仿宋_GB2312"/>
          <w:b/>
          <w:color w:val="auto"/>
          <w:sz w:val="36"/>
          <w:highlight w:val="none"/>
        </w:rPr>
      </w:pPr>
    </w:p>
    <w:p w14:paraId="55E6DB04">
      <w:pPr>
        <w:spacing w:line="500" w:lineRule="exact"/>
        <w:jc w:val="center"/>
        <w:rPr>
          <w:rFonts w:hint="eastAsia" w:ascii="仿宋_GB2312" w:eastAsia="仿宋_GB2312"/>
          <w:b/>
          <w:color w:val="auto"/>
          <w:sz w:val="36"/>
          <w:highlight w:val="none"/>
        </w:rPr>
      </w:pPr>
    </w:p>
    <w:p w14:paraId="2830DF15">
      <w:pPr>
        <w:pStyle w:val="18"/>
        <w:rPr>
          <w:rFonts w:hint="eastAsia"/>
          <w:color w:val="auto"/>
          <w:highlight w:val="none"/>
        </w:rPr>
      </w:pPr>
    </w:p>
    <w:p w14:paraId="6EDADA58">
      <w:pPr>
        <w:spacing w:line="500" w:lineRule="exact"/>
        <w:rPr>
          <w:rFonts w:hint="eastAsia" w:ascii="仿宋_GB2312" w:eastAsia="仿宋_GB2312"/>
          <w:color w:val="auto"/>
          <w:highlight w:val="none"/>
        </w:rPr>
      </w:pPr>
    </w:p>
    <w:p w14:paraId="0EB39B39">
      <w:pPr>
        <w:spacing w:line="500" w:lineRule="exact"/>
        <w:jc w:val="center"/>
        <w:rPr>
          <w:rFonts w:hint="eastAsia" w:ascii="仿宋_GB2312" w:eastAsia="仿宋_GB2312"/>
          <w:color w:val="auto"/>
          <w:sz w:val="32"/>
          <w:highlight w:val="none"/>
        </w:rPr>
      </w:pPr>
    </w:p>
    <w:p w14:paraId="0847B19A">
      <w:pPr>
        <w:spacing w:line="500" w:lineRule="exact"/>
        <w:ind w:firstLine="1920" w:firstLineChars="600"/>
        <w:jc w:val="left"/>
        <w:rPr>
          <w:rFonts w:hint="eastAsia" w:ascii="宋体" w:hAnsi="宋体"/>
          <w:color w:val="auto"/>
          <w:spacing w:val="20"/>
          <w:sz w:val="28"/>
          <w:szCs w:val="28"/>
          <w:highlight w:val="none"/>
        </w:rPr>
      </w:pPr>
    </w:p>
    <w:p w14:paraId="6DF26A67">
      <w:pPr>
        <w:spacing w:line="500" w:lineRule="exact"/>
        <w:ind w:firstLine="1920" w:firstLineChars="600"/>
        <w:jc w:val="left"/>
        <w:rPr>
          <w:rFonts w:hint="eastAsia" w:ascii="宋体" w:hAnsi="宋体"/>
          <w:color w:val="auto"/>
          <w:spacing w:val="20"/>
          <w:sz w:val="28"/>
          <w:szCs w:val="28"/>
          <w:highlight w:val="none"/>
        </w:rPr>
      </w:pPr>
    </w:p>
    <w:p w14:paraId="469C853D">
      <w:pPr>
        <w:spacing w:line="500" w:lineRule="exact"/>
        <w:ind w:firstLine="1920" w:firstLineChars="600"/>
        <w:jc w:val="left"/>
        <w:rPr>
          <w:rFonts w:hint="default" w:ascii="宋体" w:hAnsi="宋体" w:eastAsia="宋体"/>
          <w:color w:val="auto"/>
          <w:spacing w:val="20"/>
          <w:sz w:val="28"/>
          <w:szCs w:val="28"/>
          <w:highlight w:val="none"/>
          <w:lang w:val="en-US"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en-US" w:eastAsia="zh-CN"/>
        </w:rPr>
        <w:t xml:space="preserve">天生产业新城南通有限公司 </w:t>
      </w:r>
    </w:p>
    <w:p w14:paraId="71703505">
      <w:pPr>
        <w:spacing w:line="500" w:lineRule="exact"/>
        <w:ind w:firstLine="1920" w:firstLineChars="600"/>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14:paraId="26277533">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lang w:val="en-US" w:eastAsia="zh-CN"/>
        </w:rPr>
        <w:t>日    期</w:t>
      </w:r>
      <w:r>
        <w:rPr>
          <w:rFonts w:hint="eastAsia" w:ascii="宋体" w:hAnsi="宋体"/>
          <w:color w:val="auto"/>
          <w:spacing w:val="20"/>
          <w:sz w:val="28"/>
          <w:szCs w:val="28"/>
          <w:highlight w:val="none"/>
          <w:u w:val="single"/>
        </w:rPr>
        <w:t>：二〇二</w:t>
      </w:r>
      <w:r>
        <w:rPr>
          <w:rFonts w:hint="eastAsia" w:ascii="宋体" w:hAnsi="宋体"/>
          <w:color w:val="auto"/>
          <w:spacing w:val="20"/>
          <w:sz w:val="28"/>
          <w:szCs w:val="28"/>
          <w:highlight w:val="none"/>
          <w:u w:val="single"/>
          <w:lang w:val="en-US" w:eastAsia="zh-CN"/>
        </w:rPr>
        <w:t>五</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九</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二</w:t>
      </w:r>
      <w:r>
        <w:rPr>
          <w:rFonts w:hint="eastAsia" w:ascii="宋体" w:hAnsi="宋体"/>
          <w:color w:val="auto"/>
          <w:spacing w:val="20"/>
          <w:sz w:val="28"/>
          <w:szCs w:val="28"/>
          <w:highlight w:val="none"/>
          <w:u w:val="single"/>
        </w:rPr>
        <w:t>日</w:t>
      </w:r>
    </w:p>
    <w:p w14:paraId="65563B7C">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19572FD0">
      <w:pPr>
        <w:spacing w:line="500" w:lineRule="exact"/>
        <w:jc w:val="center"/>
        <w:rPr>
          <w:rFonts w:hint="eastAsia" w:ascii="宋体" w:hAnsi="宋体"/>
          <w:color w:val="auto"/>
          <w:sz w:val="44"/>
          <w:highlight w:val="none"/>
        </w:rPr>
      </w:pPr>
    </w:p>
    <w:p w14:paraId="790893BA">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第一部分  招标公告</w:t>
      </w:r>
    </w:p>
    <w:p w14:paraId="7AC5F854">
      <w:pPr>
        <w:tabs>
          <w:tab w:val="left" w:pos="7740"/>
        </w:tabs>
        <w:spacing w:line="500" w:lineRule="exact"/>
        <w:rPr>
          <w:rFonts w:hint="eastAsia" w:ascii="宋体" w:hAnsi="宋体"/>
          <w:color w:val="auto"/>
          <w:sz w:val="32"/>
          <w:szCs w:val="32"/>
          <w:highlight w:val="none"/>
        </w:rPr>
      </w:pPr>
    </w:p>
    <w:p w14:paraId="5C322FD4">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第二部分  投标须知</w:t>
      </w:r>
    </w:p>
    <w:p w14:paraId="1D7DAD5A">
      <w:pPr>
        <w:spacing w:line="500" w:lineRule="exact"/>
        <w:rPr>
          <w:rFonts w:hint="eastAsia" w:ascii="宋体" w:hAnsi="宋体"/>
          <w:color w:val="auto"/>
          <w:sz w:val="32"/>
          <w:szCs w:val="32"/>
          <w:highlight w:val="none"/>
        </w:rPr>
      </w:pPr>
    </w:p>
    <w:p w14:paraId="5D72D3D6">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第三部分  项目需求说明</w:t>
      </w:r>
    </w:p>
    <w:p w14:paraId="1A41538F">
      <w:pPr>
        <w:pStyle w:val="8"/>
        <w:tabs>
          <w:tab w:val="left" w:pos="7740"/>
          <w:tab w:val="left" w:pos="7920"/>
        </w:tabs>
        <w:spacing w:line="500" w:lineRule="exact"/>
        <w:ind w:left="0"/>
        <w:rPr>
          <w:rFonts w:hint="eastAsia" w:ascii="宋体" w:hAnsi="宋体" w:eastAsia="宋体"/>
          <w:color w:val="auto"/>
          <w:sz w:val="32"/>
          <w:szCs w:val="32"/>
          <w:highlight w:val="none"/>
        </w:rPr>
      </w:pPr>
    </w:p>
    <w:p w14:paraId="11E12AE9">
      <w:pPr>
        <w:tabs>
          <w:tab w:val="left" w:pos="7740"/>
        </w:tabs>
        <w:spacing w:line="500" w:lineRule="exact"/>
        <w:rPr>
          <w:rFonts w:hint="eastAsia" w:ascii="宋体" w:hAnsi="宋体"/>
          <w:color w:val="auto"/>
          <w:spacing w:val="2"/>
          <w:sz w:val="32"/>
          <w:szCs w:val="32"/>
          <w:highlight w:val="none"/>
        </w:rPr>
      </w:pPr>
      <w:r>
        <w:rPr>
          <w:rFonts w:hint="eastAsia" w:ascii="宋体" w:hAnsi="宋体"/>
          <w:color w:val="auto"/>
          <w:sz w:val="32"/>
          <w:szCs w:val="32"/>
          <w:highlight w:val="none"/>
        </w:rPr>
        <w:t xml:space="preserve">第四部分  </w:t>
      </w:r>
      <w:r>
        <w:rPr>
          <w:rFonts w:hint="eastAsia" w:ascii="宋体" w:hAnsi="宋体"/>
          <w:bCs/>
          <w:color w:val="auto"/>
          <w:sz w:val="32"/>
          <w:szCs w:val="32"/>
          <w:highlight w:val="none"/>
        </w:rPr>
        <w:t>开标和评标</w:t>
      </w:r>
    </w:p>
    <w:p w14:paraId="6FE56F3C">
      <w:pPr>
        <w:spacing w:line="500" w:lineRule="exact"/>
        <w:rPr>
          <w:rFonts w:hint="eastAsia" w:ascii="宋体" w:hAnsi="宋体"/>
          <w:color w:val="auto"/>
          <w:sz w:val="32"/>
          <w:szCs w:val="32"/>
          <w:highlight w:val="none"/>
        </w:rPr>
      </w:pPr>
    </w:p>
    <w:p w14:paraId="4EA622E1">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第五部分  合同签订与验收付款</w:t>
      </w:r>
    </w:p>
    <w:p w14:paraId="261AA629">
      <w:pPr>
        <w:spacing w:line="500" w:lineRule="exact"/>
        <w:rPr>
          <w:rFonts w:hint="eastAsia" w:ascii="宋体" w:hAnsi="宋体"/>
          <w:color w:val="auto"/>
          <w:sz w:val="32"/>
          <w:szCs w:val="32"/>
          <w:highlight w:val="none"/>
        </w:rPr>
      </w:pPr>
    </w:p>
    <w:p w14:paraId="47570B37">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第六部分  质疑提出和处理</w:t>
      </w:r>
    </w:p>
    <w:p w14:paraId="381CAB8F">
      <w:pPr>
        <w:spacing w:line="500" w:lineRule="exact"/>
        <w:rPr>
          <w:rFonts w:hint="eastAsia" w:ascii="宋体" w:hAnsi="宋体"/>
          <w:color w:val="auto"/>
          <w:sz w:val="32"/>
          <w:szCs w:val="32"/>
          <w:highlight w:val="none"/>
        </w:rPr>
      </w:pPr>
    </w:p>
    <w:p w14:paraId="01CEAD96">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第七部分  投标文件组成</w:t>
      </w:r>
    </w:p>
    <w:p w14:paraId="04338D5E">
      <w:pPr>
        <w:spacing w:line="500" w:lineRule="exact"/>
        <w:rPr>
          <w:rFonts w:hint="eastAsia" w:ascii="楷体_GB2312" w:eastAsia="楷体_GB2312"/>
          <w:b/>
          <w:color w:val="auto"/>
          <w:sz w:val="32"/>
          <w:szCs w:val="32"/>
          <w:highlight w:val="none"/>
        </w:rPr>
      </w:pPr>
    </w:p>
    <w:p w14:paraId="0CBC42CB">
      <w:pPr>
        <w:tabs>
          <w:tab w:val="left" w:pos="7740"/>
        </w:tabs>
        <w:spacing w:line="500" w:lineRule="exact"/>
        <w:rPr>
          <w:rFonts w:hint="eastAsia" w:ascii="楷体_GB2312" w:eastAsia="楷体_GB2312"/>
          <w:b/>
          <w:color w:val="auto"/>
          <w:spacing w:val="2"/>
          <w:sz w:val="32"/>
          <w:szCs w:val="32"/>
          <w:highlight w:val="none"/>
        </w:rPr>
      </w:pPr>
    </w:p>
    <w:p w14:paraId="72DA52DF">
      <w:pPr>
        <w:tabs>
          <w:tab w:val="left" w:pos="7740"/>
        </w:tabs>
        <w:spacing w:line="500" w:lineRule="exact"/>
        <w:rPr>
          <w:rFonts w:hint="eastAsia" w:ascii="楷体_GB2312" w:eastAsia="楷体_GB2312"/>
          <w:b/>
          <w:color w:val="auto"/>
          <w:spacing w:val="2"/>
          <w:sz w:val="32"/>
          <w:szCs w:val="32"/>
          <w:highlight w:val="none"/>
        </w:rPr>
      </w:pPr>
    </w:p>
    <w:p w14:paraId="218D3E2B">
      <w:pPr>
        <w:tabs>
          <w:tab w:val="left" w:pos="7740"/>
        </w:tabs>
        <w:spacing w:line="500" w:lineRule="exact"/>
        <w:rPr>
          <w:rFonts w:hint="eastAsia" w:ascii="楷体_GB2312" w:eastAsia="楷体_GB2312"/>
          <w:b/>
          <w:bCs/>
          <w:color w:val="auto"/>
          <w:sz w:val="32"/>
          <w:szCs w:val="32"/>
          <w:highlight w:val="none"/>
        </w:rPr>
      </w:pPr>
    </w:p>
    <w:p w14:paraId="05C5D815">
      <w:pPr>
        <w:spacing w:line="500" w:lineRule="exact"/>
        <w:outlineLvl w:val="0"/>
        <w:rPr>
          <w:rFonts w:hint="eastAsia" w:ascii="楷体_GB2312" w:hAnsi="宋体" w:eastAsia="楷体_GB2312"/>
          <w:b/>
          <w:color w:val="auto"/>
          <w:sz w:val="44"/>
          <w:szCs w:val="44"/>
          <w:highlight w:val="none"/>
        </w:rPr>
      </w:pPr>
    </w:p>
    <w:p w14:paraId="6BD8F424">
      <w:pPr>
        <w:spacing w:line="500" w:lineRule="exact"/>
        <w:outlineLvl w:val="0"/>
        <w:rPr>
          <w:rFonts w:hint="eastAsia" w:ascii="仿宋_GB2312" w:hAnsi="宋体" w:eastAsia="仿宋_GB2312"/>
          <w:color w:val="auto"/>
          <w:sz w:val="44"/>
          <w:szCs w:val="44"/>
          <w:highlight w:val="none"/>
        </w:rPr>
      </w:pPr>
    </w:p>
    <w:p w14:paraId="0261B377">
      <w:pPr>
        <w:spacing w:line="500" w:lineRule="exact"/>
        <w:outlineLvl w:val="0"/>
        <w:rPr>
          <w:rFonts w:hint="eastAsia" w:ascii="仿宋_GB2312" w:hAnsi="宋体" w:eastAsia="仿宋_GB2312"/>
          <w:color w:val="auto"/>
          <w:sz w:val="44"/>
          <w:szCs w:val="44"/>
          <w:highlight w:val="none"/>
        </w:rPr>
      </w:pPr>
    </w:p>
    <w:p w14:paraId="60B06BF7">
      <w:pPr>
        <w:spacing w:line="500" w:lineRule="exact"/>
        <w:outlineLvl w:val="0"/>
        <w:rPr>
          <w:rFonts w:hint="eastAsia" w:ascii="仿宋_GB2312" w:hAnsi="宋体" w:eastAsia="仿宋_GB2312"/>
          <w:color w:val="auto"/>
          <w:sz w:val="44"/>
          <w:szCs w:val="44"/>
          <w:highlight w:val="none"/>
        </w:rPr>
      </w:pPr>
    </w:p>
    <w:p w14:paraId="3BF46DC4">
      <w:pPr>
        <w:spacing w:line="500" w:lineRule="exact"/>
        <w:outlineLvl w:val="0"/>
        <w:rPr>
          <w:rFonts w:hint="eastAsia" w:ascii="仿宋_GB2312" w:hAnsi="宋体" w:eastAsia="仿宋_GB2312"/>
          <w:color w:val="auto"/>
          <w:sz w:val="44"/>
          <w:szCs w:val="44"/>
          <w:highlight w:val="none"/>
        </w:rPr>
      </w:pPr>
    </w:p>
    <w:p w14:paraId="4150C676">
      <w:pPr>
        <w:spacing w:line="500" w:lineRule="exact"/>
        <w:outlineLvl w:val="0"/>
        <w:rPr>
          <w:rFonts w:hint="eastAsia" w:ascii="仿宋_GB2312" w:hAnsi="宋体" w:eastAsia="仿宋_GB2312"/>
          <w:color w:val="auto"/>
          <w:sz w:val="44"/>
          <w:szCs w:val="44"/>
          <w:highlight w:val="none"/>
        </w:rPr>
      </w:pPr>
    </w:p>
    <w:p w14:paraId="382120DE">
      <w:pPr>
        <w:spacing w:line="500" w:lineRule="exact"/>
        <w:outlineLvl w:val="0"/>
        <w:rPr>
          <w:rFonts w:hint="eastAsia" w:ascii="仿宋_GB2312" w:hAnsi="宋体" w:eastAsia="仿宋_GB2312"/>
          <w:color w:val="auto"/>
          <w:sz w:val="44"/>
          <w:szCs w:val="44"/>
          <w:highlight w:val="none"/>
        </w:rPr>
      </w:pPr>
    </w:p>
    <w:p w14:paraId="15FACC85">
      <w:pPr>
        <w:snapToGrid w:val="0"/>
        <w:spacing w:line="300" w:lineRule="auto"/>
        <w:jc w:val="center"/>
        <w:outlineLvl w:val="0"/>
        <w:rPr>
          <w:rFonts w:hint="eastAsia" w:ascii="宋体" w:hAnsi="宋体"/>
          <w:b/>
          <w:color w:val="auto"/>
          <w:sz w:val="36"/>
          <w:szCs w:val="36"/>
          <w:highlight w:val="none"/>
        </w:rPr>
        <w:sectPr>
          <w:footerReference r:id="rId3"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p>
    <w:p w14:paraId="02DBC8C7">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7"/>
      <w:bookmarkStart w:id="1" w:name="OLE_LINK5"/>
      <w:r>
        <w:rPr>
          <w:rFonts w:hint="eastAsia" w:ascii="宋体" w:hAnsi="宋体"/>
          <w:b/>
          <w:color w:val="auto"/>
          <w:sz w:val="36"/>
          <w:szCs w:val="36"/>
          <w:highlight w:val="none"/>
        </w:rPr>
        <w:t>招标公告</w:t>
      </w:r>
    </w:p>
    <w:bookmarkEnd w:id="0"/>
    <w:bookmarkEnd w:id="1"/>
    <w:p w14:paraId="65C9F6E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江苏海审工程咨询有限公司</w:t>
      </w:r>
      <w:r>
        <w:rPr>
          <w:rFonts w:hint="eastAsia" w:ascii="宋体" w:hAnsi="宋体" w:eastAsia="宋体" w:cs="宋体"/>
          <w:bCs/>
          <w:color w:val="auto"/>
          <w:sz w:val="22"/>
          <w:szCs w:val="22"/>
          <w:highlight w:val="none"/>
        </w:rPr>
        <w:t>（以下称招标代理机构）受</w:t>
      </w:r>
      <w:r>
        <w:rPr>
          <w:rFonts w:hint="eastAsia" w:ascii="宋体" w:hAnsi="宋体" w:cs="宋体"/>
          <w:bCs/>
          <w:color w:val="auto"/>
          <w:sz w:val="22"/>
          <w:szCs w:val="22"/>
          <w:highlight w:val="none"/>
          <w:u w:val="single"/>
          <w:lang w:val="en-US" w:eastAsia="zh-CN"/>
        </w:rPr>
        <w:t>天生产业新城南通有限公司</w:t>
      </w:r>
      <w:r>
        <w:rPr>
          <w:rFonts w:hint="eastAsia" w:ascii="宋体" w:hAnsi="宋体" w:eastAsia="宋体" w:cs="宋体"/>
          <w:bCs/>
          <w:color w:val="auto"/>
          <w:sz w:val="22"/>
          <w:szCs w:val="22"/>
          <w:highlight w:val="none"/>
        </w:rPr>
        <w:t>的委托，就</w:t>
      </w:r>
      <w:r>
        <w:rPr>
          <w:rFonts w:hint="eastAsia" w:ascii="宋体" w:hAnsi="宋体" w:cs="宋体"/>
          <w:bCs/>
          <w:color w:val="auto"/>
          <w:sz w:val="22"/>
          <w:szCs w:val="22"/>
          <w:highlight w:val="none"/>
          <w:u w:val="single"/>
          <w:lang w:eastAsia="zh-CN"/>
        </w:rPr>
        <w:t>南通产业新城厂房厨房设备采购项目</w:t>
      </w:r>
      <w:r>
        <w:rPr>
          <w:rFonts w:hint="eastAsia" w:ascii="宋体" w:hAnsi="宋体" w:eastAsia="宋体" w:cs="宋体"/>
          <w:bCs/>
          <w:color w:val="auto"/>
          <w:sz w:val="22"/>
          <w:szCs w:val="22"/>
          <w:highlight w:val="none"/>
        </w:rPr>
        <w:t>拟用公开招标方式组织采购。现公告如下：</w:t>
      </w:r>
    </w:p>
    <w:p w14:paraId="72932588">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一、项目基本情况</w:t>
      </w:r>
    </w:p>
    <w:p w14:paraId="69EDD04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南通产业新城厂房厨房设备采购项目</w:t>
      </w:r>
    </w:p>
    <w:p w14:paraId="232460E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最高限价：</w:t>
      </w:r>
      <w:r>
        <w:rPr>
          <w:rFonts w:hint="eastAsia" w:ascii="宋体" w:hAnsi="宋体" w:cs="宋体"/>
          <w:b/>
          <w:bCs/>
          <w:color w:val="auto"/>
          <w:sz w:val="22"/>
          <w:szCs w:val="22"/>
          <w:highlight w:val="none"/>
          <w:u w:val="single"/>
          <w:lang w:val="en-US" w:eastAsia="zh-CN"/>
        </w:rPr>
        <w:t xml:space="preserve"> 31.8267万</w:t>
      </w:r>
      <w:r>
        <w:rPr>
          <w:rFonts w:hint="eastAsia" w:ascii="宋体" w:hAnsi="宋体" w:eastAsia="宋体" w:cs="宋体"/>
          <w:b/>
          <w:bCs/>
          <w:color w:val="auto"/>
          <w:sz w:val="22"/>
          <w:szCs w:val="22"/>
          <w:highlight w:val="none"/>
          <w:u w:val="none"/>
        </w:rPr>
        <w:t>元</w:t>
      </w:r>
      <w:r>
        <w:rPr>
          <w:rFonts w:hint="eastAsia" w:ascii="宋体" w:hAnsi="宋体" w:eastAsia="宋体" w:cs="宋体"/>
          <w:b/>
          <w:bCs/>
          <w:color w:val="auto"/>
          <w:sz w:val="22"/>
          <w:szCs w:val="22"/>
          <w:highlight w:val="none"/>
        </w:rPr>
        <w:t>。</w:t>
      </w:r>
    </w:p>
    <w:p w14:paraId="173EAFA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采购需求：</w:t>
      </w:r>
      <w:r>
        <w:rPr>
          <w:rFonts w:hint="eastAsia" w:ascii="宋体" w:hAnsi="宋体" w:cs="宋体"/>
          <w:color w:val="auto"/>
          <w:sz w:val="22"/>
          <w:szCs w:val="22"/>
          <w:highlight w:val="none"/>
          <w:lang w:val="en-US" w:eastAsia="zh-CN"/>
        </w:rPr>
        <w:t>具体内容详见招标文件第三章项目需求。</w:t>
      </w:r>
    </w:p>
    <w:p w14:paraId="11274BF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4.合同履行期限：具体内容详见招标文件第三章项目需求。</w:t>
      </w:r>
    </w:p>
    <w:p w14:paraId="3162773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本项目</w:t>
      </w:r>
      <w:r>
        <w:rPr>
          <w:rFonts w:hint="eastAsia" w:ascii="宋体" w:hAnsi="宋体" w:eastAsia="宋体" w:cs="宋体"/>
          <w:b/>
          <w:bCs/>
          <w:color w:val="auto"/>
          <w:sz w:val="22"/>
          <w:szCs w:val="22"/>
          <w:highlight w:val="none"/>
          <w:u w:val="single"/>
        </w:rPr>
        <w:t>不接受</w:t>
      </w:r>
      <w:r>
        <w:rPr>
          <w:rFonts w:hint="eastAsia" w:ascii="宋体" w:hAnsi="宋体" w:eastAsia="宋体" w:cs="宋体"/>
          <w:color w:val="auto"/>
          <w:sz w:val="22"/>
          <w:szCs w:val="22"/>
          <w:highlight w:val="none"/>
        </w:rPr>
        <w:t>联合体投标。</w:t>
      </w:r>
    </w:p>
    <w:p w14:paraId="6A09865E">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二、申请人的资格要求：</w:t>
      </w:r>
    </w:p>
    <w:p w14:paraId="3F80CF5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须为在中华人民共和国境内注册，具有独立承担民事责任能力的主体；具有良好的商业信誉和健全的财务会计制度；具有履行合同所必需的设备和专业技术能力；有依法缴纳税收和社会保障资金的良好记录；参加采购活动前三年内，在经营活动中没有重大违法记录；</w:t>
      </w:r>
    </w:p>
    <w:p w14:paraId="689C265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2.未被“信用中国”网站（www.creditchina.gov.cn）列入失信被执行人、重大税收违法案件当事人名单；</w:t>
      </w:r>
    </w:p>
    <w:p w14:paraId="40207D1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4D80D66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本项目的特定资格要求：</w:t>
      </w:r>
      <w:r>
        <w:rPr>
          <w:rFonts w:hint="eastAsia" w:ascii="宋体" w:hAnsi="宋体" w:eastAsia="宋体" w:cs="宋体"/>
          <w:color w:val="auto"/>
          <w:sz w:val="22"/>
          <w:szCs w:val="22"/>
          <w:highlight w:val="none"/>
          <w:lang w:val="en-US" w:eastAsia="zh-CN"/>
        </w:rPr>
        <w:t>无</w:t>
      </w:r>
    </w:p>
    <w:p w14:paraId="050A0731">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三、获取招标文件</w:t>
      </w:r>
    </w:p>
    <w:p w14:paraId="25DD7B8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ascii="宋体" w:hAnsi="宋体" w:eastAsia="宋体" w:cs="宋体"/>
          <w:b/>
          <w:bCs/>
          <w:color w:val="auto"/>
          <w:sz w:val="22"/>
          <w:szCs w:val="22"/>
          <w:highlight w:val="none"/>
          <w:u w:val="none"/>
        </w:rPr>
        <w:t>自公告发布之日起5个工作日</w:t>
      </w:r>
      <w:r>
        <w:rPr>
          <w:rFonts w:hint="eastAsia" w:ascii="宋体" w:hAnsi="宋体" w:eastAsia="宋体" w:cs="宋体"/>
          <w:color w:val="auto"/>
          <w:sz w:val="22"/>
          <w:szCs w:val="22"/>
          <w:highlight w:val="none"/>
        </w:rPr>
        <w:t>。</w:t>
      </w:r>
    </w:p>
    <w:p w14:paraId="5F39B68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rPr>
        <w:t>地点：</w:t>
      </w:r>
      <w:r>
        <w:rPr>
          <w:rFonts w:hint="eastAsia" w:ascii="宋体" w:hAnsi="宋体" w:cs="宋体"/>
          <w:bCs/>
          <w:color w:val="auto"/>
          <w:sz w:val="22"/>
          <w:szCs w:val="22"/>
          <w:highlight w:val="none"/>
          <w:lang w:eastAsia="zh-CN"/>
        </w:rPr>
        <w:t>崇川区人民政府网—公示公告栏</w:t>
      </w:r>
      <w:bookmarkStart w:id="7" w:name="_GoBack"/>
      <w:bookmarkEnd w:id="7"/>
    </w:p>
    <w:p w14:paraId="4962855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方式：自行下载</w:t>
      </w:r>
    </w:p>
    <w:p w14:paraId="2B367BE1">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四、提交投标文件截止时间、开标时间和地点</w:t>
      </w:r>
    </w:p>
    <w:p w14:paraId="7529959B">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0000F5"/>
          <w:sz w:val="22"/>
          <w:szCs w:val="22"/>
          <w:highlight w:val="none"/>
          <w:u w:val="single"/>
          <w:lang w:val="en-US" w:eastAsia="zh-CN"/>
        </w:rPr>
        <w:t>2025年9</w:t>
      </w:r>
      <w:r>
        <w:rPr>
          <w:rFonts w:hint="eastAsia" w:ascii="宋体" w:hAnsi="宋体" w:eastAsia="宋体" w:cs="宋体"/>
          <w:b/>
          <w:bCs/>
          <w:color w:val="0000F5"/>
          <w:sz w:val="22"/>
          <w:szCs w:val="22"/>
          <w:highlight w:val="none"/>
          <w:u w:val="single"/>
        </w:rPr>
        <w:t>月</w:t>
      </w:r>
      <w:r>
        <w:rPr>
          <w:rFonts w:hint="eastAsia" w:ascii="宋体" w:hAnsi="宋体" w:cs="宋体"/>
          <w:b/>
          <w:bCs/>
          <w:color w:val="0000F5"/>
          <w:sz w:val="22"/>
          <w:szCs w:val="22"/>
          <w:highlight w:val="none"/>
          <w:u w:val="single"/>
          <w:lang w:val="en-US" w:eastAsia="zh-CN"/>
        </w:rPr>
        <w:t>24</w:t>
      </w:r>
      <w:r>
        <w:rPr>
          <w:rFonts w:hint="eastAsia" w:ascii="宋体" w:hAnsi="宋体" w:eastAsia="宋体" w:cs="宋体"/>
          <w:b/>
          <w:bCs/>
          <w:color w:val="0000F5"/>
          <w:sz w:val="22"/>
          <w:szCs w:val="22"/>
          <w:highlight w:val="none"/>
          <w:u w:val="single"/>
        </w:rPr>
        <w:t>日</w:t>
      </w:r>
      <w:r>
        <w:rPr>
          <w:rFonts w:hint="eastAsia" w:ascii="宋体" w:hAnsi="宋体" w:cs="宋体"/>
          <w:b/>
          <w:bCs/>
          <w:color w:val="0000F5"/>
          <w:sz w:val="22"/>
          <w:szCs w:val="22"/>
          <w:highlight w:val="none"/>
          <w:u w:val="single"/>
          <w:lang w:val="en-US" w:eastAsia="zh-CN"/>
        </w:rPr>
        <w:t>14时30分00秒</w:t>
      </w:r>
      <w:r>
        <w:rPr>
          <w:rFonts w:hint="eastAsia" w:ascii="宋体" w:hAnsi="宋体" w:eastAsia="宋体" w:cs="宋体"/>
          <w:b/>
          <w:bCs/>
          <w:color w:val="auto"/>
          <w:sz w:val="22"/>
          <w:szCs w:val="22"/>
          <w:highlight w:val="none"/>
        </w:rPr>
        <w:t>（北京时间），逾时拒绝接收投标响应文件。</w:t>
      </w:r>
    </w:p>
    <w:p w14:paraId="16442763">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地点：</w:t>
      </w:r>
      <w:r>
        <w:rPr>
          <w:rFonts w:hint="eastAsia" w:ascii="宋体" w:hAnsi="宋体" w:cs="宋体"/>
          <w:b/>
          <w:bCs/>
          <w:color w:val="0000F5"/>
          <w:sz w:val="22"/>
          <w:szCs w:val="22"/>
          <w:highlight w:val="none"/>
          <w:u w:val="single"/>
          <w:lang w:val="en-US" w:eastAsia="zh-CN"/>
        </w:rPr>
        <w:t>南通市崇川区崇川路1号南通市崇川国有资产投资发展有限公司109会议室</w:t>
      </w:r>
      <w:r>
        <w:rPr>
          <w:rFonts w:hint="eastAsia" w:ascii="宋体" w:hAnsi="宋体" w:eastAsia="宋体" w:cs="宋体"/>
          <w:b/>
          <w:bCs/>
          <w:color w:val="auto"/>
          <w:sz w:val="22"/>
          <w:szCs w:val="22"/>
          <w:highlight w:val="none"/>
        </w:rPr>
        <w:t>，如有变动另行通知。</w:t>
      </w:r>
    </w:p>
    <w:p w14:paraId="7F23D554">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eastAsia="宋体" w:cs="宋体"/>
          <w:b/>
          <w:color w:val="auto"/>
          <w:sz w:val="22"/>
          <w:szCs w:val="22"/>
          <w:highlight w:val="none"/>
        </w:rPr>
        <w:t>、其他补充事宜</w:t>
      </w:r>
    </w:p>
    <w:p w14:paraId="54A713F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1.投标保证金：</w:t>
      </w:r>
      <w:r>
        <w:rPr>
          <w:rFonts w:hint="eastAsia" w:ascii="宋体" w:hAnsi="宋体" w:eastAsia="宋体" w:cs="宋体"/>
          <w:b/>
          <w:bCs/>
          <w:color w:val="auto"/>
          <w:sz w:val="22"/>
          <w:szCs w:val="22"/>
          <w:highlight w:val="none"/>
        </w:rPr>
        <w:t>人民币</w:t>
      </w:r>
      <w:r>
        <w:rPr>
          <w:rFonts w:hint="eastAsia" w:ascii="宋体" w:hAnsi="宋体" w:cs="宋体"/>
          <w:b/>
          <w:bCs/>
          <w:color w:val="auto"/>
          <w:sz w:val="22"/>
          <w:szCs w:val="22"/>
          <w:highlight w:val="none"/>
          <w:lang w:val="en-US" w:eastAsia="zh-CN"/>
        </w:rPr>
        <w:t>陆</w:t>
      </w:r>
      <w:r>
        <w:rPr>
          <w:rFonts w:hint="eastAsia" w:ascii="宋体" w:hAnsi="宋体" w:eastAsia="宋体" w:cs="宋体"/>
          <w:b/>
          <w:bCs/>
          <w:color w:val="auto"/>
          <w:sz w:val="22"/>
          <w:szCs w:val="22"/>
          <w:highlight w:val="none"/>
        </w:rPr>
        <w:t>仟元整（¥</w:t>
      </w: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000.00元）</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具体要求详见招标文件。</w:t>
      </w:r>
    </w:p>
    <w:p w14:paraId="0F7A361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2.项目开标活动模式：现场投标模式</w:t>
      </w:r>
    </w:p>
    <w:p w14:paraId="4148D56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3.项目演示、样品、答辩等：</w:t>
      </w:r>
      <w:r>
        <w:rPr>
          <w:rFonts w:hint="eastAsia" w:ascii="宋体" w:hAnsi="宋体" w:eastAsia="宋体" w:cs="宋体"/>
          <w:color w:val="auto"/>
          <w:sz w:val="22"/>
          <w:szCs w:val="22"/>
          <w:highlight w:val="none"/>
          <w:lang w:val="en-US" w:eastAsia="zh-CN"/>
        </w:rPr>
        <w:t>无</w:t>
      </w:r>
    </w:p>
    <w:p w14:paraId="1AD48ED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4.对项目需求部分（供应商其他资格要求、项目需求、评分标准）的询问、质疑请向采购人提出，由采购人负责答复；对项目招标文件其它部分的询问请向采购人或项目联系人提出。</w:t>
      </w:r>
    </w:p>
    <w:p w14:paraId="764664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5.供应商应依照规定提交各类声明函、承诺函，不再同时提供原件备查或提供有关部门出具的相关证明文件。但</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中标人</w:t>
      </w:r>
      <w:r>
        <w:rPr>
          <w:rFonts w:hint="eastAsia" w:ascii="宋体" w:hAnsi="宋体" w:eastAsia="宋体" w:cs="宋体"/>
          <w:color w:val="auto"/>
          <w:sz w:val="22"/>
          <w:szCs w:val="22"/>
          <w:highlight w:val="none"/>
        </w:rPr>
        <w:t>，应做好提交声明函、承诺函相应原件的核查准备；核查后发现虚假或违背承诺的，依照相关法律法规规定处理。</w:t>
      </w:r>
    </w:p>
    <w:p w14:paraId="499C353F">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六</w:t>
      </w:r>
      <w:r>
        <w:rPr>
          <w:rFonts w:hint="eastAsia" w:ascii="宋体" w:hAnsi="宋体" w:eastAsia="宋体" w:cs="宋体"/>
          <w:b/>
          <w:color w:val="auto"/>
          <w:sz w:val="22"/>
          <w:szCs w:val="22"/>
          <w:highlight w:val="none"/>
        </w:rPr>
        <w:t>、对本次招标提出询问，请按以下方式联系。</w:t>
      </w:r>
    </w:p>
    <w:p w14:paraId="78A5918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采购单位：</w:t>
      </w:r>
      <w:r>
        <w:rPr>
          <w:rFonts w:hint="eastAsia" w:ascii="宋体" w:hAnsi="宋体" w:cs="宋体"/>
          <w:color w:val="auto"/>
          <w:sz w:val="22"/>
          <w:szCs w:val="22"/>
          <w:highlight w:val="none"/>
          <w:lang w:val="en-US" w:eastAsia="zh-CN"/>
        </w:rPr>
        <w:t>天生产业新城南通有限公司</w:t>
      </w:r>
    </w:p>
    <w:p w14:paraId="6089790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瞿先生</w:t>
      </w:r>
    </w:p>
    <w:p w14:paraId="740DC45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rPr>
        <w:t>0513-55881670</w:t>
      </w:r>
    </w:p>
    <w:p w14:paraId="08C7FAA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代理机构：江苏海审工程咨询有限公司　</w:t>
      </w:r>
    </w:p>
    <w:p w14:paraId="1F64C12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地址：南通市星城路299号创源科技园3号楼5楼</w:t>
      </w:r>
    </w:p>
    <w:p w14:paraId="1C87D16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联系人：庄卫韦        联系电话：</w:t>
      </w:r>
      <w:r>
        <w:rPr>
          <w:rFonts w:hint="eastAsia" w:ascii="宋体" w:hAnsi="宋体" w:cs="宋体"/>
          <w:color w:val="auto"/>
          <w:sz w:val="22"/>
          <w:szCs w:val="22"/>
          <w:highlight w:val="none"/>
          <w:lang w:val="en-US" w:eastAsia="zh-CN"/>
        </w:rPr>
        <w:t>18752932069</w:t>
      </w:r>
    </w:p>
    <w:p w14:paraId="0BE300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邮箱：</w:t>
      </w:r>
      <w:r>
        <w:rPr>
          <w:rFonts w:hint="eastAsia" w:ascii="宋体" w:hAnsi="宋体" w:cs="宋体"/>
          <w:color w:val="auto"/>
          <w:sz w:val="22"/>
          <w:szCs w:val="22"/>
          <w:highlight w:val="none"/>
          <w:lang w:val="en-US" w:eastAsia="zh-CN"/>
        </w:rPr>
        <w:t>1072027277</w:t>
      </w:r>
      <w:r>
        <w:rPr>
          <w:rFonts w:hint="eastAsia" w:ascii="宋体" w:hAnsi="宋体" w:eastAsia="宋体" w:cs="宋体"/>
          <w:color w:val="auto"/>
          <w:sz w:val="22"/>
          <w:szCs w:val="22"/>
          <w:highlight w:val="none"/>
        </w:rPr>
        <w:t>@qq.com</w:t>
      </w:r>
    </w:p>
    <w:p w14:paraId="4AF7706A">
      <w:pPr>
        <w:adjustRightInd w:val="0"/>
        <w:snapToGrid w:val="0"/>
        <w:spacing w:line="300" w:lineRule="auto"/>
        <w:contextualSpacing/>
        <w:jc w:val="center"/>
        <w:rPr>
          <w:rFonts w:hint="eastAsia"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第二部分  投标须知</w:t>
      </w:r>
    </w:p>
    <w:p w14:paraId="69F8C890">
      <w:pPr>
        <w:keepNext w:val="0"/>
        <w:keepLines w:val="0"/>
        <w:pageBreakBefore w:val="0"/>
        <w:widowControl w:val="0"/>
        <w:kinsoku/>
        <w:wordWrap/>
        <w:overflowPunct/>
        <w:topLinePunct w:val="0"/>
        <w:bidi w:val="0"/>
        <w:snapToGrid w:val="0"/>
        <w:spacing w:line="440" w:lineRule="exact"/>
        <w:ind w:firstLine="331" w:firstLineChars="150"/>
        <w:textAlignment w:val="auto"/>
        <w:outlineLvl w:val="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一、招标文件由采购人或代理机构解释</w:t>
      </w:r>
      <w:r>
        <w:rPr>
          <w:rFonts w:hint="eastAsia" w:ascii="宋体" w:hAnsi="宋体" w:eastAsia="宋体" w:cs="宋体"/>
          <w:color w:val="auto"/>
          <w:sz w:val="22"/>
          <w:szCs w:val="22"/>
          <w:highlight w:val="none"/>
        </w:rPr>
        <w:t>。</w:t>
      </w:r>
    </w:p>
    <w:p w14:paraId="02AD6351">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w:t>
      </w:r>
      <w:r>
        <w:rPr>
          <w:rFonts w:hint="eastAsia"/>
          <w:color w:val="auto"/>
          <w:highlight w:val="none"/>
          <w:lang w:eastAsia="zh-CN"/>
        </w:rPr>
        <w:t>（</w:t>
      </w:r>
      <w:r>
        <w:rPr>
          <w:rFonts w:hint="eastAsia"/>
          <w:color w:val="auto"/>
          <w:highlight w:val="none"/>
          <w:lang w:val="en-US" w:eastAsia="zh-CN"/>
        </w:rPr>
        <w:t>投标人</w:t>
      </w:r>
      <w:r>
        <w:rPr>
          <w:rFonts w:hint="eastAsia"/>
          <w:color w:val="auto"/>
          <w:highlight w:val="none"/>
          <w:lang w:eastAsia="zh-CN"/>
        </w:rPr>
        <w:t>）</w:t>
      </w:r>
      <w:r>
        <w:rPr>
          <w:rFonts w:hint="eastAsia" w:ascii="宋体" w:hAnsi="宋体" w:eastAsia="宋体" w:cs="宋体"/>
          <w:color w:val="auto"/>
          <w:sz w:val="22"/>
          <w:szCs w:val="22"/>
          <w:highlight w:val="none"/>
        </w:rPr>
        <w:t>下载招标文件后，应仔细检查招标文件的所有内容，如对采购活动事项有疑问的，应在下载招标文件开始之日起3日内以书面形式提出询问或疑问，未在规定的3日内提出询问或疑问的，视同</w:t>
      </w: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理解并接受本招标文件所有内容，并由此引起的投标损失自负。</w:t>
      </w:r>
    </w:p>
    <w:p w14:paraId="6145E6C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应认真审阅招标文件中所有的事项、格式、条款和规范要求等，如果</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没有按照招标文件要求提交投标文件，或者投标文件没有对招标文件做出实质性响应，其投标将被拒绝，</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自行承担责任。</w:t>
      </w:r>
    </w:p>
    <w:p w14:paraId="134B0D13">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二、招标文件的澄清、修改、答疑</w:t>
      </w:r>
    </w:p>
    <w:p w14:paraId="14032EE6">
      <w:pPr>
        <w:pStyle w:val="8"/>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1、采购人有权对发出的招标文件进行必要的澄清或修改。</w:t>
      </w:r>
    </w:p>
    <w:p w14:paraId="2FDC3E1F">
      <w:pPr>
        <w:pStyle w:val="8"/>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2、采购人可视情取消、延长相关时间。</w:t>
      </w:r>
    </w:p>
    <w:p w14:paraId="29573C22">
      <w:pPr>
        <w:pStyle w:val="8"/>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3、采购人对招标文件的澄清、修改将构成招标文件的一部分，对</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具有约束力。</w:t>
      </w:r>
    </w:p>
    <w:p w14:paraId="649AEECB">
      <w:pPr>
        <w:pStyle w:val="8"/>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由于对招标文件的任何推论和误解以及采购人对有关问题的口头解释所造成的后果，均由</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自负。</w:t>
      </w:r>
    </w:p>
    <w:p w14:paraId="09ECDA04">
      <w:pPr>
        <w:pStyle w:val="8"/>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5、采购人视情组织答疑会。</w:t>
      </w:r>
    </w:p>
    <w:p w14:paraId="0F907BFA">
      <w:pPr>
        <w:keepNext w:val="0"/>
        <w:keepLines w:val="0"/>
        <w:pageBreakBefore w:val="0"/>
        <w:widowControl w:val="0"/>
        <w:kinsoku/>
        <w:wordWrap/>
        <w:overflowPunct/>
        <w:topLinePunct w:val="0"/>
        <w:autoSpaceDE w:val="0"/>
        <w:autoSpaceDN w:val="0"/>
        <w:bidi w:val="0"/>
        <w:adjustRightInd w:val="0"/>
        <w:snapToGrid w:val="0"/>
        <w:spacing w:line="440" w:lineRule="exact"/>
        <w:ind w:firstLine="562"/>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三、投标文件的编写、递交、上传</w:t>
      </w:r>
    </w:p>
    <w:p w14:paraId="3B0F6541">
      <w:pPr>
        <w:keepNext w:val="0"/>
        <w:keepLines w:val="0"/>
        <w:pageBreakBefore w:val="0"/>
        <w:widowControl w:val="0"/>
        <w:kinsoku/>
        <w:wordWrap/>
        <w:overflowPunct/>
        <w:topLinePunct w:val="0"/>
        <w:autoSpaceDE w:val="0"/>
        <w:autoSpaceDN w:val="0"/>
        <w:bidi w:val="0"/>
        <w:adjustRightInd w:val="0"/>
        <w:snapToGrid w:val="0"/>
        <w:spacing w:line="440" w:lineRule="exact"/>
        <w:ind w:right="210" w:firstLine="56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（一）投标文件的编写</w:t>
      </w:r>
    </w:p>
    <w:p w14:paraId="12F9C909">
      <w:pPr>
        <w:keepNext w:val="0"/>
        <w:keepLines w:val="0"/>
        <w:pageBreakBefore w:val="0"/>
        <w:widowControl w:val="0"/>
        <w:kinsoku/>
        <w:wordWrap/>
        <w:overflowPunct/>
        <w:topLinePunct w:val="0"/>
        <w:bidi w:val="0"/>
        <w:snapToGrid w:val="0"/>
        <w:spacing w:line="440" w:lineRule="exact"/>
        <w:ind w:firstLine="525" w:firstLineChars="250"/>
        <w:contextualSpacing/>
        <w:textAlignment w:val="auto"/>
        <w:rPr>
          <w:rFonts w:hint="eastAsia" w:ascii="宋体" w:hAnsi="宋体" w:eastAsia="宋体" w:cs="宋体"/>
          <w:color w:val="auto"/>
          <w:sz w:val="22"/>
          <w:szCs w:val="22"/>
          <w:highlight w:val="none"/>
        </w:rPr>
      </w:pPr>
      <w:r>
        <w:rPr>
          <w:rFonts w:hint="eastAsia"/>
          <w:color w:val="auto"/>
          <w:highlight w:val="none"/>
          <w:lang w:val="en-US" w:eastAsia="zh-CN"/>
        </w:rPr>
        <w:t>投标供应商</w:t>
      </w:r>
      <w:r>
        <w:rPr>
          <w:rFonts w:hint="eastAsia" w:ascii="宋体" w:hAnsi="宋体" w:eastAsia="宋体" w:cs="宋体"/>
          <w:color w:val="auto"/>
          <w:sz w:val="22"/>
          <w:szCs w:val="22"/>
          <w:highlight w:val="none"/>
        </w:rPr>
        <w:t>按“第七部分 投标文件组成”要求编写投标文件。</w:t>
      </w:r>
    </w:p>
    <w:p w14:paraId="52521872">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（二）投标文件的递交</w:t>
      </w:r>
    </w:p>
    <w:p w14:paraId="03751EEB">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1、投标文件三部分内容（资格审查文件</w:t>
      </w:r>
      <w:r>
        <w:rPr>
          <w:rFonts w:hint="eastAsia" w:ascii="宋体" w:hAnsi="宋体" w:cs="宋体"/>
          <w:color w:val="auto"/>
          <w:sz w:val="22"/>
          <w:szCs w:val="22"/>
          <w:highlight w:val="none"/>
          <w:lang w:val="en-US" w:eastAsia="zh-CN"/>
        </w:rPr>
        <w:t>包</w:t>
      </w:r>
      <w:r>
        <w:rPr>
          <w:rFonts w:hint="eastAsia" w:ascii="宋体" w:hAnsi="宋体" w:eastAsia="宋体" w:cs="宋体"/>
          <w:color w:val="auto"/>
          <w:sz w:val="22"/>
          <w:szCs w:val="22"/>
          <w:highlight w:val="none"/>
        </w:rPr>
        <w:t>、商务技术标、报价标）须分别单独密封，并牢固装订成册，不得相互混淆，不得将内容拆开。</w:t>
      </w:r>
      <w:r>
        <w:rPr>
          <w:rFonts w:hint="eastAsia" w:ascii="宋体" w:hAnsi="宋体" w:cs="宋体"/>
          <w:color w:val="auto"/>
          <w:sz w:val="22"/>
          <w:szCs w:val="22"/>
          <w:highlight w:val="none"/>
          <w:lang w:val="en-US" w:eastAsia="zh-CN"/>
        </w:rPr>
        <w:t>报价标</w:t>
      </w:r>
      <w:r>
        <w:rPr>
          <w:rFonts w:hint="eastAsia" w:ascii="宋体" w:hAnsi="宋体" w:eastAsia="宋体" w:cs="宋体"/>
          <w:color w:val="auto"/>
          <w:sz w:val="22"/>
          <w:szCs w:val="22"/>
          <w:highlight w:val="none"/>
        </w:rPr>
        <w:t>文件不得出现于其他投标文件中。</w:t>
      </w:r>
    </w:p>
    <w:p w14:paraId="4F2E98BB">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2、投标文件每一部分内容均须提供“</w:t>
      </w:r>
      <w:r>
        <w:rPr>
          <w:rFonts w:hint="eastAsia" w:ascii="宋体" w:hAnsi="宋体" w:cs="宋体"/>
          <w:b/>
          <w:color w:val="auto"/>
          <w:sz w:val="22"/>
          <w:szCs w:val="22"/>
          <w:highlight w:val="none"/>
          <w:lang w:eastAsia="zh-CN"/>
        </w:rPr>
        <w:t>壹</w:t>
      </w:r>
      <w:r>
        <w:rPr>
          <w:rFonts w:hint="eastAsia" w:ascii="宋体" w:hAnsi="宋体" w:eastAsia="宋体" w:cs="宋体"/>
          <w:b/>
          <w:color w:val="auto"/>
          <w:sz w:val="22"/>
          <w:szCs w:val="22"/>
          <w:highlight w:val="none"/>
        </w:rPr>
        <w:t>正</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肆副</w:t>
      </w:r>
      <w:r>
        <w:rPr>
          <w:rFonts w:hint="eastAsia" w:ascii="宋体" w:hAnsi="宋体" w:eastAsia="宋体" w:cs="宋体"/>
          <w:color w:val="auto"/>
          <w:sz w:val="22"/>
          <w:szCs w:val="22"/>
          <w:highlight w:val="none"/>
        </w:rPr>
        <w:t>”纸质投标文件。</w:t>
      </w:r>
    </w:p>
    <w:p w14:paraId="42FA5AD3">
      <w:pPr>
        <w:spacing w:line="480" w:lineRule="exact"/>
        <w:ind w:firstLine="48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①资格审查文件</w:t>
      </w:r>
      <w:r>
        <w:rPr>
          <w:rFonts w:hint="eastAsia" w:ascii="宋体" w:hAnsi="宋体" w:cs="宋体"/>
          <w:color w:val="auto"/>
          <w:kern w:val="0"/>
          <w:sz w:val="22"/>
          <w:szCs w:val="22"/>
          <w:highlight w:val="none"/>
          <w:lang w:val="en-US" w:eastAsia="zh-CN"/>
        </w:rPr>
        <w:t>包</w:t>
      </w:r>
      <w:r>
        <w:rPr>
          <w:rFonts w:hint="eastAsia" w:ascii="宋体" w:hAnsi="宋体" w:cs="宋体"/>
          <w:color w:val="auto"/>
          <w:kern w:val="0"/>
          <w:sz w:val="22"/>
          <w:szCs w:val="22"/>
          <w:highlight w:val="none"/>
        </w:rPr>
        <w:t>。正本、副本合并密封，统一装在一个密封袋或密封箱内。</w:t>
      </w:r>
    </w:p>
    <w:p w14:paraId="0781591A">
      <w:pPr>
        <w:spacing w:line="480" w:lineRule="exact"/>
        <w:ind w:firstLine="48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②商务技术</w:t>
      </w:r>
      <w:r>
        <w:rPr>
          <w:rFonts w:hint="eastAsia" w:ascii="宋体" w:hAnsi="宋体" w:cs="宋体"/>
          <w:color w:val="auto"/>
          <w:kern w:val="0"/>
          <w:sz w:val="22"/>
          <w:szCs w:val="22"/>
          <w:highlight w:val="none"/>
          <w:lang w:val="en-US" w:eastAsia="zh-CN"/>
        </w:rPr>
        <w:t>标</w:t>
      </w:r>
      <w:r>
        <w:rPr>
          <w:rFonts w:hint="eastAsia" w:ascii="宋体" w:hAnsi="宋体" w:cs="宋体"/>
          <w:color w:val="auto"/>
          <w:kern w:val="0"/>
          <w:sz w:val="22"/>
          <w:szCs w:val="22"/>
          <w:highlight w:val="none"/>
        </w:rPr>
        <w:t>。正本、副本合并密封，统一装在一个密封袋或密封箱内。</w:t>
      </w:r>
    </w:p>
    <w:p w14:paraId="327E3E56">
      <w:pPr>
        <w:spacing w:line="480" w:lineRule="exact"/>
        <w:ind w:firstLine="48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③报价</w:t>
      </w:r>
      <w:r>
        <w:rPr>
          <w:rFonts w:hint="eastAsia" w:ascii="宋体" w:hAnsi="宋体" w:cs="宋体"/>
          <w:color w:val="auto"/>
          <w:kern w:val="0"/>
          <w:sz w:val="22"/>
          <w:szCs w:val="22"/>
          <w:highlight w:val="none"/>
          <w:lang w:val="en-US" w:eastAsia="zh-CN"/>
        </w:rPr>
        <w:t>标</w:t>
      </w:r>
      <w:r>
        <w:rPr>
          <w:rFonts w:hint="eastAsia" w:ascii="宋体" w:hAnsi="宋体" w:cs="宋体"/>
          <w:color w:val="auto"/>
          <w:kern w:val="0"/>
          <w:sz w:val="22"/>
          <w:szCs w:val="22"/>
          <w:highlight w:val="none"/>
        </w:rPr>
        <w:t>。正本、副本合并密封，统一装在一个密封袋或密封箱内。</w:t>
      </w:r>
    </w:p>
    <w:p w14:paraId="376D1C6C">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025ECDD9">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4、投标文件密封后应标明应写明“项目名称”、“</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名称”等并加盖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单位公章和法定代表人章</w:t>
      </w:r>
      <w:r>
        <w:rPr>
          <w:rFonts w:hint="eastAsia" w:ascii="宋体" w:hAnsi="宋体" w:cs="宋体"/>
          <w:color w:val="auto"/>
          <w:sz w:val="22"/>
          <w:szCs w:val="22"/>
          <w:highlight w:val="none"/>
          <w:lang w:eastAsia="zh-CN"/>
        </w:rPr>
        <w:t>。</w:t>
      </w:r>
    </w:p>
    <w:p w14:paraId="2D399374">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5、递交时间：</w:t>
      </w:r>
      <w:r>
        <w:rPr>
          <w:rFonts w:hint="eastAsia"/>
          <w:color w:val="auto"/>
          <w:highlight w:val="none"/>
          <w:lang w:val="en-US" w:eastAsia="zh-CN"/>
        </w:rPr>
        <w:t>投标供应商</w:t>
      </w:r>
      <w:r>
        <w:rPr>
          <w:rFonts w:hint="eastAsia" w:ascii="宋体" w:hAnsi="宋体" w:eastAsia="宋体" w:cs="宋体"/>
          <w:color w:val="auto"/>
          <w:sz w:val="22"/>
          <w:szCs w:val="22"/>
          <w:highlight w:val="none"/>
        </w:rPr>
        <w:t>须在规定的投标文件接收截止时间前送达指定地点。</w:t>
      </w:r>
      <w:r>
        <w:rPr>
          <w:rFonts w:hint="eastAsia"/>
          <w:color w:val="auto"/>
          <w:highlight w:val="none"/>
          <w:lang w:val="en-US" w:eastAsia="zh-CN"/>
        </w:rPr>
        <w:t>投标供应商</w:t>
      </w:r>
      <w:r>
        <w:rPr>
          <w:rFonts w:hint="eastAsia" w:ascii="宋体" w:hAnsi="宋体" w:eastAsia="宋体" w:cs="宋体"/>
          <w:color w:val="auto"/>
          <w:sz w:val="22"/>
          <w:szCs w:val="22"/>
          <w:highlight w:val="none"/>
        </w:rPr>
        <w:t>送达投标文件，即视为已投标参加采购活动。</w:t>
      </w:r>
    </w:p>
    <w:p w14:paraId="597714AA">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友情提醒：代理机构将拒绝接收未按照招标文件要求密封的投标文件，拒绝接收在投标文件接收截止时间后递交的投标文件。如果</w:t>
      </w:r>
      <w:r>
        <w:rPr>
          <w:rFonts w:hint="eastAsia" w:ascii="宋体" w:hAnsi="宋体" w:cs="宋体"/>
          <w:b/>
          <w:color w:val="auto"/>
          <w:sz w:val="22"/>
          <w:szCs w:val="22"/>
          <w:highlight w:val="none"/>
          <w:lang w:val="en-US" w:eastAsia="zh-CN"/>
        </w:rPr>
        <w:t>投标供应商</w:t>
      </w:r>
      <w:r>
        <w:rPr>
          <w:rFonts w:hint="eastAsia" w:ascii="宋体" w:hAnsi="宋体" w:eastAsia="宋体" w:cs="宋体"/>
          <w:b/>
          <w:color w:val="auto"/>
          <w:sz w:val="22"/>
          <w:szCs w:val="22"/>
          <w:highlight w:val="none"/>
        </w:rPr>
        <w:t>无故不到现场递交纸质投标文件或者故意迟到，影响开评标活动正常进行的，根据《江苏省采购信用管理暂行办法》第九条的规定，将被列作一般失信行为。</w:t>
      </w:r>
    </w:p>
    <w:p w14:paraId="1BF15986">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四、投标文件的有效期</w:t>
      </w:r>
    </w:p>
    <w:p w14:paraId="3A8E6133">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1、从投标文件接收截止之日算起</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u w:val="single"/>
        </w:rPr>
        <w:t xml:space="preserve"> 45 </w:t>
      </w:r>
      <w:r>
        <w:rPr>
          <w:rFonts w:hint="eastAsia" w:ascii="宋体" w:hAnsi="宋体" w:eastAsia="宋体" w:cs="宋体"/>
          <w:b w:val="0"/>
          <w:bCs/>
          <w:color w:val="auto"/>
          <w:sz w:val="22"/>
          <w:szCs w:val="22"/>
          <w:highlight w:val="none"/>
        </w:rPr>
        <w:t>个“日历天”内投标书应保持有效。有效期短于这个规定期限的，投标将被拒绝。</w:t>
      </w:r>
    </w:p>
    <w:p w14:paraId="60FF4287">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062B17EF">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eastAsia="宋体" w:cs="宋体"/>
          <w:b/>
          <w:color w:val="auto"/>
          <w:sz w:val="22"/>
          <w:szCs w:val="22"/>
          <w:highlight w:val="none"/>
        </w:rPr>
        <w:t>投标报价</w:t>
      </w:r>
    </w:p>
    <w:p w14:paraId="13BEB037">
      <w:pPr>
        <w:pStyle w:val="8"/>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一个标的（段）只允许一个报价，不接受任何有选择性的报价。</w:t>
      </w:r>
    </w:p>
    <w:p w14:paraId="79CCFA88">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zh-CN"/>
        </w:rPr>
        <w:t>投标供应商</w:t>
      </w:r>
      <w:r>
        <w:rPr>
          <w:rFonts w:hint="eastAsia" w:ascii="宋体" w:hAnsi="宋体" w:eastAsia="宋体" w:cs="宋体"/>
          <w:b w:val="0"/>
          <w:bCs w:val="0"/>
          <w:color w:val="auto"/>
          <w:sz w:val="22"/>
          <w:szCs w:val="22"/>
          <w:highlight w:val="none"/>
          <w:lang w:val="zh-CN"/>
        </w:rPr>
        <w:t>任何漏项、漏报、少报、错报所产生的后果，均由</w:t>
      </w:r>
      <w:r>
        <w:rPr>
          <w:rFonts w:hint="eastAsia" w:ascii="宋体" w:hAnsi="宋体" w:cs="宋体"/>
          <w:b w:val="0"/>
          <w:bCs w:val="0"/>
          <w:color w:val="auto"/>
          <w:sz w:val="22"/>
          <w:szCs w:val="22"/>
          <w:highlight w:val="none"/>
          <w:lang w:val="zh-CN"/>
        </w:rPr>
        <w:t>投标供应商</w:t>
      </w:r>
      <w:r>
        <w:rPr>
          <w:rFonts w:hint="eastAsia" w:ascii="宋体" w:hAnsi="宋体" w:eastAsia="宋体" w:cs="宋体"/>
          <w:b w:val="0"/>
          <w:bCs w:val="0"/>
          <w:color w:val="auto"/>
          <w:sz w:val="22"/>
          <w:szCs w:val="22"/>
          <w:highlight w:val="none"/>
          <w:lang w:val="zh-CN"/>
        </w:rPr>
        <w:t>承担责任。在合同实施期间不因市场价格浮动因素或其他政策性因素调整，</w:t>
      </w:r>
      <w:r>
        <w:rPr>
          <w:rFonts w:hint="eastAsia" w:ascii="宋体" w:hAnsi="宋体" w:cs="宋体"/>
          <w:b w:val="0"/>
          <w:bCs w:val="0"/>
          <w:color w:val="auto"/>
          <w:sz w:val="22"/>
          <w:szCs w:val="22"/>
          <w:highlight w:val="none"/>
          <w:lang w:val="zh-CN"/>
        </w:rPr>
        <w:t>投标供应商</w:t>
      </w:r>
      <w:r>
        <w:rPr>
          <w:rFonts w:hint="eastAsia" w:ascii="宋体" w:hAnsi="宋体" w:eastAsia="宋体" w:cs="宋体"/>
          <w:b w:val="0"/>
          <w:bCs w:val="0"/>
          <w:color w:val="auto"/>
          <w:sz w:val="22"/>
          <w:szCs w:val="22"/>
          <w:highlight w:val="none"/>
          <w:lang w:val="zh-CN"/>
        </w:rPr>
        <w:t>报价时充分考虑风险因素。</w:t>
      </w:r>
    </w:p>
    <w:p w14:paraId="6C6072F7">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bCs/>
          <w:color w:val="auto"/>
          <w:sz w:val="22"/>
          <w:szCs w:val="22"/>
          <w:highlight w:val="none"/>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bCs/>
          <w:color w:val="auto"/>
          <w:sz w:val="22"/>
          <w:szCs w:val="22"/>
          <w:highlight w:val="none"/>
          <w:lang w:val="zh-CN"/>
        </w:rPr>
        <w:t>投标单位的报价应包括</w:t>
      </w:r>
      <w:r>
        <w:rPr>
          <w:rFonts w:hint="eastAsia" w:ascii="宋体" w:hAnsi="宋体" w:cs="宋体"/>
          <w:b/>
          <w:bCs/>
          <w:color w:val="auto"/>
          <w:sz w:val="22"/>
          <w:szCs w:val="22"/>
          <w:highlight w:val="none"/>
          <w:lang w:val="en-US" w:eastAsia="zh-CN"/>
        </w:rPr>
        <w:t>但不限于</w:t>
      </w:r>
      <w:r>
        <w:rPr>
          <w:rFonts w:hint="eastAsia" w:ascii="宋体" w:hAnsi="宋体" w:eastAsia="宋体" w:cs="宋体"/>
          <w:b/>
          <w:bCs/>
          <w:color w:val="auto"/>
          <w:sz w:val="22"/>
          <w:szCs w:val="22"/>
          <w:highlight w:val="none"/>
          <w:lang w:val="zh-CN"/>
        </w:rPr>
        <w:t>所提供货物的费用（含安装部件、备品备件费）、增值税、运输费、包装费、劳务费、保险、利润、税金、装卸、安装（含配件等）、质保、售后服务费用、政策性文件规定及合同包含的所有风险、责任等各项应有费用，为完成上述内容所必须的材料、劳务及所需的全部费用。本项目结算时</w:t>
      </w:r>
      <w:r>
        <w:rPr>
          <w:rFonts w:hint="eastAsia" w:ascii="宋体" w:hAnsi="宋体" w:cs="宋体"/>
          <w:b/>
          <w:bCs/>
          <w:color w:val="auto"/>
          <w:sz w:val="22"/>
          <w:szCs w:val="22"/>
          <w:highlight w:val="none"/>
          <w:lang w:val="zh-CN"/>
        </w:rPr>
        <w:t>成交</w:t>
      </w:r>
      <w:r>
        <w:rPr>
          <w:rFonts w:hint="eastAsia" w:ascii="宋体" w:hAnsi="宋体" w:eastAsia="宋体" w:cs="宋体"/>
          <w:b/>
          <w:bCs/>
          <w:color w:val="auto"/>
          <w:sz w:val="22"/>
          <w:szCs w:val="22"/>
          <w:highlight w:val="none"/>
          <w:lang w:val="zh-CN"/>
        </w:rPr>
        <w:t>单价不因任何因素调整，数量按实结算。</w:t>
      </w:r>
      <w:r>
        <w:rPr>
          <w:rFonts w:hint="eastAsia" w:ascii="宋体" w:hAnsi="宋体" w:eastAsia="宋体" w:cs="宋体"/>
          <w:b w:val="0"/>
          <w:bCs w:val="0"/>
          <w:color w:val="auto"/>
          <w:sz w:val="22"/>
          <w:szCs w:val="22"/>
          <w:highlight w:val="none"/>
          <w:lang w:val="zh-CN"/>
        </w:rPr>
        <w:t>一旦</w:t>
      </w:r>
      <w:r>
        <w:rPr>
          <w:rFonts w:hint="eastAsia" w:ascii="宋体" w:hAnsi="宋体" w:cs="宋体"/>
          <w:b w:val="0"/>
          <w:bCs w:val="0"/>
          <w:color w:val="auto"/>
          <w:sz w:val="22"/>
          <w:szCs w:val="22"/>
          <w:highlight w:val="none"/>
          <w:lang w:val="zh-CN"/>
        </w:rPr>
        <w:t>成交</w:t>
      </w:r>
      <w:r>
        <w:rPr>
          <w:rFonts w:hint="eastAsia" w:ascii="宋体" w:hAnsi="宋体" w:eastAsia="宋体" w:cs="宋体"/>
          <w:b w:val="0"/>
          <w:bCs w:val="0"/>
          <w:color w:val="auto"/>
          <w:sz w:val="22"/>
          <w:szCs w:val="22"/>
          <w:highlight w:val="none"/>
          <w:lang w:val="zh-CN"/>
        </w:rPr>
        <w:t>，不得要求采购人补贴额外的费用，变更除外。</w:t>
      </w:r>
    </w:p>
    <w:p w14:paraId="73E9645D">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rPr>
        <w:t>投标</w:t>
      </w:r>
      <w:r>
        <w:rPr>
          <w:rFonts w:hint="eastAsia" w:ascii="宋体" w:hAnsi="宋体" w:eastAsia="宋体" w:cs="宋体"/>
          <w:b/>
          <w:bCs/>
          <w:color w:val="auto"/>
          <w:sz w:val="22"/>
          <w:szCs w:val="22"/>
          <w:highlight w:val="none"/>
        </w:rPr>
        <w:t>费用</w:t>
      </w:r>
    </w:p>
    <w:p w14:paraId="36FC75B3">
      <w:pPr>
        <w:keepNext w:val="0"/>
        <w:keepLines w:val="0"/>
        <w:pageBreakBefore w:val="0"/>
        <w:widowControl w:val="0"/>
        <w:kinsoku/>
        <w:wordWrap/>
        <w:overflowPunct/>
        <w:topLinePunct w:val="0"/>
        <w:bidi w:val="0"/>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1、本项目评委费（按实支付）由成交供应商支付，供应商须综合考虑在投标报价内，不得单列，在领取成交通知书时一次性付清。</w:t>
      </w:r>
    </w:p>
    <w:p w14:paraId="58925E37">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kern w:val="0"/>
          <w:szCs w:val="21"/>
          <w:highlight w:val="none"/>
        </w:rPr>
      </w:pP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本项目招标代理费由</w:t>
      </w:r>
      <w:r>
        <w:rPr>
          <w:rFonts w:hint="eastAsia" w:ascii="宋体" w:hAnsi="宋体" w:cs="宋体"/>
          <w:b/>
          <w:bCs/>
          <w:color w:val="auto"/>
          <w:sz w:val="22"/>
          <w:szCs w:val="22"/>
          <w:highlight w:val="none"/>
          <w:lang w:val="en-US" w:eastAsia="zh-CN"/>
        </w:rPr>
        <w:t>采购</w:t>
      </w:r>
      <w:r>
        <w:rPr>
          <w:rFonts w:hint="eastAsia" w:ascii="宋体" w:hAnsi="宋体" w:cs="宋体"/>
          <w:b/>
          <w:bCs/>
          <w:color w:val="auto"/>
          <w:sz w:val="22"/>
          <w:szCs w:val="22"/>
          <w:highlight w:val="none"/>
        </w:rPr>
        <w:t>人支付</w:t>
      </w:r>
      <w:r>
        <w:rPr>
          <w:rFonts w:hint="eastAsia" w:ascii="宋体" w:hAnsi="宋体" w:cs="宋体"/>
          <w:b/>
          <w:bCs/>
          <w:color w:val="auto"/>
          <w:kern w:val="0"/>
          <w:szCs w:val="21"/>
          <w:highlight w:val="none"/>
        </w:rPr>
        <w:t>。</w:t>
      </w:r>
    </w:p>
    <w:p w14:paraId="2AED87B8">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承担参与投标可能发生的全部费用，采购人在任何情况下均无义务和责任承担这些费用。</w:t>
      </w:r>
    </w:p>
    <w:p w14:paraId="47DEA007">
      <w:pPr>
        <w:keepNext w:val="0"/>
        <w:keepLines w:val="0"/>
        <w:pageBreakBefore w:val="0"/>
        <w:widowControl w:val="0"/>
        <w:kinsoku/>
        <w:wordWrap/>
        <w:topLinePunct w:val="0"/>
        <w:bidi w:val="0"/>
        <w:snapToGrid w:val="0"/>
        <w:spacing w:line="440" w:lineRule="atLeast"/>
        <w:ind w:firstLine="442" w:firstLineChars="200"/>
        <w:textAlignment w:val="auto"/>
        <w:outlineLvl w:val="1"/>
        <w:rPr>
          <w:rFonts w:hint="eastAsia" w:ascii="宋体" w:hAnsi="宋体" w:eastAsia="宋体" w:cs="宋体"/>
          <w:b w:val="0"/>
          <w:bCs w:val="0"/>
          <w:color w:val="auto"/>
          <w:spacing w:val="0"/>
          <w:sz w:val="22"/>
          <w:szCs w:val="22"/>
          <w:highlight w:val="none"/>
          <w:lang w:val="zh-CN"/>
        </w:rPr>
      </w:pPr>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pacing w:val="0"/>
          <w:sz w:val="22"/>
          <w:szCs w:val="22"/>
          <w:highlight w:val="none"/>
        </w:rPr>
        <w:t>投标保证金</w:t>
      </w:r>
    </w:p>
    <w:p w14:paraId="4D3E799B">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1、本项目投标保证金为：人民币</w:t>
      </w:r>
      <w:r>
        <w:rPr>
          <w:rFonts w:hint="eastAsia" w:ascii="宋体" w:hAnsi="宋体" w:eastAsia="宋体" w:cs="宋体"/>
          <w:b/>
          <w:bCs/>
          <w:color w:val="auto"/>
          <w:spacing w:val="0"/>
          <w:sz w:val="22"/>
          <w:szCs w:val="22"/>
          <w:highlight w:val="none"/>
          <w:lang w:val="en-US" w:eastAsia="zh-CN"/>
        </w:rPr>
        <w:t>陆</w:t>
      </w:r>
      <w:r>
        <w:rPr>
          <w:rFonts w:hint="eastAsia" w:ascii="宋体" w:hAnsi="宋体" w:eastAsia="宋体" w:cs="宋体"/>
          <w:b/>
          <w:bCs/>
          <w:color w:val="auto"/>
          <w:spacing w:val="0"/>
          <w:sz w:val="22"/>
          <w:szCs w:val="22"/>
          <w:highlight w:val="none"/>
        </w:rPr>
        <w:t>仟元整（¥</w:t>
      </w:r>
      <w:r>
        <w:rPr>
          <w:rFonts w:hint="eastAsia" w:ascii="宋体" w:hAnsi="宋体" w:eastAsia="宋体" w:cs="宋体"/>
          <w:b/>
          <w:bCs/>
          <w:color w:val="auto"/>
          <w:spacing w:val="0"/>
          <w:sz w:val="22"/>
          <w:szCs w:val="22"/>
          <w:highlight w:val="none"/>
          <w:lang w:val="en-US" w:eastAsia="zh-CN"/>
        </w:rPr>
        <w:t>6</w:t>
      </w:r>
      <w:r>
        <w:rPr>
          <w:rFonts w:hint="eastAsia" w:ascii="宋体" w:hAnsi="宋体" w:eastAsia="宋体" w:cs="宋体"/>
          <w:b/>
          <w:bCs/>
          <w:color w:val="auto"/>
          <w:spacing w:val="0"/>
          <w:sz w:val="22"/>
          <w:szCs w:val="22"/>
          <w:highlight w:val="none"/>
        </w:rPr>
        <w:t>000.00元）；</w:t>
      </w:r>
    </w:p>
    <w:p w14:paraId="7FF81689">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2、投标保证金的缴纳形式：</w:t>
      </w:r>
      <w:r>
        <w:rPr>
          <w:rFonts w:hint="eastAsia" w:ascii="宋体" w:hAnsi="宋体" w:eastAsia="宋体" w:cs="宋体"/>
          <w:b/>
          <w:bCs/>
          <w:color w:val="auto"/>
          <w:spacing w:val="0"/>
          <w:sz w:val="22"/>
          <w:szCs w:val="22"/>
          <w:highlight w:val="none"/>
          <w:u w:val="single"/>
        </w:rPr>
        <w:t>现金或银行汇票或银行保函（见索即付，具体格式详见招标文件内附件）</w:t>
      </w:r>
      <w:r>
        <w:rPr>
          <w:rFonts w:hint="eastAsia" w:ascii="宋体" w:hAnsi="宋体" w:eastAsia="宋体" w:cs="宋体"/>
          <w:b/>
          <w:bCs/>
          <w:color w:val="auto"/>
          <w:spacing w:val="0"/>
          <w:sz w:val="22"/>
          <w:szCs w:val="22"/>
          <w:highlight w:val="none"/>
          <w:u w:val="single"/>
          <w:lang w:val="en-US" w:eastAsia="zh-CN"/>
        </w:rPr>
        <w:t>形式</w:t>
      </w:r>
      <w:r>
        <w:rPr>
          <w:rFonts w:hint="eastAsia" w:ascii="宋体" w:hAnsi="宋体" w:eastAsia="宋体" w:cs="宋体"/>
          <w:b/>
          <w:bCs/>
          <w:color w:val="auto"/>
          <w:spacing w:val="0"/>
          <w:sz w:val="22"/>
          <w:szCs w:val="22"/>
          <w:highlight w:val="none"/>
          <w:u w:val="none"/>
          <w:lang w:val="en-US" w:eastAsia="zh-CN"/>
        </w:rPr>
        <w:t>，并非将保证金打入指定账户，在开标时和投标文件同时递交，请勿和投标文件密封。</w:t>
      </w:r>
      <w:r>
        <w:rPr>
          <w:rFonts w:hint="eastAsia" w:ascii="宋体" w:hAnsi="宋体" w:eastAsia="宋体" w:cs="宋体"/>
          <w:b/>
          <w:bCs/>
          <w:color w:val="auto"/>
          <w:spacing w:val="0"/>
          <w:sz w:val="22"/>
          <w:szCs w:val="22"/>
          <w:highlight w:val="none"/>
        </w:rPr>
        <w:t>各</w:t>
      </w:r>
      <w:r>
        <w:rPr>
          <w:rFonts w:hint="eastAsia" w:ascii="宋体" w:hAnsi="宋体" w:cs="宋体"/>
          <w:b/>
          <w:bCs/>
          <w:color w:val="auto"/>
          <w:spacing w:val="0"/>
          <w:sz w:val="22"/>
          <w:szCs w:val="22"/>
          <w:highlight w:val="none"/>
          <w:lang w:eastAsia="zh-CN"/>
        </w:rPr>
        <w:t>投标供应商</w:t>
      </w:r>
      <w:r>
        <w:rPr>
          <w:rFonts w:hint="eastAsia" w:ascii="宋体" w:hAnsi="宋体" w:eastAsia="宋体" w:cs="宋体"/>
          <w:b/>
          <w:bCs/>
          <w:color w:val="auto"/>
          <w:spacing w:val="0"/>
          <w:sz w:val="22"/>
          <w:szCs w:val="22"/>
          <w:highlight w:val="none"/>
        </w:rPr>
        <w:t>根据企业实际情况合理选择投标保证金的缴纳形式，各类缴纳形式具有同等法律效力。</w:t>
      </w:r>
    </w:p>
    <w:p w14:paraId="2423AA5E">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①投标保证金（银行汇票形式）上必须注明收款人：</w:t>
      </w:r>
      <w:r>
        <w:rPr>
          <w:rFonts w:hint="eastAsia" w:ascii="宋体" w:hAnsi="宋体" w:eastAsia="宋体" w:cs="宋体"/>
          <w:b/>
          <w:bCs/>
          <w:color w:val="auto"/>
          <w:sz w:val="22"/>
          <w:szCs w:val="22"/>
          <w:highlight w:val="none"/>
          <w:u w:val="single"/>
        </w:rPr>
        <w:t>天生产业新城南通有限公司</w:t>
      </w:r>
      <w:r>
        <w:rPr>
          <w:rFonts w:hint="eastAsia" w:ascii="宋体" w:hAnsi="宋体" w:eastAsia="宋体" w:cs="宋体"/>
          <w:b/>
          <w:bCs/>
          <w:color w:val="auto"/>
          <w:sz w:val="22"/>
          <w:szCs w:val="22"/>
          <w:highlight w:val="none"/>
        </w:rPr>
        <w:t>，用途：</w:t>
      </w:r>
      <w:r>
        <w:rPr>
          <w:rFonts w:hint="eastAsia" w:ascii="宋体" w:hAnsi="宋体" w:eastAsia="宋体" w:cs="宋体"/>
          <w:b/>
          <w:bCs/>
          <w:color w:val="auto"/>
          <w:sz w:val="22"/>
          <w:szCs w:val="22"/>
          <w:highlight w:val="none"/>
          <w:u w:val="single"/>
        </w:rPr>
        <w:t>投标保证金</w:t>
      </w:r>
      <w:r>
        <w:rPr>
          <w:rFonts w:hint="eastAsia" w:ascii="宋体" w:hAnsi="宋体" w:eastAsia="宋体" w:cs="宋体"/>
          <w:b/>
          <w:bCs/>
          <w:color w:val="auto"/>
          <w:sz w:val="22"/>
          <w:szCs w:val="22"/>
          <w:highlight w:val="none"/>
        </w:rPr>
        <w:t>；汇款人：</w:t>
      </w:r>
      <w:r>
        <w:rPr>
          <w:rFonts w:hint="eastAsia" w:ascii="宋体" w:hAnsi="宋体" w:eastAsia="宋体" w:cs="宋体"/>
          <w:b/>
          <w:bCs/>
          <w:color w:val="auto"/>
          <w:sz w:val="22"/>
          <w:szCs w:val="22"/>
          <w:highlight w:val="none"/>
          <w:u w:val="single"/>
        </w:rPr>
        <w:t>投标单位名称</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u w:val="single"/>
        </w:rPr>
        <w:t>（账户名：天生产业新城南通有限公司，开户行：中国建设银行股份有限公司南通港闸支行，账号：32001642636059886666）</w:t>
      </w:r>
      <w:r>
        <w:rPr>
          <w:rFonts w:hint="eastAsia" w:ascii="宋体" w:hAnsi="宋体" w:eastAsia="宋体" w:cs="宋体"/>
          <w:b/>
          <w:bCs/>
          <w:color w:val="auto"/>
          <w:sz w:val="22"/>
          <w:szCs w:val="22"/>
          <w:highlight w:val="none"/>
        </w:rPr>
        <w:t>。</w:t>
      </w:r>
      <w:r>
        <w:rPr>
          <w:rFonts w:hint="eastAsia" w:ascii="宋体" w:hAnsi="宋体" w:cs="宋体"/>
          <w:b/>
          <w:bCs/>
          <w:color w:val="auto"/>
          <w:spacing w:val="0"/>
          <w:sz w:val="22"/>
          <w:szCs w:val="22"/>
          <w:highlight w:val="none"/>
          <w:lang w:eastAsia="zh-CN"/>
        </w:rPr>
        <w:t>成交供应商的投标保证金有效期与投标有效期一致，在缴纳履约保证金前，如投标保证金已失效，成交供应商应主动延续投标保证金的有效期，否则采购人有权在保证金失效后取消成交人的成交资格。</w:t>
      </w:r>
    </w:p>
    <w:p w14:paraId="764AD18F">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②投标保证金（银行保函形式）开具对象应为</w:t>
      </w:r>
      <w:r>
        <w:rPr>
          <w:rFonts w:hint="eastAsia" w:ascii="宋体" w:hAnsi="宋体" w:eastAsia="宋体" w:cs="宋体"/>
          <w:b/>
          <w:bCs/>
          <w:color w:val="auto"/>
          <w:sz w:val="22"/>
          <w:szCs w:val="22"/>
          <w:highlight w:val="none"/>
          <w:u w:val="single"/>
        </w:rPr>
        <w:t>天生产业新城南通有限公司</w:t>
      </w:r>
      <w:r>
        <w:rPr>
          <w:rFonts w:hint="eastAsia" w:ascii="宋体" w:hAnsi="宋体" w:eastAsia="宋体" w:cs="宋体"/>
          <w:b/>
          <w:bCs/>
          <w:color w:val="auto"/>
          <w:sz w:val="22"/>
          <w:szCs w:val="22"/>
          <w:highlight w:val="none"/>
        </w:rPr>
        <w:t>，银行保函上显示的投保项目名称须为本项目（如银行保函上显示项目名称）。银行保函上投保的投标保证金须在投标有效期内持续有效。</w:t>
      </w:r>
    </w:p>
    <w:p w14:paraId="7FAF0827">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③如采用现金方式缴纳，则投标时须将现金单独密封后与投标文件同时递交给招标代理机构。</w:t>
      </w:r>
    </w:p>
    <w:p w14:paraId="6392F81D">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特别提醒：</w:t>
      </w:r>
    </w:p>
    <w:p w14:paraId="0BD4DAD8">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w:t>
      </w:r>
      <w:r>
        <w:rPr>
          <w:rFonts w:hint="eastAsia" w:ascii="宋体" w:hAnsi="宋体" w:cs="宋体"/>
          <w:b/>
          <w:bCs/>
          <w:color w:val="auto"/>
          <w:sz w:val="22"/>
          <w:szCs w:val="22"/>
          <w:highlight w:val="none"/>
          <w:lang w:val="en-US" w:eastAsia="zh-CN"/>
        </w:rPr>
        <w:t>项目</w:t>
      </w:r>
      <w:r>
        <w:rPr>
          <w:rFonts w:hint="eastAsia" w:ascii="宋体" w:hAnsi="宋体" w:eastAsia="宋体" w:cs="宋体"/>
          <w:b/>
          <w:bCs/>
          <w:color w:val="auto"/>
          <w:sz w:val="22"/>
          <w:szCs w:val="22"/>
          <w:highlight w:val="none"/>
        </w:rPr>
        <w:t>投标保证金的形式为现金或银行汇票或银行保函形式（并非将保证金款打入指定账户）。</w:t>
      </w:r>
    </w:p>
    <w:p w14:paraId="0AF73D82">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（2）保证金形式，收款人、用途、汇款人、银行保函开具对象、银行保函格式等必须符合招标文件规定，否则其投标文件不予接收。</w:t>
      </w:r>
    </w:p>
    <w:p w14:paraId="4AFBD7C0">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（3）投标保证金（指：银行汇票</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银行保函</w:t>
      </w:r>
      <w:r>
        <w:rPr>
          <w:rFonts w:hint="eastAsia" w:ascii="宋体" w:hAnsi="宋体" w:eastAsia="宋体" w:cs="宋体"/>
          <w:b/>
          <w:bCs/>
          <w:color w:val="auto"/>
          <w:sz w:val="22"/>
          <w:szCs w:val="22"/>
          <w:highlight w:val="none"/>
        </w:rPr>
        <w:t>）必须由企业法人基本存款账户汇出，否则不予接受。</w:t>
      </w:r>
    </w:p>
    <w:p w14:paraId="4E072ADB">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（4）各</w:t>
      </w:r>
      <w:r>
        <w:rPr>
          <w:rFonts w:hint="eastAsia" w:ascii="宋体" w:hAnsi="宋体" w:cs="宋体"/>
          <w:b/>
          <w:bCs/>
          <w:color w:val="auto"/>
          <w:sz w:val="22"/>
          <w:szCs w:val="22"/>
          <w:highlight w:val="none"/>
          <w:lang w:eastAsia="zh-CN"/>
        </w:rPr>
        <w:t>投标供应商</w:t>
      </w:r>
      <w:r>
        <w:rPr>
          <w:rFonts w:hint="eastAsia" w:ascii="宋体" w:hAnsi="宋体" w:eastAsia="宋体" w:cs="宋体"/>
          <w:b/>
          <w:bCs/>
          <w:color w:val="auto"/>
          <w:sz w:val="22"/>
          <w:szCs w:val="22"/>
          <w:highlight w:val="none"/>
        </w:rPr>
        <w:t>在递交投标文件的同时需递交投标保证金缴纳凭证：</w:t>
      </w:r>
    </w:p>
    <w:p w14:paraId="366B9FF9">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0000F5"/>
          <w:sz w:val="22"/>
          <w:szCs w:val="22"/>
          <w:highlight w:val="none"/>
        </w:rPr>
      </w:pPr>
      <w:r>
        <w:rPr>
          <w:rFonts w:hint="eastAsia" w:ascii="宋体" w:hAnsi="宋体" w:eastAsia="宋体" w:cs="宋体"/>
          <w:b/>
          <w:bCs/>
          <w:color w:val="0000F5"/>
          <w:sz w:val="22"/>
          <w:szCs w:val="22"/>
          <w:highlight w:val="none"/>
        </w:rPr>
        <w:t>A.以银行汇票形式提交投标保证金的，须</w:t>
      </w:r>
      <w:r>
        <w:rPr>
          <w:rFonts w:hint="eastAsia" w:ascii="宋体" w:hAnsi="宋体" w:cs="宋体"/>
          <w:b/>
          <w:bCs/>
          <w:color w:val="0000F5"/>
          <w:sz w:val="22"/>
          <w:szCs w:val="22"/>
          <w:highlight w:val="none"/>
          <w:lang w:val="en-US" w:eastAsia="zh-CN"/>
        </w:rPr>
        <w:t>同时</w:t>
      </w:r>
      <w:r>
        <w:rPr>
          <w:rFonts w:hint="eastAsia" w:ascii="宋体" w:hAnsi="宋体" w:eastAsia="宋体" w:cs="宋体"/>
          <w:b/>
          <w:bCs/>
          <w:color w:val="0000F5"/>
          <w:sz w:val="22"/>
          <w:szCs w:val="22"/>
          <w:highlight w:val="none"/>
        </w:rPr>
        <w:t>提供</w:t>
      </w:r>
      <w:r>
        <w:rPr>
          <w:rFonts w:hint="eastAsia" w:ascii="宋体" w:hAnsi="宋体" w:cs="宋体"/>
          <w:b/>
          <w:bCs/>
          <w:color w:val="0000F5"/>
          <w:sz w:val="22"/>
          <w:szCs w:val="22"/>
          <w:highlight w:val="none"/>
          <w:lang w:eastAsia="zh-CN"/>
        </w:rPr>
        <w:t>：</w:t>
      </w:r>
      <w:r>
        <w:rPr>
          <w:rFonts w:hint="eastAsia" w:ascii="宋体" w:hAnsi="宋体" w:cs="宋体"/>
          <w:b/>
          <w:bCs/>
          <w:color w:val="0000F5"/>
          <w:sz w:val="22"/>
          <w:szCs w:val="22"/>
          <w:highlight w:val="none"/>
          <w:lang w:val="en-US" w:eastAsia="zh-CN"/>
        </w:rPr>
        <w:t>①银行</w:t>
      </w:r>
      <w:r>
        <w:rPr>
          <w:rFonts w:hint="eastAsia" w:ascii="宋体" w:hAnsi="宋体" w:eastAsia="宋体" w:cs="宋体"/>
          <w:b/>
          <w:bCs/>
          <w:color w:val="0000F5"/>
          <w:sz w:val="22"/>
          <w:szCs w:val="22"/>
          <w:highlight w:val="none"/>
        </w:rPr>
        <w:t>汇票原件</w:t>
      </w:r>
      <w:r>
        <w:rPr>
          <w:rFonts w:hint="eastAsia" w:ascii="宋体" w:hAnsi="宋体" w:cs="宋体"/>
          <w:b/>
          <w:bCs/>
          <w:color w:val="0000F5"/>
          <w:sz w:val="22"/>
          <w:szCs w:val="22"/>
          <w:highlight w:val="none"/>
          <w:lang w:eastAsia="zh-CN"/>
        </w:rPr>
        <w:t>、</w:t>
      </w:r>
      <w:r>
        <w:rPr>
          <w:rFonts w:hint="eastAsia" w:ascii="宋体" w:hAnsi="宋体" w:cs="宋体"/>
          <w:b/>
          <w:bCs/>
          <w:color w:val="0000F5"/>
          <w:sz w:val="22"/>
          <w:szCs w:val="22"/>
          <w:highlight w:val="none"/>
          <w:lang w:val="en-US" w:eastAsia="zh-CN"/>
        </w:rPr>
        <w:t>②</w:t>
      </w:r>
      <w:r>
        <w:rPr>
          <w:rFonts w:hint="eastAsia" w:ascii="宋体" w:hAnsi="宋体" w:eastAsia="宋体" w:cs="宋体"/>
          <w:b/>
          <w:bCs/>
          <w:color w:val="0000F5"/>
          <w:sz w:val="22"/>
          <w:szCs w:val="22"/>
          <w:highlight w:val="none"/>
        </w:rPr>
        <w:t>基本账户开户许可证复印件（复印件须加盖单位公章，无须密封）或基本存款账户信息原件或复印件（复印件须加盖单位公章，无须密封）供</w:t>
      </w:r>
      <w:r>
        <w:rPr>
          <w:rFonts w:hint="eastAsia" w:ascii="宋体" w:hAnsi="宋体" w:cs="宋体"/>
          <w:b/>
          <w:bCs/>
          <w:color w:val="0000F5"/>
          <w:sz w:val="22"/>
          <w:szCs w:val="22"/>
          <w:highlight w:val="none"/>
          <w:lang w:eastAsia="zh-CN"/>
        </w:rPr>
        <w:t>采购人</w:t>
      </w:r>
      <w:r>
        <w:rPr>
          <w:rFonts w:hint="eastAsia" w:ascii="宋体" w:hAnsi="宋体" w:eastAsia="宋体" w:cs="宋体"/>
          <w:b/>
          <w:bCs/>
          <w:color w:val="0000F5"/>
          <w:sz w:val="22"/>
          <w:szCs w:val="22"/>
          <w:highlight w:val="none"/>
        </w:rPr>
        <w:t>代表查验，否则其投标文件不予接收。</w:t>
      </w:r>
    </w:p>
    <w:p w14:paraId="6CE6AA52">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0000F5"/>
          <w:spacing w:val="0"/>
          <w:sz w:val="22"/>
          <w:szCs w:val="22"/>
          <w:highlight w:val="none"/>
        </w:rPr>
      </w:pPr>
      <w:r>
        <w:rPr>
          <w:rFonts w:hint="eastAsia" w:ascii="宋体" w:hAnsi="宋体" w:eastAsia="宋体" w:cs="宋体"/>
          <w:b/>
          <w:bCs/>
          <w:color w:val="0000F5"/>
          <w:sz w:val="22"/>
          <w:szCs w:val="22"/>
          <w:highlight w:val="none"/>
        </w:rPr>
        <w:t>B.以银行保函形式提交投标保证金的，银行保函应由投标人基本账户所在网点的当地银行或其上级银行机构出具。</w:t>
      </w:r>
      <w:r>
        <w:rPr>
          <w:rFonts w:hint="eastAsia" w:ascii="宋体" w:hAnsi="宋体" w:cs="宋体"/>
          <w:b/>
          <w:bCs/>
          <w:color w:val="0000F5"/>
          <w:sz w:val="22"/>
          <w:szCs w:val="22"/>
          <w:highlight w:val="none"/>
          <w:lang w:val="en-US" w:eastAsia="zh-CN"/>
        </w:rPr>
        <w:t>供应商</w:t>
      </w:r>
      <w:r>
        <w:rPr>
          <w:rFonts w:hint="eastAsia" w:ascii="宋体" w:hAnsi="宋体" w:eastAsia="宋体" w:cs="宋体"/>
          <w:b/>
          <w:bCs/>
          <w:color w:val="0000F5"/>
          <w:sz w:val="22"/>
          <w:szCs w:val="22"/>
          <w:highlight w:val="none"/>
        </w:rPr>
        <w:t>须</w:t>
      </w:r>
      <w:r>
        <w:rPr>
          <w:rFonts w:hint="eastAsia" w:ascii="宋体" w:hAnsi="宋体" w:cs="宋体"/>
          <w:b/>
          <w:bCs/>
          <w:color w:val="0000F5"/>
          <w:sz w:val="22"/>
          <w:szCs w:val="22"/>
          <w:highlight w:val="none"/>
          <w:lang w:val="en-US" w:eastAsia="zh-CN"/>
        </w:rPr>
        <w:t>同时</w:t>
      </w:r>
      <w:r>
        <w:rPr>
          <w:rFonts w:hint="eastAsia" w:ascii="宋体" w:hAnsi="宋体" w:eastAsia="宋体" w:cs="宋体"/>
          <w:b/>
          <w:bCs/>
          <w:color w:val="0000F5"/>
          <w:sz w:val="22"/>
          <w:szCs w:val="22"/>
          <w:highlight w:val="none"/>
        </w:rPr>
        <w:t>提供</w:t>
      </w:r>
      <w:r>
        <w:rPr>
          <w:rFonts w:hint="eastAsia" w:ascii="宋体" w:hAnsi="宋体" w:cs="宋体"/>
          <w:b/>
          <w:bCs/>
          <w:color w:val="0000F5"/>
          <w:sz w:val="22"/>
          <w:szCs w:val="22"/>
          <w:highlight w:val="none"/>
          <w:lang w:eastAsia="zh-CN"/>
        </w:rPr>
        <w:t>：</w:t>
      </w:r>
      <w:r>
        <w:rPr>
          <w:rFonts w:hint="eastAsia" w:ascii="宋体" w:hAnsi="宋体" w:eastAsia="宋体" w:cs="宋体"/>
          <w:b/>
          <w:bCs/>
          <w:color w:val="0000F5"/>
          <w:sz w:val="22"/>
          <w:szCs w:val="22"/>
          <w:highlight w:val="none"/>
        </w:rPr>
        <w:t>①银行保函原件或复印件（加盖单位公章）、②基本账户开户许可证复印件（复印件须加盖单位公章，无须密封）或基本存款账户信息原件或复印件（复印件须加盖单位公章，无须密封）供</w:t>
      </w:r>
      <w:r>
        <w:rPr>
          <w:rFonts w:hint="eastAsia" w:ascii="宋体" w:hAnsi="宋体" w:cs="宋体"/>
          <w:b/>
          <w:bCs/>
          <w:color w:val="0000F5"/>
          <w:sz w:val="22"/>
          <w:szCs w:val="22"/>
          <w:highlight w:val="none"/>
          <w:lang w:eastAsia="zh-CN"/>
        </w:rPr>
        <w:t>采购人</w:t>
      </w:r>
      <w:r>
        <w:rPr>
          <w:rFonts w:hint="eastAsia" w:ascii="宋体" w:hAnsi="宋体" w:eastAsia="宋体" w:cs="宋体"/>
          <w:b/>
          <w:bCs/>
          <w:color w:val="0000F5"/>
          <w:sz w:val="22"/>
          <w:szCs w:val="22"/>
          <w:highlight w:val="none"/>
        </w:rPr>
        <w:t>代表查验，否则其</w:t>
      </w:r>
      <w:r>
        <w:rPr>
          <w:rFonts w:hint="eastAsia" w:ascii="宋体" w:hAnsi="宋体" w:cs="宋体"/>
          <w:b/>
          <w:bCs/>
          <w:color w:val="0000F5"/>
          <w:sz w:val="22"/>
          <w:szCs w:val="22"/>
          <w:highlight w:val="none"/>
          <w:lang w:val="en-US" w:eastAsia="zh-CN"/>
        </w:rPr>
        <w:t>投标</w:t>
      </w:r>
      <w:r>
        <w:rPr>
          <w:rFonts w:hint="eastAsia" w:ascii="宋体" w:hAnsi="宋体" w:eastAsia="宋体" w:cs="宋体"/>
          <w:b/>
          <w:bCs/>
          <w:color w:val="0000F5"/>
          <w:sz w:val="22"/>
          <w:szCs w:val="22"/>
          <w:highlight w:val="none"/>
        </w:rPr>
        <w:t>文件不予接收。</w:t>
      </w:r>
      <w:r>
        <w:rPr>
          <w:rFonts w:hint="eastAsia" w:ascii="宋体" w:hAnsi="宋体" w:eastAsia="宋体" w:cs="宋体"/>
          <w:b/>
          <w:bCs/>
          <w:color w:val="0000F5"/>
          <w:spacing w:val="0"/>
          <w:sz w:val="22"/>
          <w:szCs w:val="22"/>
          <w:highlight w:val="none"/>
        </w:rPr>
        <w:t xml:space="preserve"> </w:t>
      </w:r>
    </w:p>
    <w:p w14:paraId="44C3693E">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b/>
          <w:bCs/>
          <w:color w:val="auto"/>
          <w:spacing w:val="0"/>
          <w:sz w:val="22"/>
          <w:szCs w:val="22"/>
          <w:highlight w:val="none"/>
          <w:lang w:val="en-US" w:eastAsia="zh-CN"/>
        </w:rPr>
        <w:t>注：如未按招标文件要求提供投标保证金缴纳凭证或投标保证金缴纳凭证提供不全或投标保证金缴纳凭证不符合招标文件要求的，则其</w:t>
      </w:r>
      <w:r>
        <w:rPr>
          <w:rFonts w:hint="eastAsia" w:ascii="宋体" w:hAnsi="宋体" w:cs="宋体"/>
          <w:b/>
          <w:bCs/>
          <w:color w:val="auto"/>
          <w:spacing w:val="0"/>
          <w:sz w:val="22"/>
          <w:szCs w:val="22"/>
          <w:highlight w:val="none"/>
          <w:lang w:val="en-US" w:eastAsia="zh-CN"/>
        </w:rPr>
        <w:t>投标</w:t>
      </w:r>
      <w:r>
        <w:rPr>
          <w:rFonts w:hint="eastAsia" w:ascii="宋体" w:hAnsi="宋体" w:eastAsia="宋体" w:cs="宋体"/>
          <w:b/>
          <w:bCs/>
          <w:color w:val="auto"/>
          <w:spacing w:val="0"/>
          <w:sz w:val="22"/>
          <w:szCs w:val="22"/>
          <w:highlight w:val="none"/>
          <w:lang w:val="en-US" w:eastAsia="zh-CN"/>
        </w:rPr>
        <w:t>文件不予接收。</w:t>
      </w:r>
    </w:p>
    <w:p w14:paraId="285AFF48">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val="en-US" w:eastAsia="zh-CN"/>
        </w:rPr>
        <w:t>5</w:t>
      </w:r>
      <w:r>
        <w:rPr>
          <w:rFonts w:hint="eastAsia" w:ascii="宋体" w:hAnsi="宋体" w:eastAsia="宋体" w:cs="宋体"/>
          <w:b/>
          <w:bCs/>
          <w:color w:val="auto"/>
          <w:spacing w:val="0"/>
          <w:sz w:val="22"/>
          <w:szCs w:val="22"/>
          <w:highlight w:val="none"/>
        </w:rPr>
        <w:t>、发生下列情况之一，投标保证金将不予退还。</w:t>
      </w:r>
    </w:p>
    <w:p w14:paraId="7385DE14">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（1）</w:t>
      </w:r>
      <w:r>
        <w:rPr>
          <w:rFonts w:hint="eastAsia" w:ascii="宋体" w:hAnsi="宋体" w:eastAsia="宋体" w:cs="宋体"/>
          <w:b/>
          <w:bCs/>
          <w:color w:val="auto"/>
          <w:spacing w:val="0"/>
          <w:kern w:val="0"/>
          <w:sz w:val="22"/>
          <w:szCs w:val="22"/>
          <w:highlight w:val="none"/>
          <w:lang w:eastAsia="zh-CN"/>
        </w:rPr>
        <w:t>投标供应商</w:t>
      </w:r>
      <w:r>
        <w:rPr>
          <w:rFonts w:hint="eastAsia" w:ascii="宋体" w:hAnsi="宋体" w:eastAsia="宋体" w:cs="宋体"/>
          <w:b/>
          <w:bCs/>
          <w:color w:val="auto"/>
          <w:spacing w:val="0"/>
          <w:kern w:val="0"/>
          <w:sz w:val="22"/>
          <w:szCs w:val="22"/>
          <w:highlight w:val="none"/>
        </w:rPr>
        <w:t>在提交投标文件截止时间后撤回投标文件的；</w:t>
      </w:r>
    </w:p>
    <w:p w14:paraId="11171307">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kern w:val="0"/>
          <w:sz w:val="22"/>
          <w:szCs w:val="22"/>
          <w:highlight w:val="none"/>
        </w:rPr>
      </w:pPr>
      <w:r>
        <w:rPr>
          <w:rFonts w:hint="eastAsia" w:ascii="宋体" w:hAnsi="宋体" w:eastAsia="宋体" w:cs="宋体"/>
          <w:b/>
          <w:bCs/>
          <w:color w:val="auto"/>
          <w:spacing w:val="0"/>
          <w:sz w:val="22"/>
          <w:szCs w:val="22"/>
          <w:highlight w:val="none"/>
        </w:rPr>
        <w:t>（2）</w:t>
      </w:r>
      <w:r>
        <w:rPr>
          <w:rFonts w:hint="eastAsia" w:ascii="宋体" w:hAnsi="宋体" w:eastAsia="宋体" w:cs="宋体"/>
          <w:b/>
          <w:bCs/>
          <w:color w:val="auto"/>
          <w:spacing w:val="0"/>
          <w:kern w:val="0"/>
          <w:sz w:val="22"/>
          <w:szCs w:val="22"/>
          <w:highlight w:val="none"/>
          <w:lang w:eastAsia="zh-CN"/>
        </w:rPr>
        <w:t>投标供应商</w:t>
      </w:r>
      <w:r>
        <w:rPr>
          <w:rFonts w:hint="eastAsia" w:ascii="宋体" w:hAnsi="宋体" w:eastAsia="宋体" w:cs="宋体"/>
          <w:b/>
          <w:bCs/>
          <w:color w:val="auto"/>
          <w:spacing w:val="0"/>
          <w:kern w:val="0"/>
          <w:sz w:val="22"/>
          <w:szCs w:val="22"/>
          <w:highlight w:val="none"/>
        </w:rPr>
        <w:t>在投标文件中提供虚假材料的；</w:t>
      </w:r>
    </w:p>
    <w:p w14:paraId="2DAEC91D">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（3）除因不可抗力或招标文件认可的情形以外，</w:t>
      </w:r>
      <w:r>
        <w:rPr>
          <w:rFonts w:hint="eastAsia" w:ascii="宋体" w:hAnsi="宋体" w:eastAsia="宋体" w:cs="宋体"/>
          <w:b/>
          <w:bCs/>
          <w:color w:val="auto"/>
          <w:spacing w:val="0"/>
          <w:sz w:val="22"/>
          <w:szCs w:val="22"/>
          <w:highlight w:val="none"/>
          <w:lang w:eastAsia="zh-CN"/>
        </w:rPr>
        <w:t>成交</w:t>
      </w:r>
      <w:r>
        <w:rPr>
          <w:rFonts w:hint="eastAsia" w:ascii="宋体" w:hAnsi="宋体" w:eastAsia="宋体" w:cs="宋体"/>
          <w:b/>
          <w:bCs/>
          <w:color w:val="auto"/>
          <w:spacing w:val="0"/>
          <w:sz w:val="22"/>
          <w:szCs w:val="22"/>
          <w:highlight w:val="none"/>
        </w:rPr>
        <w:t>人不按规定缴纳履约保证金或不与</w:t>
      </w:r>
      <w:r>
        <w:rPr>
          <w:rFonts w:hint="eastAsia" w:ascii="宋体" w:hAnsi="宋体" w:eastAsia="宋体" w:cs="宋体"/>
          <w:b/>
          <w:bCs/>
          <w:color w:val="auto"/>
          <w:spacing w:val="0"/>
          <w:sz w:val="22"/>
          <w:szCs w:val="22"/>
          <w:highlight w:val="none"/>
          <w:lang w:eastAsia="zh-CN"/>
        </w:rPr>
        <w:t>采购人</w:t>
      </w:r>
      <w:r>
        <w:rPr>
          <w:rFonts w:hint="eastAsia" w:ascii="宋体" w:hAnsi="宋体" w:eastAsia="宋体" w:cs="宋体"/>
          <w:b/>
          <w:bCs/>
          <w:color w:val="auto"/>
          <w:spacing w:val="0"/>
          <w:sz w:val="22"/>
          <w:szCs w:val="22"/>
          <w:highlight w:val="none"/>
        </w:rPr>
        <w:t xml:space="preserve">签订合同的； </w:t>
      </w:r>
    </w:p>
    <w:p w14:paraId="2DB3CEC7">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（4）</w:t>
      </w:r>
      <w:r>
        <w:rPr>
          <w:rFonts w:hint="eastAsia" w:ascii="宋体" w:hAnsi="宋体" w:eastAsia="宋体" w:cs="宋体"/>
          <w:b/>
          <w:bCs/>
          <w:color w:val="auto"/>
          <w:spacing w:val="0"/>
          <w:sz w:val="22"/>
          <w:szCs w:val="22"/>
          <w:highlight w:val="none"/>
          <w:lang w:eastAsia="zh-CN"/>
        </w:rPr>
        <w:t>投标供应商</w:t>
      </w:r>
      <w:r>
        <w:rPr>
          <w:rFonts w:hint="eastAsia" w:ascii="宋体" w:hAnsi="宋体" w:eastAsia="宋体" w:cs="宋体"/>
          <w:b/>
          <w:bCs/>
          <w:color w:val="auto"/>
          <w:spacing w:val="0"/>
          <w:sz w:val="22"/>
          <w:szCs w:val="22"/>
          <w:highlight w:val="none"/>
        </w:rPr>
        <w:t>与</w:t>
      </w:r>
      <w:r>
        <w:rPr>
          <w:rFonts w:hint="eastAsia" w:ascii="宋体" w:hAnsi="宋体" w:eastAsia="宋体" w:cs="宋体"/>
          <w:b/>
          <w:bCs/>
          <w:color w:val="auto"/>
          <w:spacing w:val="0"/>
          <w:sz w:val="22"/>
          <w:szCs w:val="22"/>
          <w:highlight w:val="none"/>
          <w:lang w:eastAsia="zh-CN"/>
        </w:rPr>
        <w:t>采购人</w:t>
      </w:r>
      <w:r>
        <w:rPr>
          <w:rFonts w:hint="eastAsia" w:ascii="宋体" w:hAnsi="宋体" w:eastAsia="宋体" w:cs="宋体"/>
          <w:b/>
          <w:bCs/>
          <w:color w:val="auto"/>
          <w:spacing w:val="0"/>
          <w:sz w:val="22"/>
          <w:szCs w:val="22"/>
          <w:highlight w:val="none"/>
        </w:rPr>
        <w:t>、其他</w:t>
      </w:r>
      <w:r>
        <w:rPr>
          <w:rFonts w:hint="eastAsia" w:ascii="宋体" w:hAnsi="宋体" w:eastAsia="宋体" w:cs="宋体"/>
          <w:b/>
          <w:bCs/>
          <w:color w:val="auto"/>
          <w:spacing w:val="0"/>
          <w:sz w:val="22"/>
          <w:szCs w:val="22"/>
          <w:highlight w:val="none"/>
          <w:lang w:eastAsia="zh-CN"/>
        </w:rPr>
        <w:t>投标供应商</w:t>
      </w:r>
      <w:r>
        <w:rPr>
          <w:rFonts w:hint="eastAsia" w:ascii="宋体" w:hAnsi="宋体" w:eastAsia="宋体" w:cs="宋体"/>
          <w:b/>
          <w:bCs/>
          <w:color w:val="auto"/>
          <w:spacing w:val="0"/>
          <w:sz w:val="22"/>
          <w:szCs w:val="22"/>
          <w:highlight w:val="none"/>
        </w:rPr>
        <w:t>或者代理机构恶意串通的；</w:t>
      </w:r>
    </w:p>
    <w:p w14:paraId="4EE51252">
      <w:pPr>
        <w:keepNext w:val="0"/>
        <w:keepLines w:val="0"/>
        <w:pageBreakBefore w:val="0"/>
        <w:widowControl w:val="0"/>
        <w:kinsoku/>
        <w:wordWrap/>
        <w:topLinePunct w:val="0"/>
        <w:bidi w:val="0"/>
        <w:snapToGrid w:val="0"/>
        <w:spacing w:line="440" w:lineRule="atLeast"/>
        <w:ind w:firstLine="442" w:firstLineChars="200"/>
        <w:contextualSpacing/>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（5）</w:t>
      </w:r>
      <w:r>
        <w:rPr>
          <w:rFonts w:hint="eastAsia" w:ascii="宋体" w:hAnsi="宋体" w:eastAsia="宋体" w:cs="宋体"/>
          <w:b/>
          <w:bCs/>
          <w:color w:val="auto"/>
          <w:spacing w:val="0"/>
          <w:sz w:val="22"/>
          <w:szCs w:val="22"/>
          <w:highlight w:val="none"/>
          <w:lang w:eastAsia="zh-CN"/>
        </w:rPr>
        <w:t>投标供应商</w:t>
      </w:r>
      <w:r>
        <w:rPr>
          <w:rFonts w:hint="eastAsia" w:ascii="宋体" w:hAnsi="宋体" w:eastAsia="宋体" w:cs="宋体"/>
          <w:b/>
          <w:bCs/>
          <w:color w:val="auto"/>
          <w:spacing w:val="0"/>
          <w:sz w:val="22"/>
          <w:szCs w:val="22"/>
          <w:highlight w:val="none"/>
        </w:rPr>
        <w:t>在招标过程中有违反有关法律法规的行为；</w:t>
      </w:r>
    </w:p>
    <w:p w14:paraId="04FDF095">
      <w:pPr>
        <w:keepNext w:val="0"/>
        <w:keepLines w:val="0"/>
        <w:pageBreakBefore w:val="0"/>
        <w:widowControl w:val="0"/>
        <w:kinsoku/>
        <w:wordWrap/>
        <w:overflowPunct/>
        <w:topLinePunct w:val="0"/>
        <w:bidi w:val="0"/>
        <w:snapToGrid w:val="0"/>
        <w:spacing w:line="440" w:lineRule="atLeast"/>
        <w:ind w:firstLine="442" w:firstLineChars="200"/>
        <w:textAlignment w:val="auto"/>
        <w:outlineLvl w:val="1"/>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pacing w:val="0"/>
          <w:sz w:val="22"/>
          <w:szCs w:val="22"/>
          <w:highlight w:val="none"/>
        </w:rPr>
        <w:t>（6）招标文件规定的其他情形的。</w:t>
      </w:r>
    </w:p>
    <w:p w14:paraId="2E2CAB78">
      <w:pPr>
        <w:keepNext w:val="0"/>
        <w:keepLines w:val="0"/>
        <w:pageBreakBefore w:val="0"/>
        <w:widowControl w:val="0"/>
        <w:kinsoku/>
        <w:wordWrap/>
        <w:overflowPunct/>
        <w:topLinePunct w:val="0"/>
        <w:bidi w:val="0"/>
        <w:snapToGrid w:val="0"/>
        <w:spacing w:line="440" w:lineRule="exact"/>
        <w:ind w:firstLine="442" w:firstLineChars="200"/>
        <w:textAlignment w:val="auto"/>
        <w:outlineLvl w:val="1"/>
        <w:rPr>
          <w:rFonts w:hint="eastAsia"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val="zh-CN"/>
        </w:rPr>
        <w:t>履约保证金</w:t>
      </w:r>
    </w:p>
    <w:p w14:paraId="1EDC5430">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rPr>
        <w:t>后的履约保证金为</w:t>
      </w:r>
      <w:r>
        <w:rPr>
          <w:rFonts w:hint="eastAsia" w:ascii="宋体" w:hAnsi="宋体" w:cs="宋体"/>
          <w:color w:val="auto"/>
          <w:sz w:val="22"/>
          <w:szCs w:val="22"/>
          <w:highlight w:val="none"/>
          <w:u w:val="single"/>
          <w:lang w:val="en-US" w:eastAsia="zh-CN"/>
        </w:rPr>
        <w:t>成交</w:t>
      </w:r>
      <w:r>
        <w:rPr>
          <w:rFonts w:hint="eastAsia" w:ascii="宋体" w:hAnsi="宋体" w:eastAsia="宋体" w:cs="宋体"/>
          <w:color w:val="auto"/>
          <w:sz w:val="22"/>
          <w:szCs w:val="22"/>
          <w:highlight w:val="none"/>
          <w:u w:val="single"/>
          <w:lang w:val="en-US" w:eastAsia="zh-CN"/>
        </w:rPr>
        <w:t>价的</w:t>
      </w:r>
      <w:r>
        <w:rPr>
          <w:rFonts w:hint="eastAsia" w:ascii="宋体" w:hAnsi="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rPr>
        <w:t>。</w:t>
      </w:r>
    </w:p>
    <w:p w14:paraId="41D29F63">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可以选择以</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银行转账（企业基本账户转出）或企业基本账户开具的见索即付银行保函</w:t>
      </w:r>
      <w:r>
        <w:rPr>
          <w:rFonts w:hint="eastAsia" w:ascii="宋体" w:hAnsi="宋体" w:eastAsia="宋体" w:cs="宋体"/>
          <w:color w:val="auto"/>
          <w:sz w:val="22"/>
          <w:szCs w:val="22"/>
          <w:highlight w:val="none"/>
        </w:rPr>
        <w:t>形式缴纳履约保证金。</w:t>
      </w:r>
    </w:p>
    <w:p w14:paraId="6C20C4CB">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的履约保证金须在</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通知书发出3日内汇入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账户，</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凭</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通知书、履约保证金缴纳凭证在</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通知书发出后15日内与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签订合同。超期或未有协商，则视为自动放弃</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资格。</w:t>
      </w:r>
    </w:p>
    <w:p w14:paraId="39E2F7DC">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在按要求保质保量地完成该项目合同并通过验收后，</w:t>
      </w:r>
      <w:r>
        <w:rPr>
          <w:rFonts w:hint="eastAsia" w:ascii="宋体" w:hAnsi="宋体" w:cs="宋体"/>
          <w:color w:val="auto"/>
          <w:sz w:val="22"/>
          <w:szCs w:val="22"/>
          <w:highlight w:val="none"/>
          <w:lang w:val="en-US" w:eastAsia="zh-CN"/>
        </w:rPr>
        <w:t>采</w:t>
      </w:r>
      <w:r>
        <w:rPr>
          <w:rFonts w:hint="eastAsia" w:ascii="宋体" w:hAnsi="宋体" w:eastAsia="宋体" w:cs="宋体"/>
          <w:color w:val="auto"/>
          <w:sz w:val="22"/>
          <w:szCs w:val="22"/>
          <w:highlight w:val="none"/>
        </w:rPr>
        <w:t>标人凭</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提交的申请，一次性退还该合同项目的履约保证金。</w:t>
      </w:r>
    </w:p>
    <w:p w14:paraId="5F51807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5、由于</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原因，在签订合同后出现不按合同履行的情况，</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有权将履约保证金作为违约金，全额不予退还，同时</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亦有权终止合同，</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还须承担相应的法律赔偿责任。</w:t>
      </w:r>
    </w:p>
    <w:p w14:paraId="16FA012E">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七、</w:t>
      </w:r>
      <w:r>
        <w:rPr>
          <w:rFonts w:hint="eastAsia" w:ascii="宋体" w:hAnsi="宋体" w:eastAsia="宋体" w:cs="宋体"/>
          <w:b/>
          <w:color w:val="auto"/>
          <w:sz w:val="22"/>
          <w:szCs w:val="22"/>
          <w:highlight w:val="none"/>
        </w:rPr>
        <w:t>评标流程简介</w:t>
      </w:r>
    </w:p>
    <w:p w14:paraId="77D6E2A3">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代理机构先对资格审查文件</w:t>
      </w:r>
      <w:r>
        <w:rPr>
          <w:rFonts w:hint="eastAsia" w:ascii="宋体" w:hAnsi="宋体" w:cs="宋体"/>
          <w:color w:val="auto"/>
          <w:sz w:val="22"/>
          <w:szCs w:val="22"/>
          <w:highlight w:val="none"/>
          <w:lang w:val="en-US" w:eastAsia="zh-CN"/>
        </w:rPr>
        <w:t>包</w:t>
      </w:r>
      <w:r>
        <w:rPr>
          <w:rFonts w:hint="eastAsia" w:ascii="宋体" w:hAnsi="宋体" w:eastAsia="宋体" w:cs="宋体"/>
          <w:color w:val="auto"/>
          <w:sz w:val="22"/>
          <w:szCs w:val="22"/>
          <w:highlight w:val="none"/>
        </w:rPr>
        <w:t>进行拆封，评标委员会对</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资格性、符合性审查，对未通过审查的</w:t>
      </w:r>
      <w:r>
        <w:rPr>
          <w:rFonts w:hint="eastAsia" w:ascii="宋体" w:hAnsi="宋体" w:cs="宋体"/>
          <w:color w:val="auto"/>
          <w:sz w:val="22"/>
          <w:szCs w:val="22"/>
          <w:highlight w:val="none"/>
          <w:lang w:eastAsia="zh-CN"/>
        </w:rPr>
        <w:t>投标供应商</w:t>
      </w:r>
      <w:r>
        <w:rPr>
          <w:rFonts w:hint="eastAsia" w:ascii="宋体" w:hAnsi="宋体" w:eastAsia="宋体" w:cs="宋体"/>
          <w:color w:val="auto"/>
          <w:sz w:val="22"/>
          <w:szCs w:val="22"/>
          <w:highlight w:val="none"/>
        </w:rPr>
        <w:t>告知原因。代理机构对合格</w:t>
      </w:r>
      <w:r>
        <w:rPr>
          <w:rFonts w:hint="eastAsia" w:ascii="宋体" w:hAnsi="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商务</w:t>
      </w:r>
      <w:r>
        <w:rPr>
          <w:rFonts w:hint="eastAsia" w:ascii="宋体" w:hAnsi="宋体" w:eastAsia="宋体" w:cs="宋体"/>
          <w:color w:val="auto"/>
          <w:sz w:val="22"/>
          <w:szCs w:val="22"/>
          <w:highlight w:val="none"/>
        </w:rPr>
        <w:t>技术标进行拆封，评委会对合格</w:t>
      </w:r>
      <w:r>
        <w:rPr>
          <w:rFonts w:hint="eastAsia" w:ascii="宋体" w:hAnsi="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商务</w:t>
      </w:r>
      <w:r>
        <w:rPr>
          <w:rFonts w:hint="eastAsia" w:ascii="宋体" w:hAnsi="宋体" w:eastAsia="宋体" w:cs="宋体"/>
          <w:color w:val="auto"/>
          <w:sz w:val="22"/>
          <w:szCs w:val="22"/>
          <w:highlight w:val="none"/>
        </w:rPr>
        <w:t>技术标</w:t>
      </w:r>
      <w:r>
        <w:rPr>
          <w:rFonts w:hint="eastAsia" w:ascii="宋体" w:hAnsi="宋体" w:cs="宋体"/>
          <w:color w:val="auto"/>
          <w:sz w:val="22"/>
          <w:szCs w:val="22"/>
          <w:highlight w:val="none"/>
          <w:lang w:val="en-US" w:eastAsia="zh-CN"/>
        </w:rPr>
        <w:t>文件</w:t>
      </w:r>
      <w:r>
        <w:rPr>
          <w:rFonts w:hint="eastAsia" w:ascii="宋体" w:hAnsi="宋体" w:eastAsia="宋体" w:cs="宋体"/>
          <w:color w:val="auto"/>
          <w:sz w:val="22"/>
          <w:szCs w:val="22"/>
          <w:highlight w:val="none"/>
        </w:rPr>
        <w:t>评审打分，汇总并公布</w:t>
      </w:r>
      <w:r>
        <w:rPr>
          <w:rFonts w:hint="eastAsia" w:ascii="宋体" w:hAnsi="宋体" w:cs="宋体"/>
          <w:color w:val="auto"/>
          <w:sz w:val="22"/>
          <w:szCs w:val="22"/>
          <w:highlight w:val="none"/>
          <w:lang w:val="en-US" w:eastAsia="zh-CN"/>
        </w:rPr>
        <w:t>商务</w:t>
      </w:r>
      <w:r>
        <w:rPr>
          <w:rFonts w:hint="eastAsia" w:ascii="宋体" w:hAnsi="宋体" w:eastAsia="宋体" w:cs="宋体"/>
          <w:color w:val="auto"/>
          <w:sz w:val="22"/>
          <w:szCs w:val="22"/>
          <w:highlight w:val="none"/>
        </w:rPr>
        <w:t>技术标得分后，代理机构当众拆封</w:t>
      </w:r>
      <w:r>
        <w:rPr>
          <w:rFonts w:hint="eastAsia" w:ascii="宋体" w:hAnsi="宋体" w:cs="宋体"/>
          <w:color w:val="auto"/>
          <w:sz w:val="22"/>
          <w:szCs w:val="22"/>
          <w:highlight w:val="none"/>
          <w:lang w:val="en-US" w:eastAsia="zh-CN"/>
        </w:rPr>
        <w:t>报价标</w:t>
      </w:r>
      <w:r>
        <w:rPr>
          <w:rFonts w:hint="eastAsia" w:ascii="宋体" w:hAnsi="宋体" w:eastAsia="宋体" w:cs="宋体"/>
          <w:color w:val="auto"/>
          <w:sz w:val="22"/>
          <w:szCs w:val="22"/>
          <w:highlight w:val="none"/>
        </w:rPr>
        <w:t>进行唱标，最后汇总两部分得出总分，依据评标方法推荐3名</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候选人。</w:t>
      </w:r>
    </w:p>
    <w:p w14:paraId="6E45179D">
      <w:pPr>
        <w:snapToGrid w:val="0"/>
        <w:spacing w:line="360" w:lineRule="auto"/>
        <w:contextualSpacing/>
        <w:jc w:val="center"/>
        <w:rPr>
          <w:rFonts w:ascii="宋体" w:hAnsi="宋体"/>
          <w:color w:val="auto"/>
          <w:sz w:val="28"/>
          <w:szCs w:val="28"/>
          <w:highlight w:val="none"/>
          <w:u w:val="single"/>
        </w:rPr>
      </w:pPr>
      <w:r>
        <w:rPr>
          <w:rFonts w:ascii="宋体" w:hAnsi="宋体"/>
          <w:color w:val="auto"/>
          <w:sz w:val="24"/>
          <w:highlight w:val="none"/>
          <w:u w:val="single"/>
        </w:rPr>
        <w:br w:type="page"/>
      </w:r>
      <w:r>
        <w:rPr>
          <w:rFonts w:hint="eastAsia" w:ascii="宋体" w:hAnsi="宋体"/>
          <w:b/>
          <w:bCs/>
          <w:color w:val="auto"/>
          <w:sz w:val="36"/>
          <w:szCs w:val="36"/>
          <w:highlight w:val="none"/>
        </w:rPr>
        <w:t>第三部分  项目需求说明</w:t>
      </w:r>
      <w:bookmarkStart w:id="2" w:name="OLE_LINK4"/>
      <w:bookmarkStart w:id="3" w:name="OLE_LINK3"/>
    </w:p>
    <w:bookmarkEnd w:id="2"/>
    <w:bookmarkEnd w:id="3"/>
    <w:p w14:paraId="37917C09">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请供应商在制作投标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如供应商提供的货物和服务同采购人提出的项目需求说明中的技术、商务要求不同的，必须在《商务部分正负偏离表》和《技术部分正负偏离表》上明示，如不明示的视同完全响应。</w:t>
      </w:r>
    </w:p>
    <w:p w14:paraId="5AA821D8">
      <w:pPr>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一、有关要求说明</w:t>
      </w:r>
    </w:p>
    <w:p w14:paraId="29FFC602">
      <w:pPr>
        <w:spacing w:line="360" w:lineRule="auto"/>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1、主要技术参数：</w:t>
      </w:r>
      <w:r>
        <w:rPr>
          <w:rFonts w:hint="eastAsia" w:ascii="宋体" w:hAnsi="宋体" w:cs="宋体"/>
          <w:color w:val="auto"/>
          <w:sz w:val="22"/>
          <w:szCs w:val="22"/>
          <w:highlight w:val="none"/>
        </w:rPr>
        <w:t>为鼓励不同品牌的充分竞争，如某主要技术参数属于个别品牌专有，则该主要技术参数不具有限制性，供应商可对该参数进行适当调整，并说明调整的理由。</w:t>
      </w:r>
    </w:p>
    <w:p w14:paraId="096F5B4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color w:val="auto"/>
          <w:sz w:val="22"/>
          <w:szCs w:val="22"/>
          <w:highlight w:val="none"/>
          <w:lang w:val="en-US" w:eastAsia="zh-CN"/>
        </w:rPr>
      </w:pPr>
      <w:r>
        <w:rPr>
          <w:rFonts w:hint="eastAsia" w:ascii="宋体" w:hAnsi="宋体" w:cs="宋体"/>
          <w:b/>
          <w:bCs/>
          <w:color w:val="auto"/>
          <w:sz w:val="22"/>
          <w:szCs w:val="22"/>
          <w:highlight w:val="none"/>
        </w:rPr>
        <w:t>2、产品要求：</w:t>
      </w:r>
      <w:r>
        <w:rPr>
          <w:rFonts w:hint="eastAsia" w:ascii="宋体" w:hAnsi="宋体" w:cs="宋体"/>
          <w:color w:val="auto"/>
          <w:sz w:val="22"/>
          <w:szCs w:val="22"/>
          <w:highlight w:val="none"/>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02B1E08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zh-CN"/>
        </w:rPr>
        <w:t>二、项目具体需求说明</w:t>
      </w:r>
    </w:p>
    <w:p w14:paraId="6BC81B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1、采购范围</w:t>
      </w:r>
    </w:p>
    <w:p w14:paraId="01483D9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本次采购项目范围包括但不限于南通产业新城厂房厨房设备采购项目的深化设计、生产制作、供货、包装、运输、装卸（含二次搬运）、安装及摆放就位、检测、成品保护、验收移交、售后服务等。</w:t>
      </w:r>
    </w:p>
    <w:p w14:paraId="33A3A1F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2、项目清单</w:t>
      </w:r>
    </w:p>
    <w:p w14:paraId="4519EC8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2.1采购清单：</w:t>
      </w:r>
    </w:p>
    <w:tbl>
      <w:tblPr>
        <w:tblStyle w:val="19"/>
        <w:tblW w:w="9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962"/>
        <w:gridCol w:w="1694"/>
        <w:gridCol w:w="1341"/>
        <w:gridCol w:w="371"/>
        <w:gridCol w:w="458"/>
        <w:gridCol w:w="4345"/>
      </w:tblGrid>
      <w:tr w14:paraId="25CB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4C3A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编号</w:t>
            </w:r>
          </w:p>
        </w:tc>
        <w:tc>
          <w:tcPr>
            <w:tcW w:w="96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F5FD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169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8FCF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产品图片</w:t>
            </w:r>
          </w:p>
        </w:tc>
        <w:tc>
          <w:tcPr>
            <w:tcW w:w="134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B409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37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C444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45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46D5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34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33F9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技术参数</w:t>
            </w:r>
          </w:p>
        </w:tc>
      </w:tr>
      <w:tr w14:paraId="0ABA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0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A验斤处</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2F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7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E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74B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F30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4D38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D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电子落地称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51435</wp:posOffset>
                  </wp:positionV>
                  <wp:extent cx="954405" cy="671830"/>
                  <wp:effectExtent l="0" t="0" r="17145" b="13970"/>
                  <wp:wrapNone/>
                  <wp:docPr id="10" name="Picture_56"/>
                  <wp:cNvGraphicFramePr/>
                  <a:graphic xmlns:a="http://schemas.openxmlformats.org/drawingml/2006/main">
                    <a:graphicData uri="http://schemas.openxmlformats.org/drawingml/2006/picture">
                      <pic:pic xmlns:pic="http://schemas.openxmlformats.org/drawingml/2006/picture">
                        <pic:nvPicPr>
                          <pic:cNvPr id="10" name="Picture_56"/>
                          <pic:cNvPicPr/>
                        </pic:nvPicPr>
                        <pic:blipFill>
                          <a:blip r:embed="rId6"/>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E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300kg</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0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A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F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1.分度值：100g，最小称量：1kg， 最大称量：300kg；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2.面板材质：不锈钢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3.供电电源： 蓄电池，支持：超载显示、低电压显示、出错显示。</w:t>
            </w:r>
          </w:p>
        </w:tc>
      </w:tr>
      <w:tr w14:paraId="64A8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7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双层平板工作台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2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189230</wp:posOffset>
                  </wp:positionV>
                  <wp:extent cx="954405" cy="671830"/>
                  <wp:effectExtent l="0" t="0" r="17145" b="13970"/>
                  <wp:wrapNone/>
                  <wp:docPr id="13" name="Picture_80"/>
                  <wp:cNvGraphicFramePr/>
                  <a:graphic xmlns:a="http://schemas.openxmlformats.org/drawingml/2006/main">
                    <a:graphicData uri="http://schemas.openxmlformats.org/drawingml/2006/picture">
                      <pic:pic xmlns:pic="http://schemas.openxmlformats.org/drawingml/2006/picture">
                        <pic:nvPicPr>
                          <pic:cNvPr id="13" name="Picture_80"/>
                          <pic:cNvPicPr/>
                        </pic:nvPicPr>
                        <pic:blipFill>
                          <a:blip r:embed="rId7"/>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5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3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F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1.台面板采用SUS304不锈钢制造；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2.上层台面厚度为1.2mm，下层板厚1.0mm；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3.台面下衬防水机制板厚度18mm；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4.50*50（mm）厚度1.2mm不锈钢方通腿；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5.加强筋用1.0mm不锈钢板；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6.配可调式子弹脚。</w:t>
            </w:r>
          </w:p>
        </w:tc>
      </w:tr>
      <w:tr w14:paraId="2963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2A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B主厨房</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7C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7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8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42AD">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09F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40CA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2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洗地龙头</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6E86B1F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378460</wp:posOffset>
                  </wp:positionV>
                  <wp:extent cx="954405" cy="671830"/>
                  <wp:effectExtent l="0" t="0" r="17145" b="13970"/>
                  <wp:wrapNone/>
                  <wp:docPr id="2" name="Picture_6"/>
                  <wp:cNvGraphicFramePr/>
                  <a:graphic xmlns:a="http://schemas.openxmlformats.org/drawingml/2006/main">
                    <a:graphicData uri="http://schemas.openxmlformats.org/drawingml/2006/picture">
                      <pic:pic xmlns:pic="http://schemas.openxmlformats.org/drawingml/2006/picture">
                        <pic:nvPicPr>
                          <pic:cNvPr id="2" name="Picture_6"/>
                          <pic:cNvPicPr/>
                        </pic:nvPicPr>
                        <pic:blipFill>
                          <a:blip r:embed="rId8"/>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1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7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F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1.开放式洗地龙头、碳钢主体，表面环氧喷涂处理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2.固定侧支架钢板厚度5mm，黄铜进水主体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3.10米重工无痕三层液压钢丝管、与主体接口为金属连接件、耐温85℃耐压300PSI。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4.黄铜铸造表面镀铬花洒喷头配耐热手柄（配置一把喷头）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5.进水接口为标准1/2"外螺纹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6.六向软管导轮，自动卡位软管自动回收</w:t>
            </w:r>
          </w:p>
        </w:tc>
      </w:tr>
      <w:tr w14:paraId="5027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5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单星工作台（左星）</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E96FD5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wp:posOffset>
                  </wp:positionH>
                  <wp:positionV relativeFrom="paragraph">
                    <wp:posOffset>193675</wp:posOffset>
                  </wp:positionV>
                  <wp:extent cx="954405" cy="671830"/>
                  <wp:effectExtent l="0" t="0" r="17145" b="13970"/>
                  <wp:wrapNone/>
                  <wp:docPr id="9" name="Picture_7"/>
                  <wp:cNvGraphicFramePr/>
                  <a:graphic xmlns:a="http://schemas.openxmlformats.org/drawingml/2006/main">
                    <a:graphicData uri="http://schemas.openxmlformats.org/drawingml/2006/picture">
                      <pic:pic xmlns:pic="http://schemas.openxmlformats.org/drawingml/2006/picture">
                        <pic:nvPicPr>
                          <pic:cNvPr id="9" name="Picture_7"/>
                          <pic:cNvPicPr/>
                        </pic:nvPicPr>
                        <pic:blipFill>
                          <a:blip r:embed="rId9"/>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C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5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C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E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r>
      <w:tr w14:paraId="1E02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8"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3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厨房设备灭火装置</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70B0024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154305</wp:posOffset>
                  </wp:positionH>
                  <wp:positionV relativeFrom="paragraph">
                    <wp:posOffset>1419860</wp:posOffset>
                  </wp:positionV>
                  <wp:extent cx="628015" cy="633730"/>
                  <wp:effectExtent l="0" t="0" r="635" b="13970"/>
                  <wp:wrapNone/>
                  <wp:docPr id="4" name="图片_59"/>
                  <wp:cNvGraphicFramePr/>
                  <a:graphic xmlns:a="http://schemas.openxmlformats.org/drawingml/2006/main">
                    <a:graphicData uri="http://schemas.openxmlformats.org/drawingml/2006/picture">
                      <pic:pic xmlns:pic="http://schemas.openxmlformats.org/drawingml/2006/picture">
                        <pic:nvPicPr>
                          <pic:cNvPr id="4" name="图片_59"/>
                          <pic:cNvPicPr/>
                        </pic:nvPicPr>
                        <pic:blipFill>
                          <a:blip r:embed="rId10"/>
                          <a:stretch>
                            <a:fillRect/>
                          </a:stretch>
                        </pic:blipFill>
                        <pic:spPr>
                          <a:xfrm>
                            <a:off x="0" y="0"/>
                            <a:ext cx="628015" cy="6337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5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600*250*700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5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6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灭火系统应对厨房内的明火区域有扑灭及抑制作用，保护煮食炉具。灭火系统亦应有保护炉具上的通风系统连油烟罩及隔油网能力，该设备启动方式有自动启动、手动启动和应急启动功能。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该系统应能够对第一失火灾区作出紧急反应，以防止火势扩散，造成更大灾害。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1.箱体全身采用优质不锈钢材质，单瓶组自带9个高压细水雾喷嘴，保护灶台长度5米，双瓶组带18个高压细水雾喷嘴，保护灶台长度10米。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2.产品为绿色环保型灭火药剂，无色、无味、无毒、无腐蚀、灭火效率快且不复燃等特点，灭火时间：≤1.8s；单瓶充装质量：14.5kg，双瓶充装质量：14.5kg*2；药剂保质期：有效期为3年。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联动性能，单瓶：自动切换时间≤3.5s,喷射延迟时间≤2.0s,喷射时间20.0s,喷嘴工作压力0.48MPa,冷却水喷嘴工作压力0.14MPa，双瓶：自动切换时间≤3.0s,喷射延迟时间≤3.0s,喷射时间26.0s,喷嘴工作压力0.23MPa,冷却水喷嘴工作压力0.12MPa；</w:t>
            </w:r>
          </w:p>
        </w:tc>
      </w:tr>
      <w:tr w14:paraId="2A7A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6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C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单通拉门吊柜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E913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187960</wp:posOffset>
                  </wp:positionV>
                  <wp:extent cx="954405" cy="671830"/>
                  <wp:effectExtent l="0" t="0" r="17145" b="13970"/>
                  <wp:wrapNone/>
                  <wp:docPr id="7" name="Picture_10"/>
                  <wp:cNvGraphicFramePr/>
                  <a:graphic xmlns:a="http://schemas.openxmlformats.org/drawingml/2006/main">
                    <a:graphicData uri="http://schemas.openxmlformats.org/drawingml/2006/picture">
                      <pic:pic xmlns:pic="http://schemas.openxmlformats.org/drawingml/2006/picture">
                        <pic:nvPicPr>
                          <pic:cNvPr id="7" name="Picture_10"/>
                          <pic:cNvPicPr/>
                        </pic:nvPicPr>
                        <pic:blipFill>
                          <a:blip r:embed="rId11"/>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F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1500*350*600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2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p>
        </w:tc>
      </w:tr>
      <w:tr w14:paraId="0075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单通工作柜（带靠背）</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7D00A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192405</wp:posOffset>
                  </wp:positionV>
                  <wp:extent cx="954405" cy="671830"/>
                  <wp:effectExtent l="0" t="0" r="17145" b="13970"/>
                  <wp:wrapNone/>
                  <wp:docPr id="14" name="Picture_11"/>
                  <wp:cNvGraphicFramePr/>
                  <a:graphic xmlns:a="http://schemas.openxmlformats.org/drawingml/2006/main">
                    <a:graphicData uri="http://schemas.openxmlformats.org/drawingml/2006/picture">
                      <pic:pic xmlns:pic="http://schemas.openxmlformats.org/drawingml/2006/picture">
                        <pic:nvPicPr>
                          <pic:cNvPr id="14" name="Picture_11"/>
                          <pic:cNvPicPr/>
                        </pic:nvPicPr>
                        <pic:blipFill>
                          <a:blip r:embed="rId12"/>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1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6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4.下配加强筋,配可调式子弹脚。</w:t>
            </w:r>
          </w:p>
        </w:tc>
      </w:tr>
      <w:tr w14:paraId="72D8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D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A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四门双机双温冰箱</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73FABA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147955</wp:posOffset>
                  </wp:positionV>
                  <wp:extent cx="954405" cy="671830"/>
                  <wp:effectExtent l="0" t="0" r="17145" b="13970"/>
                  <wp:wrapNone/>
                  <wp:docPr id="12" name="Picture_12"/>
                  <wp:cNvGraphicFramePr/>
                  <a:graphic xmlns:a="http://schemas.openxmlformats.org/drawingml/2006/main">
                    <a:graphicData uri="http://schemas.openxmlformats.org/drawingml/2006/picture">
                      <pic:pic xmlns:pic="http://schemas.openxmlformats.org/drawingml/2006/picture">
                        <pic:nvPicPr>
                          <pic:cNvPr id="12" name="Picture_12"/>
                          <pic:cNvPicPr/>
                        </pic:nvPicPr>
                        <pic:blipFill>
                          <a:blip r:embed="rId1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1200*760*1950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F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1.制冷方式：直冷，内外全不锈钢，全铜加厚蒸发器；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2.整体聚氨酯高压发泡，柜门配重力不锈钢门铰；优质压缩机；数字温控显示，温度范围：-2℃～+8℃/-18℃～-12℃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3.功率：300W/220V/50Hz</w:t>
            </w:r>
          </w:p>
        </w:tc>
      </w:tr>
      <w:tr w14:paraId="39AF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6"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F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全自动单门电热蒸饭柜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A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808355" cy="804545"/>
                  <wp:effectExtent l="0" t="0" r="0" b="1524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4"/>
                          <a:stretch>
                            <a:fillRect/>
                          </a:stretch>
                        </pic:blipFill>
                        <pic:spPr>
                          <a:xfrm>
                            <a:off x="0" y="0"/>
                            <a:ext cx="808355" cy="80454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480*745*1645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1.整机柜体采用优质SUS304珐纹贴塑不锈钢板制造；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内胆板厚度1.2mm、面板、门板、前封板厚度1.0mm，侧板、顶板厚度1.0mm；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2.微电脑控制缺水保护、过热保护、定时定温。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3.滑动式门铰链全不锈钢铸件;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4.框架夹层高密度保温材料；整体发泡工艺；自动进水。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5.配12个冲压成型的不锈钢盘。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6.304材质加长型发热管；功率：380V/12KW。</w:t>
            </w:r>
          </w:p>
        </w:tc>
      </w:tr>
      <w:tr w14:paraId="458E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B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电磁单头800大锅灶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257175</wp:posOffset>
                  </wp:positionV>
                  <wp:extent cx="833755" cy="875030"/>
                  <wp:effectExtent l="0" t="0" r="4445" b="1270"/>
                  <wp:wrapNone/>
                  <wp:docPr id="3" name="图片_68"/>
                  <wp:cNvGraphicFramePr/>
                  <a:graphic xmlns:a="http://schemas.openxmlformats.org/drawingml/2006/main">
                    <a:graphicData uri="http://schemas.openxmlformats.org/drawingml/2006/picture">
                      <pic:pic xmlns:pic="http://schemas.openxmlformats.org/drawingml/2006/picture">
                        <pic:nvPicPr>
                          <pic:cNvPr id="3" name="图片_68"/>
                          <pic:cNvPicPr/>
                        </pic:nvPicPr>
                        <pic:blipFill>
                          <a:blip r:embed="rId15"/>
                          <a:stretch>
                            <a:fillRect/>
                          </a:stretch>
                        </pic:blipFill>
                        <pic:spPr>
                          <a:xfrm>
                            <a:off x="0" y="0"/>
                            <a:ext cx="833755" cy="8750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1100*1100*800+450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1.加热面积大、加热均匀。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2.大功率加热，火力强劲，满足大份量爆炒、焖煮的烹饪需求，显著提升出品效率。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3.材质：全 SUS304 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4.水龙头：配备 SUS304 不锈钢摇摆水龙头，可以180度旋转，安全防漏。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5.把手：9 档火力调节，人机工效学设计 ，合金材质火力调节把手搭配硅胶防滑垫，档位清晰控感好，适应厨师使用习惯，可直接用膝盖控制。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9.耐高温“齿”形线盘组件，搭配高效聚能稀土磁条，创新导风散热结构，磁场分布均匀，发热低、损耗小、不偏火、不烧线盘。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功率：380V/20KW.</w:t>
            </w:r>
          </w:p>
        </w:tc>
      </w:tr>
      <w:tr w14:paraId="7B4B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A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电磁单头矮汤炉</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48A4FB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1033780</wp:posOffset>
                  </wp:positionV>
                  <wp:extent cx="954405" cy="671830"/>
                  <wp:effectExtent l="0" t="0" r="17145" b="13970"/>
                  <wp:wrapNone/>
                  <wp:docPr id="5" name="Picture_15"/>
                  <wp:cNvGraphicFramePr/>
                  <a:graphic xmlns:a="http://schemas.openxmlformats.org/drawingml/2006/main">
                    <a:graphicData uri="http://schemas.openxmlformats.org/drawingml/2006/picture">
                      <pic:pic xmlns:pic="http://schemas.openxmlformats.org/drawingml/2006/picture">
                        <pic:nvPicPr>
                          <pic:cNvPr id="5" name="Picture_15"/>
                          <pic:cNvPicPr/>
                        </pic:nvPicPr>
                        <pic:blipFill>
                          <a:blip r:embed="rId16"/>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B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700*850*（530+720）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C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9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1.材质：全SUS304不锈钢框架式结构机身，耐腐蚀，经久耐用。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2.水龙头：配备 SUS304 不锈钢摇摆水龙头，可以 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3.面板：耐撞击高密度微晶面板，坚固耐用。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4.把手：5 档火力调节，人机工效学设计 (Ergonomics)，合金材质火力调节把手搭配硅胶防滑垫，档位清晰控感好，适应厨师使用习惯。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6.防水：IPX6 标准防水设计，清洁时可直接冲洗，台面无死角，不会藏污纳垢。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8.功率：380V/15KW，50HZ；</w:t>
            </w:r>
          </w:p>
        </w:tc>
      </w:tr>
      <w:tr w14:paraId="5E86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D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炉拼台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C6E77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197485</wp:posOffset>
                  </wp:positionV>
                  <wp:extent cx="954405" cy="671830"/>
                  <wp:effectExtent l="0" t="0" r="17145" b="13970"/>
                  <wp:wrapNone/>
                  <wp:docPr id="8" name="Picture_16"/>
                  <wp:cNvGraphicFramePr/>
                  <a:graphic xmlns:a="http://schemas.openxmlformats.org/drawingml/2006/main">
                    <a:graphicData uri="http://schemas.openxmlformats.org/drawingml/2006/picture">
                      <pic:pic xmlns:pic="http://schemas.openxmlformats.org/drawingml/2006/picture">
                        <pic:nvPicPr>
                          <pic:cNvPr id="8" name="Picture_16"/>
                          <pic:cNvPicPr/>
                        </pic:nvPicPr>
                        <pic:blipFill>
                          <a:blip r:embed="rId17"/>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400*1100*800+450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2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8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1.整体采用优质SUS304不锈钢板，面板用1.2mm厚不锈钢板，其余1.0mm厚不锈钢板。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2.脚柱为不锈钢38*38（mm）1.0mm厚不锈钢方管；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3.四脚采用子弹式调节脚。</w:t>
            </w:r>
          </w:p>
        </w:tc>
      </w:tr>
      <w:tr w14:paraId="1291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4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电磁单头单尾小炒灶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574675</wp:posOffset>
                  </wp:positionV>
                  <wp:extent cx="921385" cy="702310"/>
                  <wp:effectExtent l="0" t="0" r="0" b="2540"/>
                  <wp:wrapNone/>
                  <wp:docPr id="6" name="图片_67"/>
                  <wp:cNvGraphicFramePr/>
                  <a:graphic xmlns:a="http://schemas.openxmlformats.org/drawingml/2006/main">
                    <a:graphicData uri="http://schemas.openxmlformats.org/drawingml/2006/picture">
                      <pic:pic xmlns:pic="http://schemas.openxmlformats.org/drawingml/2006/picture">
                        <pic:nvPicPr>
                          <pic:cNvPr id="6" name="图片_67"/>
                          <pic:cNvPicPr/>
                        </pic:nvPicPr>
                        <pic:blipFill>
                          <a:blip r:embed="rId18"/>
                          <a:stretch>
                            <a:fillRect/>
                          </a:stretch>
                        </pic:blipFill>
                        <pic:spPr>
                          <a:xfrm>
                            <a:off x="0" y="0"/>
                            <a:ext cx="921385" cy="70231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1100*1100*800+450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1.明火仿真技术，能根据锅具材质、移动速度、温度、位置进行实时追踪加热，达到最佳火力。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2.突破电磁灶无法抛锅的应用瓶颈，实现抛锅爆炒不断火。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3.超大加热面积，火力更均匀，加热不偏火。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4.材质：全 SUS304 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5.水龙头：配备 SUS304 不锈钢摇摆水龙头，可以180度旋转，安全防漏。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6.面板：耐撞击高密度弧形微晶面板，坚固耐用。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7.把手：5 档火力调节，人机工效学设计 (Ergonomics)，合金材质火力调节把手搭配硅胶防滑垫，档位清晰控感好，适应厨师使用习惯，可直接用膝盖控制。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11.耐高温“齿”形线盘组件，搭配高效聚能稀土磁条，创新导风散热结构，磁场分布均匀，发热低、损耗小、不偏火、不烧线盘。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功率：380V/15KW</w:t>
            </w:r>
          </w:p>
        </w:tc>
      </w:tr>
      <w:tr w14:paraId="77E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D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油烟净化一体机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280670</wp:posOffset>
                  </wp:positionV>
                  <wp:extent cx="965200" cy="600075"/>
                  <wp:effectExtent l="0" t="0" r="6350" b="9525"/>
                  <wp:wrapNone/>
                  <wp:docPr id="28" name="图片_43"/>
                  <wp:cNvGraphicFramePr/>
                  <a:graphic xmlns:a="http://schemas.openxmlformats.org/drawingml/2006/main">
                    <a:graphicData uri="http://schemas.openxmlformats.org/drawingml/2006/picture">
                      <pic:pic xmlns:pic="http://schemas.openxmlformats.org/drawingml/2006/picture">
                        <pic:nvPicPr>
                          <pic:cNvPr id="28" name="图片_43"/>
                          <pic:cNvPicPr/>
                        </pic:nvPicPr>
                        <pic:blipFill>
                          <a:blip r:embed="rId19"/>
                          <a:stretch>
                            <a:fillRect/>
                          </a:stretch>
                        </pic:blipFill>
                        <pic:spPr>
                          <a:xfrm>
                            <a:off x="0" y="0"/>
                            <a:ext cx="965200" cy="60007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A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2000*1300*900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3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6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1.烟罩、动态拦截、静电净化、风机抽排、一体化，多重油烟分离技术，高效便捷，节省空间;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2.304不锈钢材质制作箱体，美观耐用;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3.静电电场采用铝合金材质制作，电离段用锯齿放电，不易断裂，保证长久耐用;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4.控制模块采用一体式按键或触摸屏，可手势启停；                                                                              5.烟罩进口配导风板吸力更强劲，内部配冷凝历油板；                                                                       6.配备动态拦截风机，快速旋转，油烟分离更高效;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7.设备电源具备开机延时启动功能，具有对运行中负载出现的短路、拉弧、漏电，过载等多重保护;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8.油烟净化率符合地方环保部门要求及验收。</w:t>
            </w:r>
          </w:p>
        </w:tc>
      </w:tr>
      <w:tr w14:paraId="5695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B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0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双星水池</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D482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321310</wp:posOffset>
                  </wp:positionV>
                  <wp:extent cx="954405" cy="671830"/>
                  <wp:effectExtent l="0" t="0" r="17145" b="13970"/>
                  <wp:wrapNone/>
                  <wp:docPr id="45" name="Picture_19"/>
                  <wp:cNvGraphicFramePr/>
                  <a:graphic xmlns:a="http://schemas.openxmlformats.org/drawingml/2006/main">
                    <a:graphicData uri="http://schemas.openxmlformats.org/drawingml/2006/picture">
                      <pic:pic xmlns:pic="http://schemas.openxmlformats.org/drawingml/2006/picture">
                        <pic:nvPicPr>
                          <pic:cNvPr id="45" name="Picture_19"/>
                          <pic:cNvPicPr/>
                        </pic:nvPicPr>
                        <pic:blipFill>
                          <a:blip r:embed="rId20"/>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D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C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r>
      <w:tr w14:paraId="2BC4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绞切肉机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2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129540</wp:posOffset>
                  </wp:positionH>
                  <wp:positionV relativeFrom="paragraph">
                    <wp:posOffset>112395</wp:posOffset>
                  </wp:positionV>
                  <wp:extent cx="666115" cy="694055"/>
                  <wp:effectExtent l="0" t="0" r="635" b="10795"/>
                  <wp:wrapNone/>
                  <wp:docPr id="33" name="图片_66"/>
                  <wp:cNvGraphicFramePr/>
                  <a:graphic xmlns:a="http://schemas.openxmlformats.org/drawingml/2006/main">
                    <a:graphicData uri="http://schemas.openxmlformats.org/drawingml/2006/picture">
                      <pic:pic xmlns:pic="http://schemas.openxmlformats.org/drawingml/2006/picture">
                        <pic:nvPicPr>
                          <pic:cNvPr id="33" name="图片_66"/>
                          <pic:cNvPicPr/>
                        </pic:nvPicPr>
                        <pic:blipFill>
                          <a:blip r:embed="rId21"/>
                          <a:stretch>
                            <a:fillRect/>
                          </a:stretch>
                        </pic:blipFill>
                        <pic:spPr>
                          <a:xfrm>
                            <a:off x="0" y="0"/>
                            <a:ext cx="666115" cy="69405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0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700*600*770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1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F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1.用途：将肉类切片，搅泥   额定电压:220V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3.速度:200r/min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4.生产能力:260/400kg/h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5.功率：1.5KW/2.2KW</w:t>
            </w:r>
          </w:p>
        </w:tc>
      </w:tr>
      <w:tr w14:paraId="0E92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A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活动双层平板工作台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3D49365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299085</wp:posOffset>
                  </wp:positionV>
                  <wp:extent cx="954405" cy="671830"/>
                  <wp:effectExtent l="0" t="0" r="17145" b="13970"/>
                  <wp:wrapNone/>
                  <wp:docPr id="40" name="Picture_21"/>
                  <wp:cNvGraphicFramePr/>
                  <a:graphic xmlns:a="http://schemas.openxmlformats.org/drawingml/2006/main">
                    <a:graphicData uri="http://schemas.openxmlformats.org/drawingml/2006/picture">
                      <pic:pic xmlns:pic="http://schemas.openxmlformats.org/drawingml/2006/picture">
                        <pic:nvPicPr>
                          <pic:cNvPr id="40" name="Picture_21"/>
                          <pic:cNvPicPr/>
                        </pic:nvPicPr>
                        <pic:blipFill>
                          <a:blip r:embed="rId22"/>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A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7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1.台面板采用SUS304不锈钢制造；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2.上层台面厚度为1.2mm，下层板厚1.0mm；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3.台面下衬防水机制板厚度18mm；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4.50*50（mm）厚度1.2mm不锈钢方通腿；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5.加强筋用1.0mm不锈钢板；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6.配加强型聚氨酯（PU）4寸脚轮；万向2个，定向2个，配脚刹。</w:t>
            </w:r>
          </w:p>
        </w:tc>
      </w:tr>
      <w:tr w14:paraId="381F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四层栅格层架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5476E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205105</wp:posOffset>
                  </wp:positionV>
                  <wp:extent cx="954405" cy="671830"/>
                  <wp:effectExtent l="0" t="0" r="17145" b="13970"/>
                  <wp:wrapNone/>
                  <wp:docPr id="15" name="Picture_22"/>
                  <wp:cNvGraphicFramePr/>
                  <a:graphic xmlns:a="http://schemas.openxmlformats.org/drawingml/2006/main">
                    <a:graphicData uri="http://schemas.openxmlformats.org/drawingml/2006/picture">
                      <pic:pic xmlns:pic="http://schemas.openxmlformats.org/drawingml/2006/picture">
                        <pic:nvPicPr>
                          <pic:cNvPr id="15" name="Picture_22"/>
                          <pic:cNvPicPr/>
                        </pic:nvPicPr>
                        <pic:blipFill>
                          <a:blip r:embed="rId2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6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1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2.条板采用1.0mm厚板，折成死边；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r>
      <w:tr w14:paraId="0D35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刀具砧板消毒柜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F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135255</wp:posOffset>
                  </wp:positionV>
                  <wp:extent cx="892175" cy="626745"/>
                  <wp:effectExtent l="0" t="0" r="3175" b="1905"/>
                  <wp:wrapNone/>
                  <wp:docPr id="34" name="Picture_103"/>
                  <wp:cNvGraphicFramePr/>
                  <a:graphic xmlns:a="http://schemas.openxmlformats.org/drawingml/2006/main">
                    <a:graphicData uri="http://schemas.openxmlformats.org/drawingml/2006/picture">
                      <pic:pic xmlns:pic="http://schemas.openxmlformats.org/drawingml/2006/picture">
                        <pic:nvPicPr>
                          <pic:cNvPr id="34" name="Picture_103"/>
                          <pic:cNvPicPr/>
                        </pic:nvPicPr>
                        <pic:blipFill>
                          <a:blip r:embed="rId24"/>
                          <a:stretch>
                            <a:fillRect/>
                          </a:stretch>
                        </pic:blipFill>
                        <pic:spPr>
                          <a:xfrm>
                            <a:off x="0" y="0"/>
                            <a:ext cx="892175" cy="62674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1200*650*1700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4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8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1.采用SUS304不锈钢板制造，厚度为1.2mm，侧板.底板采用1.0mm；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2.电压：220v；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3.刀数量：≥6把；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4.消毒砧板数量：≥6块（砧板直径50cm厚度5-10cm）</w:t>
            </w:r>
          </w:p>
        </w:tc>
      </w:tr>
      <w:tr w14:paraId="0744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46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C仓库</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771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B3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DA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404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946">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0C4C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2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四层平板货架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B8E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80645</wp:posOffset>
                  </wp:positionH>
                  <wp:positionV relativeFrom="paragraph">
                    <wp:posOffset>222250</wp:posOffset>
                  </wp:positionV>
                  <wp:extent cx="582295" cy="533400"/>
                  <wp:effectExtent l="0" t="0" r="8255" b="0"/>
                  <wp:wrapNone/>
                  <wp:docPr id="30" name="图片_22"/>
                  <wp:cNvGraphicFramePr/>
                  <a:graphic xmlns:a="http://schemas.openxmlformats.org/drawingml/2006/main">
                    <a:graphicData uri="http://schemas.openxmlformats.org/drawingml/2006/picture">
                      <pic:pic xmlns:pic="http://schemas.openxmlformats.org/drawingml/2006/picture">
                        <pic:nvPicPr>
                          <pic:cNvPr id="30" name="图片_22"/>
                          <pic:cNvPicPr/>
                        </pic:nvPicPr>
                        <pic:blipFill>
                          <a:blip r:embed="rId25"/>
                          <a:stretch>
                            <a:fillRect/>
                          </a:stretch>
                        </pic:blipFill>
                        <pic:spPr>
                          <a:xfrm>
                            <a:off x="0" y="0"/>
                            <a:ext cx="582295" cy="5334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1200*500*1800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2.层板厚1.0mm不锈钢板；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3.面板下采用折弯一体加强筋，板厚1.0mm；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r>
      <w:tr w14:paraId="338E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A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四层平板货架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9DFC6E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80645</wp:posOffset>
                  </wp:positionH>
                  <wp:positionV relativeFrom="paragraph">
                    <wp:posOffset>247650</wp:posOffset>
                  </wp:positionV>
                  <wp:extent cx="582295" cy="533400"/>
                  <wp:effectExtent l="0" t="0" r="8255" b="0"/>
                  <wp:wrapNone/>
                  <wp:docPr id="24" name="图片_22_SpCnt_1"/>
                  <wp:cNvGraphicFramePr/>
                  <a:graphic xmlns:a="http://schemas.openxmlformats.org/drawingml/2006/main">
                    <a:graphicData uri="http://schemas.openxmlformats.org/drawingml/2006/picture">
                      <pic:pic xmlns:pic="http://schemas.openxmlformats.org/drawingml/2006/picture">
                        <pic:nvPicPr>
                          <pic:cNvPr id="24" name="图片_22_SpCnt_1"/>
                          <pic:cNvPicPr/>
                        </pic:nvPicPr>
                        <pic:blipFill>
                          <a:blip r:embed="rId25"/>
                          <a:stretch>
                            <a:fillRect/>
                          </a:stretch>
                        </pic:blipFill>
                        <pic:spPr>
                          <a:xfrm>
                            <a:off x="0" y="0"/>
                            <a:ext cx="582295" cy="5334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2.层板厚1.0mm不锈钢板；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3.面板下采用折弯一体加强筋，板厚1.0mm；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r>
      <w:tr w14:paraId="6CF3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C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B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平板车</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963F0A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192405</wp:posOffset>
                  </wp:positionV>
                  <wp:extent cx="954405" cy="671830"/>
                  <wp:effectExtent l="0" t="0" r="17145" b="13970"/>
                  <wp:wrapNone/>
                  <wp:docPr id="31" name="Picture_24"/>
                  <wp:cNvGraphicFramePr/>
                  <a:graphic xmlns:a="http://schemas.openxmlformats.org/drawingml/2006/main">
                    <a:graphicData uri="http://schemas.openxmlformats.org/drawingml/2006/picture">
                      <pic:pic xmlns:pic="http://schemas.openxmlformats.org/drawingml/2006/picture">
                        <pic:nvPicPr>
                          <pic:cNvPr id="31" name="Picture_24"/>
                          <pic:cNvPicPr/>
                        </pic:nvPicPr>
                        <pic:blipFill>
                          <a:blip r:embed="rId26"/>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850*600*800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3.推手采用φ38mm不锈钢管制作；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4.配加强型聚氨酯（PU）4寸脚轮；万向2个，定向2个，配脚刹。</w:t>
            </w:r>
          </w:p>
        </w:tc>
      </w:tr>
      <w:tr w14:paraId="42BD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米面架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D46B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186690</wp:posOffset>
                  </wp:positionV>
                  <wp:extent cx="954405" cy="671830"/>
                  <wp:effectExtent l="0" t="0" r="17145" b="13970"/>
                  <wp:wrapNone/>
                  <wp:docPr id="25" name="Picture_25"/>
                  <wp:cNvGraphicFramePr/>
                  <a:graphic xmlns:a="http://schemas.openxmlformats.org/drawingml/2006/main">
                    <a:graphicData uri="http://schemas.openxmlformats.org/drawingml/2006/picture">
                      <pic:pic xmlns:pic="http://schemas.openxmlformats.org/drawingml/2006/picture">
                        <pic:nvPicPr>
                          <pic:cNvPr id="25" name="Picture_25"/>
                          <pic:cNvPicPr/>
                        </pic:nvPicPr>
                        <pic:blipFill>
                          <a:blip r:embed="rId27"/>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9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2.方管厚1.5mm，骨架厚1.5mm，栅板厚1.5mm，主横档50*25mm，直档50*50（mm）全不锈钢方管。</w:t>
            </w:r>
          </w:p>
        </w:tc>
      </w:tr>
      <w:tr w14:paraId="2A4D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E9E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D二次更衣间</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3CB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3E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AA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67F">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371">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6C6A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5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9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干手器</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43667E2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193675</wp:posOffset>
                  </wp:positionV>
                  <wp:extent cx="954405" cy="671830"/>
                  <wp:effectExtent l="0" t="0" r="17145" b="13970"/>
                  <wp:wrapNone/>
                  <wp:docPr id="19" name="Picture_26"/>
                  <wp:cNvGraphicFramePr/>
                  <a:graphic xmlns:a="http://schemas.openxmlformats.org/drawingml/2006/main">
                    <a:graphicData uri="http://schemas.openxmlformats.org/drawingml/2006/picture">
                      <pic:pic xmlns:pic="http://schemas.openxmlformats.org/drawingml/2006/picture">
                        <pic:nvPicPr>
                          <pic:cNvPr id="19" name="Picture_26"/>
                          <pic:cNvPicPr/>
                        </pic:nvPicPr>
                        <pic:blipFill>
                          <a:blip r:embed="rId28"/>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6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156*176*207</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4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1.挂墙式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2.功率：220V/1.2kw</w:t>
            </w:r>
          </w:p>
        </w:tc>
      </w:tr>
      <w:tr w14:paraId="1323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C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9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洗手柜连挤液器</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0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-6350</wp:posOffset>
                  </wp:positionV>
                  <wp:extent cx="774065" cy="867410"/>
                  <wp:effectExtent l="0" t="0" r="6985" b="8890"/>
                  <wp:wrapNone/>
                  <wp:docPr id="39" name="图片_11"/>
                  <wp:cNvGraphicFramePr/>
                  <a:graphic xmlns:a="http://schemas.openxmlformats.org/drawingml/2006/main">
                    <a:graphicData uri="http://schemas.openxmlformats.org/drawingml/2006/picture">
                      <pic:pic xmlns:pic="http://schemas.openxmlformats.org/drawingml/2006/picture">
                        <pic:nvPicPr>
                          <pic:cNvPr id="39" name="图片_11"/>
                          <pic:cNvPicPr/>
                        </pic:nvPicPr>
                        <pic:blipFill>
                          <a:blip r:embed="rId29"/>
                          <a:stretch>
                            <a:fillRect/>
                          </a:stretch>
                        </pic:blipFill>
                        <pic:spPr>
                          <a:xfrm>
                            <a:off x="0" y="0"/>
                            <a:ext cx="774065" cy="86741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400*350*800</w:t>
            </w:r>
          </w:p>
        </w:tc>
        <w:tc>
          <w:tcPr>
            <w:tcW w:w="371" w:type="dxa"/>
            <w:tcBorders>
              <w:top w:val="nil"/>
              <w:left w:val="nil"/>
              <w:bottom w:val="nil"/>
              <w:right w:val="nil"/>
            </w:tcBorders>
            <w:shd w:val="clear" w:color="auto" w:fill="auto"/>
            <w:noWrap/>
            <w:vAlign w:val="center"/>
          </w:tcPr>
          <w:p w14:paraId="2C203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7.配感应水龙头、挤液器、配可调式子弹脚。</w:t>
            </w:r>
          </w:p>
        </w:tc>
      </w:tr>
      <w:tr w14:paraId="41D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0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F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挂衣钩</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420E421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180975</wp:posOffset>
                  </wp:positionV>
                  <wp:extent cx="954405" cy="671830"/>
                  <wp:effectExtent l="0" t="0" r="17145" b="13970"/>
                  <wp:wrapNone/>
                  <wp:docPr id="41" name="Picture_28"/>
                  <wp:cNvGraphicFramePr/>
                  <a:graphic xmlns:a="http://schemas.openxmlformats.org/drawingml/2006/main">
                    <a:graphicData uri="http://schemas.openxmlformats.org/drawingml/2006/picture">
                      <pic:pic xmlns:pic="http://schemas.openxmlformats.org/drawingml/2006/picture">
                        <pic:nvPicPr>
                          <pic:cNvPr id="41" name="Picture_28"/>
                          <pic:cNvPicPr/>
                        </pic:nvPicPr>
                        <pic:blipFill>
                          <a:blip r:embed="rId30"/>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410*45*50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F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1.采用SUS304优质不锈钢加厚制作,一次冲压成型。</w:t>
            </w:r>
          </w:p>
        </w:tc>
      </w:tr>
      <w:tr w14:paraId="0C7C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5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E售餐间</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2E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AB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6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1795">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DB6">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254F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油烟净化一体机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8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297180</wp:posOffset>
                  </wp:positionV>
                  <wp:extent cx="935355" cy="600075"/>
                  <wp:effectExtent l="0" t="0" r="17145" b="9525"/>
                  <wp:wrapNone/>
                  <wp:docPr id="37" name="图片_42"/>
                  <wp:cNvGraphicFramePr/>
                  <a:graphic xmlns:a="http://schemas.openxmlformats.org/drawingml/2006/main">
                    <a:graphicData uri="http://schemas.openxmlformats.org/drawingml/2006/picture">
                      <pic:pic xmlns:pic="http://schemas.openxmlformats.org/drawingml/2006/picture">
                        <pic:nvPicPr>
                          <pic:cNvPr id="37" name="图片_42"/>
                          <pic:cNvPicPr/>
                        </pic:nvPicPr>
                        <pic:blipFill>
                          <a:blip r:embed="rId31"/>
                          <a:stretch>
                            <a:fillRect/>
                          </a:stretch>
                        </pic:blipFill>
                        <pic:spPr>
                          <a:xfrm>
                            <a:off x="0" y="0"/>
                            <a:ext cx="935355" cy="60007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2000*1300*900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F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4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1.烟罩、动态拦截、静电净化、风机抽排、一体化，多重油烟分离技术，高效便捷，节省空间;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2.304不锈钢材质制作箱体，美观耐用;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3.静电电场采用铝合金材质制作，电离段用锯齿放电，不易断裂，保证长久耐用;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4.控制模块采用一体式按键或触摸屏，可手势启停；                                                                              5.烟罩进口配导风板吸力更强劲，内部配冷凝历油板；                                                                       6.配备动态拦截风机，快速旋转，油烟分离更高效;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7.设备电源具备开机延时启动功能，具有对运行中负载出现的短路、拉弧、漏电，过载等多重保护;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8.油烟净化率符合地方环保部门要求及验收。</w:t>
            </w:r>
          </w:p>
        </w:tc>
      </w:tr>
      <w:tr w14:paraId="45CB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玻璃门留样冰箱</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2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127000</wp:posOffset>
                  </wp:positionH>
                  <wp:positionV relativeFrom="paragraph">
                    <wp:posOffset>22860</wp:posOffset>
                  </wp:positionV>
                  <wp:extent cx="514350" cy="805815"/>
                  <wp:effectExtent l="0" t="0" r="0" b="13335"/>
                  <wp:wrapNone/>
                  <wp:docPr id="26" name="图片_64"/>
                  <wp:cNvGraphicFramePr/>
                  <a:graphic xmlns:a="http://schemas.openxmlformats.org/drawingml/2006/main">
                    <a:graphicData uri="http://schemas.openxmlformats.org/drawingml/2006/picture">
                      <pic:pic xmlns:pic="http://schemas.openxmlformats.org/drawingml/2006/picture">
                        <pic:nvPicPr>
                          <pic:cNvPr id="26" name="图片_64"/>
                          <pic:cNvPicPr/>
                        </pic:nvPicPr>
                        <pic:blipFill>
                          <a:blip r:embed="rId32"/>
                          <a:stretch>
                            <a:fillRect/>
                          </a:stretch>
                        </pic:blipFill>
                        <pic:spPr>
                          <a:xfrm>
                            <a:off x="0" y="0"/>
                            <a:ext cx="514350" cy="80581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F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600*750*1980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A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9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2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1.制冷方式：直冷，内外全不锈钢，全铜加厚蒸发器；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2.整体聚氨酯高压发泡，柜门配重力不锈钢门铰；优质压缩机；数字温控显示，温度范围：-2℃～+8℃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3.功率：200W/220V/50Hz</w:t>
            </w:r>
          </w:p>
        </w:tc>
      </w:tr>
      <w:tr w14:paraId="67AB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炉拼台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42F109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192405</wp:posOffset>
                  </wp:positionV>
                  <wp:extent cx="954405" cy="671830"/>
                  <wp:effectExtent l="0" t="0" r="17145" b="13970"/>
                  <wp:wrapNone/>
                  <wp:docPr id="42" name="Picture_31"/>
                  <wp:cNvGraphicFramePr/>
                  <a:graphic xmlns:a="http://schemas.openxmlformats.org/drawingml/2006/main">
                    <a:graphicData uri="http://schemas.openxmlformats.org/drawingml/2006/picture">
                      <pic:pic xmlns:pic="http://schemas.openxmlformats.org/drawingml/2006/picture">
                        <pic:nvPicPr>
                          <pic:cNvPr id="42" name="Picture_31"/>
                          <pic:cNvPicPr/>
                        </pic:nvPicPr>
                        <pic:blipFill>
                          <a:blip r:embed="rId3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F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300*800*800+450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1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4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1.整体采用优质SUS304不锈钢板，面板用1.2mm厚不锈钢板，其余1.0mm厚不锈钢板。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2.脚柱为不锈钢38*38（mm）1.0mm厚不锈钢方管；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3.四脚采用子弹式调节脚。</w:t>
            </w:r>
          </w:p>
        </w:tc>
      </w:tr>
      <w:tr w14:paraId="36D2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0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E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电饼铛</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E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144145</wp:posOffset>
                  </wp:positionH>
                  <wp:positionV relativeFrom="paragraph">
                    <wp:posOffset>193675</wp:posOffset>
                  </wp:positionV>
                  <wp:extent cx="497205" cy="582295"/>
                  <wp:effectExtent l="0" t="0" r="17145" b="8255"/>
                  <wp:wrapNone/>
                  <wp:docPr id="43" name="图片_63"/>
                  <wp:cNvGraphicFramePr/>
                  <a:graphic xmlns:a="http://schemas.openxmlformats.org/drawingml/2006/main">
                    <a:graphicData uri="http://schemas.openxmlformats.org/drawingml/2006/picture">
                      <pic:pic xmlns:pic="http://schemas.openxmlformats.org/drawingml/2006/picture">
                        <pic:nvPicPr>
                          <pic:cNvPr id="43" name="图片_63"/>
                          <pic:cNvPicPr/>
                        </pic:nvPicPr>
                        <pic:blipFill>
                          <a:blip r:embed="rId34"/>
                          <a:stretch>
                            <a:fillRect/>
                          </a:stretch>
                        </pic:blipFill>
                        <pic:spPr>
                          <a:xfrm>
                            <a:off x="0" y="0"/>
                            <a:ext cx="497205" cy="58229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A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720*655*745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2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1.电源：380V；功率：4.8KW；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2.内径：53CM；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3.规格：GL-600</w:t>
            </w:r>
          </w:p>
        </w:tc>
      </w:tr>
      <w:tr w14:paraId="3BD4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0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电磁煮面炉</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C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81280</wp:posOffset>
                  </wp:positionV>
                  <wp:extent cx="905510" cy="731520"/>
                  <wp:effectExtent l="0" t="0" r="8890" b="11430"/>
                  <wp:wrapNone/>
                  <wp:docPr id="44" name="Picture_109"/>
                  <wp:cNvGraphicFramePr/>
                  <a:graphic xmlns:a="http://schemas.openxmlformats.org/drawingml/2006/main">
                    <a:graphicData uri="http://schemas.openxmlformats.org/drawingml/2006/picture">
                      <pic:pic xmlns:pic="http://schemas.openxmlformats.org/drawingml/2006/picture">
                        <pic:nvPicPr>
                          <pic:cNvPr id="44" name="Picture_109"/>
                          <pic:cNvPicPr/>
                        </pic:nvPicPr>
                        <pic:blipFill>
                          <a:blip r:embed="rId35"/>
                          <a:stretch>
                            <a:fillRect/>
                          </a:stretch>
                        </pic:blipFill>
                        <pic:spPr>
                          <a:xfrm>
                            <a:off x="0" y="0"/>
                            <a:ext cx="905510" cy="73152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D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800*800*850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5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1.特制线盘组件，扩大加热面积，确保汤桶底部加热均匀。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2.汤桶无清洁死角，更易清洁。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3.材质：全不锈钢加厚机身，美观大方，坚固耐用。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4.调控：旋转式五档火力轻松调节，人性化设计，操作简单方便，火候掌控更精确。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5.显示：动态火力显示面板，直观显示当前火力强度。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7.智能防干烧保护系统，汤桶内无需感温探头，使用寿命更长。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9.耐高温齿形线盘组件，搭配高效聚能磁条，磁场分布均匀，扩大加热面积，确保汤桶底部全尺寸均匀受热。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功率：380V/15KW</w:t>
            </w:r>
          </w:p>
        </w:tc>
      </w:tr>
      <w:tr w14:paraId="7D4A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6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单通工作柜（带靠背）</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A0DB7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255270</wp:posOffset>
                  </wp:positionV>
                  <wp:extent cx="954405" cy="671830"/>
                  <wp:effectExtent l="0" t="0" r="17145" b="13970"/>
                  <wp:wrapNone/>
                  <wp:docPr id="27" name="Picture_34"/>
                  <wp:cNvGraphicFramePr/>
                  <a:graphic xmlns:a="http://schemas.openxmlformats.org/drawingml/2006/main">
                    <a:graphicData uri="http://schemas.openxmlformats.org/drawingml/2006/picture">
                      <pic:pic xmlns:pic="http://schemas.openxmlformats.org/drawingml/2006/picture">
                        <pic:nvPicPr>
                          <pic:cNvPr id="27" name="Picture_34"/>
                          <pic:cNvPicPr/>
                        </pic:nvPicPr>
                        <pic:blipFill>
                          <a:blip r:embed="rId12"/>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A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6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C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5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4.下配加强筋,配可调式子弹脚。</w:t>
            </w:r>
          </w:p>
        </w:tc>
      </w:tr>
      <w:tr w14:paraId="0366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B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单星盆水池柜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6D22879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360680</wp:posOffset>
                  </wp:positionV>
                  <wp:extent cx="954405" cy="671830"/>
                  <wp:effectExtent l="0" t="0" r="17145" b="13970"/>
                  <wp:wrapNone/>
                  <wp:docPr id="46" name="Picture_36"/>
                  <wp:cNvGraphicFramePr/>
                  <a:graphic xmlns:a="http://schemas.openxmlformats.org/drawingml/2006/main">
                    <a:graphicData uri="http://schemas.openxmlformats.org/drawingml/2006/picture">
                      <pic:pic xmlns:pic="http://schemas.openxmlformats.org/drawingml/2006/picture">
                        <pic:nvPicPr>
                          <pic:cNvPr id="46" name="Picture_36"/>
                          <pic:cNvPicPr/>
                        </pic:nvPicPr>
                        <pic:blipFill>
                          <a:blip r:embed="rId36"/>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7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7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A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r>
      <w:tr w14:paraId="502F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四格保温售饭工作柜连蒸菜台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C023CD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389890</wp:posOffset>
                  </wp:positionV>
                  <wp:extent cx="954405" cy="671830"/>
                  <wp:effectExtent l="0" t="0" r="17145" b="13970"/>
                  <wp:wrapNone/>
                  <wp:docPr id="29" name="Picture_37"/>
                  <wp:cNvGraphicFramePr/>
                  <a:graphic xmlns:a="http://schemas.openxmlformats.org/drawingml/2006/main">
                    <a:graphicData uri="http://schemas.openxmlformats.org/drawingml/2006/picture">
                      <pic:pic xmlns:pic="http://schemas.openxmlformats.org/drawingml/2006/picture">
                        <pic:nvPicPr>
                          <pic:cNvPr id="29" name="Picture_37"/>
                          <pic:cNvPicPr/>
                        </pic:nvPicPr>
                        <pic:blipFill>
                          <a:blip r:embed="rId37"/>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1500*900*810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5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5.配食品级不锈钢份数盆。</w:t>
            </w:r>
          </w:p>
        </w:tc>
      </w:tr>
      <w:tr w14:paraId="4A8A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5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四桶保温柜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-160655</wp:posOffset>
                  </wp:positionV>
                  <wp:extent cx="958850" cy="593725"/>
                  <wp:effectExtent l="0" t="0" r="12700" b="15875"/>
                  <wp:wrapNone/>
                  <wp:docPr id="18" name="Picture_102"/>
                  <wp:cNvGraphicFramePr/>
                  <a:graphic xmlns:a="http://schemas.openxmlformats.org/drawingml/2006/main">
                    <a:graphicData uri="http://schemas.openxmlformats.org/drawingml/2006/picture">
                      <pic:pic xmlns:pic="http://schemas.openxmlformats.org/drawingml/2006/picture">
                        <pic:nvPicPr>
                          <pic:cNvPr id="18" name="Picture_102"/>
                          <pic:cNvPicPr/>
                        </pic:nvPicPr>
                        <pic:blipFill>
                          <a:blip r:embed="rId38"/>
                          <a:stretch>
                            <a:fillRect/>
                          </a:stretch>
                        </pic:blipFill>
                        <pic:spPr>
                          <a:xfrm>
                            <a:off x="0" y="0"/>
                            <a:ext cx="958850" cy="59372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3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900*900*850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F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CF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5.配食品级不锈钢份桶。</w:t>
            </w:r>
          </w:p>
        </w:tc>
      </w:tr>
      <w:tr w14:paraId="737D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蒸菜柜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3977D98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346075</wp:posOffset>
                  </wp:positionV>
                  <wp:extent cx="937895" cy="641985"/>
                  <wp:effectExtent l="0" t="0" r="14605" b="5715"/>
                  <wp:wrapNone/>
                  <wp:docPr id="16" name="图片_70"/>
                  <wp:cNvGraphicFramePr/>
                  <a:graphic xmlns:a="http://schemas.openxmlformats.org/drawingml/2006/main">
                    <a:graphicData uri="http://schemas.openxmlformats.org/drawingml/2006/picture">
                      <pic:pic xmlns:pic="http://schemas.openxmlformats.org/drawingml/2006/picture">
                        <pic:nvPicPr>
                          <pic:cNvPr id="16" name="图片_70"/>
                          <pic:cNvPicPr/>
                        </pic:nvPicPr>
                        <pic:blipFill>
                          <a:blip r:embed="rId39"/>
                          <a:stretch>
                            <a:fillRect/>
                          </a:stretch>
                        </pic:blipFill>
                        <pic:spPr>
                          <a:xfrm>
                            <a:off x="0" y="0"/>
                            <a:ext cx="937895" cy="64198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1300*900*800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3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p>
        </w:tc>
      </w:tr>
      <w:tr w14:paraId="75E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ED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F洗碗消毒间</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4A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D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72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CB4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7F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0AF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E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高压花洒</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F82BCD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154940</wp:posOffset>
                  </wp:positionV>
                  <wp:extent cx="954405" cy="671830"/>
                  <wp:effectExtent l="0" t="0" r="17145" b="13970"/>
                  <wp:wrapNone/>
                  <wp:docPr id="23" name="Picture_40"/>
                  <wp:cNvGraphicFramePr/>
                  <a:graphic xmlns:a="http://schemas.openxmlformats.org/drawingml/2006/main">
                    <a:graphicData uri="http://schemas.openxmlformats.org/drawingml/2006/picture">
                      <pic:pic xmlns:pic="http://schemas.openxmlformats.org/drawingml/2006/picture">
                        <pic:nvPicPr>
                          <pic:cNvPr id="23" name="Picture_40"/>
                          <pic:cNvPicPr/>
                        </pic:nvPicPr>
                        <pic:blipFill>
                          <a:blip r:embed="rId40"/>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190*360*980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3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4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1.美观大方，节水环保，易于安装、使用，节省劳动力。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2.使用花洒龙头预冲洗后，洗碗机更易清洁、消毒餐具，保障食品卫生。</w:t>
            </w:r>
          </w:p>
        </w:tc>
      </w:tr>
      <w:tr w14:paraId="7F5E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D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双星污碟台（左台）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9C27A9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395605</wp:posOffset>
                  </wp:positionV>
                  <wp:extent cx="954405" cy="671830"/>
                  <wp:effectExtent l="0" t="0" r="17145" b="13970"/>
                  <wp:wrapNone/>
                  <wp:docPr id="17" name="Picture_42"/>
                  <wp:cNvGraphicFramePr/>
                  <a:graphic xmlns:a="http://schemas.openxmlformats.org/drawingml/2006/main">
                    <a:graphicData uri="http://schemas.openxmlformats.org/drawingml/2006/picture">
                      <pic:pic xmlns:pic="http://schemas.openxmlformats.org/drawingml/2006/picture">
                        <pic:nvPicPr>
                          <pic:cNvPr id="17" name="Picture_42"/>
                          <pic:cNvPicPr/>
                        </pic:nvPicPr>
                        <pic:blipFill>
                          <a:blip r:embed="rId41"/>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5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E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r>
      <w:tr w14:paraId="2360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2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不锈钢浸泡池</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5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59690</wp:posOffset>
                  </wp:positionH>
                  <wp:positionV relativeFrom="paragraph">
                    <wp:posOffset>165735</wp:posOffset>
                  </wp:positionV>
                  <wp:extent cx="718185" cy="600710"/>
                  <wp:effectExtent l="0" t="0" r="5715" b="8890"/>
                  <wp:wrapNone/>
                  <wp:docPr id="21" name="图片_72"/>
                  <wp:cNvGraphicFramePr/>
                  <a:graphic xmlns:a="http://schemas.openxmlformats.org/drawingml/2006/main">
                    <a:graphicData uri="http://schemas.openxmlformats.org/drawingml/2006/picture">
                      <pic:pic xmlns:pic="http://schemas.openxmlformats.org/drawingml/2006/picture">
                        <pic:nvPicPr>
                          <pic:cNvPr id="21" name="图片_72"/>
                          <pic:cNvPicPr/>
                        </pic:nvPicPr>
                        <pic:blipFill>
                          <a:blip r:embed="rId42"/>
                          <a:stretch>
                            <a:fillRect/>
                          </a:stretch>
                        </pic:blipFill>
                        <pic:spPr>
                          <a:xfrm>
                            <a:off x="0" y="0"/>
                            <a:ext cx="718185" cy="60071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8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r>
      <w:tr w14:paraId="077D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B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E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单孔收餐工作柜（带靠背）</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61E21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417830</wp:posOffset>
                  </wp:positionV>
                  <wp:extent cx="954405" cy="671830"/>
                  <wp:effectExtent l="0" t="0" r="17145" b="13970"/>
                  <wp:wrapNone/>
                  <wp:docPr id="32" name="Picture_45"/>
                  <wp:cNvGraphicFramePr/>
                  <a:graphic xmlns:a="http://schemas.openxmlformats.org/drawingml/2006/main">
                    <a:graphicData uri="http://schemas.openxmlformats.org/drawingml/2006/picture">
                      <pic:pic xmlns:pic="http://schemas.openxmlformats.org/drawingml/2006/picture">
                        <pic:nvPicPr>
                          <pic:cNvPr id="32" name="Picture_45"/>
                          <pic:cNvPicPr/>
                        </pic:nvPicPr>
                        <pic:blipFill>
                          <a:blip r:embed="rId4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2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D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1.选用SUS304优质不锈钢板制作；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2.四面围板厚度1.0mm，台面厚度1.5mm，残菜孔φ300mm；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3.加强筋厚度1.0mm，；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4.38*38（mm）厚度1.2mm不锈钢方通腿，配可调式子弹脚。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5.门采用对开门；</w:t>
            </w:r>
          </w:p>
        </w:tc>
      </w:tr>
      <w:tr w14:paraId="579D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D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2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洁碟台(带框架B）</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70C628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192405</wp:posOffset>
                  </wp:positionV>
                  <wp:extent cx="954405" cy="671830"/>
                  <wp:effectExtent l="0" t="0" r="17145" b="13970"/>
                  <wp:wrapNone/>
                  <wp:docPr id="20" name="Picture_46"/>
                  <wp:cNvGraphicFramePr/>
                  <a:graphic xmlns:a="http://schemas.openxmlformats.org/drawingml/2006/main">
                    <a:graphicData uri="http://schemas.openxmlformats.org/drawingml/2006/picture">
                      <pic:pic xmlns:pic="http://schemas.openxmlformats.org/drawingml/2006/picture">
                        <pic:nvPicPr>
                          <pic:cNvPr id="20" name="Picture_46"/>
                          <pic:cNvPicPr/>
                        </pic:nvPicPr>
                        <pic:blipFill>
                          <a:blip r:embed="rId44"/>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5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1200*760*800+150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5.38*25（mm）厚度1.0mm不锈钢下橫通；</w:t>
            </w:r>
          </w:p>
        </w:tc>
      </w:tr>
      <w:tr w14:paraId="55C2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9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4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提拉式洗碗机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3E7F2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847725</wp:posOffset>
                  </wp:positionV>
                  <wp:extent cx="954405" cy="671830"/>
                  <wp:effectExtent l="0" t="0" r="17145" b="13970"/>
                  <wp:wrapNone/>
                  <wp:docPr id="22" name="Picture_47"/>
                  <wp:cNvGraphicFramePr/>
                  <a:graphic xmlns:a="http://schemas.openxmlformats.org/drawingml/2006/main">
                    <a:graphicData uri="http://schemas.openxmlformats.org/drawingml/2006/picture">
                      <pic:pic xmlns:pic="http://schemas.openxmlformats.org/drawingml/2006/picture">
                        <pic:nvPicPr>
                          <pic:cNvPr id="22" name="Picture_47"/>
                          <pic:cNvPicPr/>
                        </pic:nvPicPr>
                        <pic:blipFill>
                          <a:blip r:embed="rId45"/>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8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715*800*1875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6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选用优质防腐食品级不锈钢材料，进口AMADA数控激光切割机开料，全自动去毛刺机钝边处理，进口AMADA数控折弯机压弯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成形,不仅保证材料的平整度，更提高了产品的精确度。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360°旋转冲洗喷臂，冲洗覆盖角度大，多道扇形清洗水流，保证良好的清洗效果。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上下通用不锈钢一体式合成清洗臂，易拆卸，清洗方便，运转流畅。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采用优质 304材质一体冲压成型清洗水箱，一体拉伸式内胆，美观大气，无清洗死角的同时，不漏水，更坚固耐用。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嵌入式餐具筐支架设计，不仅方便拆卸，易于清理卫生，更加降低了支架与机器的直接摩擦。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节能封闭式洗室设计，降低开门时的热量和蒸汽流失，达到节能效果。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功率：380V/15.8KW</w:t>
            </w:r>
          </w:p>
        </w:tc>
      </w:tr>
      <w:tr w14:paraId="798F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热风循环消毒柜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6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143510</wp:posOffset>
                  </wp:positionH>
                  <wp:positionV relativeFrom="paragraph">
                    <wp:posOffset>73660</wp:posOffset>
                  </wp:positionV>
                  <wp:extent cx="532765" cy="751840"/>
                  <wp:effectExtent l="0" t="0" r="635" b="10160"/>
                  <wp:wrapNone/>
                  <wp:docPr id="35" name="图片_75"/>
                  <wp:cNvGraphicFramePr/>
                  <a:graphic xmlns:a="http://schemas.openxmlformats.org/drawingml/2006/main">
                    <a:graphicData uri="http://schemas.openxmlformats.org/drawingml/2006/picture">
                      <pic:pic xmlns:pic="http://schemas.openxmlformats.org/drawingml/2006/picture">
                        <pic:nvPicPr>
                          <pic:cNvPr id="35" name="图片_75"/>
                          <pic:cNvPicPr/>
                        </pic:nvPicPr>
                        <pic:blipFill>
                          <a:blip r:embed="rId46"/>
                          <a:stretch>
                            <a:fillRect/>
                          </a:stretch>
                        </pic:blipFill>
                        <pic:spPr>
                          <a:xfrm>
                            <a:off x="0" y="0"/>
                            <a:ext cx="532765" cy="75184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1310*650*1980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1.消毒温度：150℃；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2.控温范围：50～150℃；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3.360°环绕杀菌，消毒方式：热风循环消毒。热风循环进风口125度高温，双温度传感器.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4.功率：220V/4KW</w:t>
            </w:r>
          </w:p>
        </w:tc>
      </w:tr>
      <w:tr w14:paraId="3251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翻门碗柜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793DD86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186690</wp:posOffset>
                  </wp:positionV>
                  <wp:extent cx="954405" cy="671830"/>
                  <wp:effectExtent l="0" t="0" r="17145" b="13970"/>
                  <wp:wrapNone/>
                  <wp:docPr id="36" name="Picture_49"/>
                  <wp:cNvGraphicFramePr/>
                  <a:graphic xmlns:a="http://schemas.openxmlformats.org/drawingml/2006/main">
                    <a:graphicData uri="http://schemas.openxmlformats.org/drawingml/2006/picture">
                      <pic:pic xmlns:pic="http://schemas.openxmlformats.org/drawingml/2006/picture">
                        <pic:nvPicPr>
                          <pic:cNvPr id="36" name="Picture_49"/>
                          <pic:cNvPicPr/>
                        </pic:nvPicPr>
                        <pic:blipFill>
                          <a:blip r:embed="rId47"/>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1200*500*1800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C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3.下层、侧板板厚度1.0mm,并用1.0mm厚不锈钢板折成加强筋加固；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4.配可调式撑脚。</w:t>
            </w:r>
          </w:p>
        </w:tc>
      </w:tr>
      <w:tr w14:paraId="7FFA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2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开水器</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03C63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130810</wp:posOffset>
                  </wp:positionV>
                  <wp:extent cx="954405" cy="671830"/>
                  <wp:effectExtent l="0" t="0" r="17145" b="13970"/>
                  <wp:wrapNone/>
                  <wp:docPr id="38" name="Picture_50"/>
                  <wp:cNvGraphicFramePr/>
                  <a:graphic xmlns:a="http://schemas.openxmlformats.org/drawingml/2006/main">
                    <a:graphicData uri="http://schemas.openxmlformats.org/drawingml/2006/picture">
                      <pic:pic xmlns:pic="http://schemas.openxmlformats.org/drawingml/2006/picture">
                        <pic:nvPicPr>
                          <pic:cNvPr id="38" name="Picture_50"/>
                          <pic:cNvPicPr/>
                        </pic:nvPicPr>
                        <pic:blipFill>
                          <a:blip r:embed="rId48"/>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520*530*1300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9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1.内胆304不锈钢材质，发泡保温。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2.配优质水龙头，电功率12KW/380V.配开水器底座。</w:t>
            </w:r>
          </w:p>
        </w:tc>
      </w:tr>
      <w:tr w14:paraId="3ED8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洗地龙头</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CB940D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478155</wp:posOffset>
                  </wp:positionV>
                  <wp:extent cx="954405" cy="671830"/>
                  <wp:effectExtent l="0" t="0" r="17145" b="13970"/>
                  <wp:wrapNone/>
                  <wp:docPr id="48" name="Picture_51"/>
                  <wp:cNvGraphicFramePr/>
                  <a:graphic xmlns:a="http://schemas.openxmlformats.org/drawingml/2006/main">
                    <a:graphicData uri="http://schemas.openxmlformats.org/drawingml/2006/picture">
                      <pic:pic xmlns:pic="http://schemas.openxmlformats.org/drawingml/2006/picture">
                        <pic:nvPicPr>
                          <pic:cNvPr id="48" name="Picture_51"/>
                          <pic:cNvPicPr/>
                        </pic:nvPicPr>
                        <pic:blipFill>
                          <a:blip r:embed="rId8"/>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3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F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1.开放式洗地龙头、碳钢主体，表面环氧喷涂处理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2.固定侧支架钢板厚度5mm，黄铜进水主体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3.10米重工无痕三层液压钢丝管、与主体接口为金属连接件、耐温85℃耐压300PSI。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4.黄铜铸造表面镀铬花洒喷头配耐热手柄（配置一把喷头）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5.进水接口为标准1/2"外螺纹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6.六向软管导轮，自动卡位软管自动回收</w:t>
            </w:r>
          </w:p>
        </w:tc>
      </w:tr>
      <w:tr w14:paraId="4FBC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8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8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排气罩</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9113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wp:posOffset>
                  </wp:positionH>
                  <wp:positionV relativeFrom="paragraph">
                    <wp:posOffset>210820</wp:posOffset>
                  </wp:positionV>
                  <wp:extent cx="946150" cy="671830"/>
                  <wp:effectExtent l="0" t="0" r="6350" b="13970"/>
                  <wp:wrapNone/>
                  <wp:docPr id="53" name="Picture_176"/>
                  <wp:cNvGraphicFramePr/>
                  <a:graphic xmlns:a="http://schemas.openxmlformats.org/drawingml/2006/main">
                    <a:graphicData uri="http://schemas.openxmlformats.org/drawingml/2006/picture">
                      <pic:pic xmlns:pic="http://schemas.openxmlformats.org/drawingml/2006/picture">
                        <pic:nvPicPr>
                          <pic:cNvPr id="53" name="Picture_176"/>
                          <pic:cNvPicPr/>
                        </pic:nvPicPr>
                        <pic:blipFill>
                          <a:blip r:embed="rId49"/>
                          <a:stretch>
                            <a:fillRect/>
                          </a:stretch>
                        </pic:blipFill>
                        <pic:spPr>
                          <a:xfrm>
                            <a:off x="0" y="0"/>
                            <a:ext cx="946150"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1000*1000*500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4D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1.SUS304不锈钢板制造；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2.前板、侧板、后板厚度1.0mm。</w:t>
            </w:r>
          </w:p>
        </w:tc>
      </w:tr>
      <w:tr w14:paraId="6F9A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CA1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G大厅区域</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077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2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C7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B430">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50B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7CA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A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0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双孔收餐工作柜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DCB74C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343535</wp:posOffset>
                  </wp:positionV>
                  <wp:extent cx="954405" cy="671830"/>
                  <wp:effectExtent l="0" t="0" r="17145" b="13970"/>
                  <wp:wrapNone/>
                  <wp:docPr id="67" name="Picture_52"/>
                  <wp:cNvGraphicFramePr/>
                  <a:graphic xmlns:a="http://schemas.openxmlformats.org/drawingml/2006/main">
                    <a:graphicData uri="http://schemas.openxmlformats.org/drawingml/2006/picture">
                      <pic:pic xmlns:pic="http://schemas.openxmlformats.org/drawingml/2006/picture">
                        <pic:nvPicPr>
                          <pic:cNvPr id="67" name="Picture_52"/>
                          <pic:cNvPicPr/>
                        </pic:nvPicPr>
                        <pic:blipFill>
                          <a:blip r:embed="rId50"/>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BC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1.选用SUS304优质不锈钢板制作；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2.四面围板厚度1.0mm，台面厚度1.5mm，残菜孔φ300mm；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3.加强筋厚度1.0mm，；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4.38*38（mm）厚度1.2mm不锈钢方通腿，配可调式子弹脚。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5.门采用对开门；</w:t>
            </w:r>
          </w:p>
        </w:tc>
      </w:tr>
      <w:tr w14:paraId="76F1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收碗车</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661D2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203200</wp:posOffset>
                  </wp:positionV>
                  <wp:extent cx="954405" cy="671830"/>
                  <wp:effectExtent l="0" t="0" r="17145" b="13970"/>
                  <wp:wrapNone/>
                  <wp:docPr id="62" name="Picture_53"/>
                  <wp:cNvGraphicFramePr/>
                  <a:graphic xmlns:a="http://schemas.openxmlformats.org/drawingml/2006/main">
                    <a:graphicData uri="http://schemas.openxmlformats.org/drawingml/2006/picture">
                      <pic:pic xmlns:pic="http://schemas.openxmlformats.org/drawingml/2006/picture">
                        <pic:nvPicPr>
                          <pic:cNvPr id="62" name="Picture_53"/>
                          <pic:cNvPicPr/>
                        </pic:nvPicPr>
                        <pic:blipFill>
                          <a:blip r:embed="rId51"/>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850*600*900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F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3.推手采用φ38mm不锈钢管制作；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4.配加强型聚氨酯（PU）4寸脚轮；万向2个，定向2个，配脚刹。</w:t>
            </w:r>
          </w:p>
        </w:tc>
      </w:tr>
      <w:tr w14:paraId="669F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C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H其他</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F5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DF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00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03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AB90">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46E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3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7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沾捕式灭蝇灯</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3D98F59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165735</wp:posOffset>
                  </wp:positionV>
                  <wp:extent cx="954405" cy="671830"/>
                  <wp:effectExtent l="0" t="0" r="17145" b="13970"/>
                  <wp:wrapNone/>
                  <wp:docPr id="61" name="Picture_2"/>
                  <wp:cNvGraphicFramePr/>
                  <a:graphic xmlns:a="http://schemas.openxmlformats.org/drawingml/2006/main">
                    <a:graphicData uri="http://schemas.openxmlformats.org/drawingml/2006/picture">
                      <pic:pic xmlns:pic="http://schemas.openxmlformats.org/drawingml/2006/picture">
                        <pic:nvPicPr>
                          <pic:cNvPr id="61" name="Picture_2"/>
                          <pic:cNvPicPr/>
                        </pic:nvPicPr>
                        <pic:blipFill>
                          <a:blip r:embed="rId52"/>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400*120*170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E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1.工作方式：粘捕式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2.额定功率：0.008KW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3.覆盖面积：30-50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5.材料等级：ABS阻燃材料</w:t>
            </w:r>
          </w:p>
        </w:tc>
      </w:tr>
      <w:tr w14:paraId="4B98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6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风幕机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3C68C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266700</wp:posOffset>
                  </wp:positionV>
                  <wp:extent cx="954405" cy="671830"/>
                  <wp:effectExtent l="0" t="0" r="17145" b="13970"/>
                  <wp:wrapNone/>
                  <wp:docPr id="56" name="Picture_3"/>
                  <wp:cNvGraphicFramePr/>
                  <a:graphic xmlns:a="http://schemas.openxmlformats.org/drawingml/2006/main">
                    <a:graphicData uri="http://schemas.openxmlformats.org/drawingml/2006/picture">
                      <pic:pic xmlns:pic="http://schemas.openxmlformats.org/drawingml/2006/picture">
                        <pic:nvPicPr>
                          <pic:cNvPr id="56" name="Picture_3"/>
                          <pic:cNvPicPr/>
                        </pic:nvPicPr>
                        <pic:blipFill>
                          <a:blip r:embed="rId5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1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L/1500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3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5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C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1.持续形成的空气门，能有效防止冷（暖）气外泄，节省用电：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2.将室内外分成两个独立温度区域，在空调机长时间运转时，辅助循环调节温度，达到节约能源改善环境的目的。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3.电压/功率：220V/300W。</w:t>
            </w:r>
          </w:p>
        </w:tc>
      </w:tr>
      <w:tr w14:paraId="4D4B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1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0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紫外线消毒灯</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0E7462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186690</wp:posOffset>
                  </wp:positionV>
                  <wp:extent cx="954405" cy="671830"/>
                  <wp:effectExtent l="0" t="0" r="17145" b="13970"/>
                  <wp:wrapNone/>
                  <wp:docPr id="59" name="Picture_4"/>
                  <wp:cNvGraphicFramePr/>
                  <a:graphic xmlns:a="http://schemas.openxmlformats.org/drawingml/2006/main">
                    <a:graphicData uri="http://schemas.openxmlformats.org/drawingml/2006/picture">
                      <pic:pic xmlns:pic="http://schemas.openxmlformats.org/drawingml/2006/picture">
                        <pic:nvPicPr>
                          <pic:cNvPr id="59" name="Picture_4"/>
                          <pic:cNvPicPr/>
                        </pic:nvPicPr>
                        <pic:blipFill>
                          <a:blip r:embed="rId54"/>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5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920*130*80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6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1.尺寸：L=900MM；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2.灯管：石英高压放电管，紫外线（UV-B）波长：200～290nm；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3.强力杀菌，效率高，时间短；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4.电压/功率：220v/0.03kw</w:t>
            </w:r>
          </w:p>
        </w:tc>
      </w:tr>
      <w:tr w14:paraId="0155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风幕机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F2C747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287655</wp:posOffset>
                  </wp:positionV>
                  <wp:extent cx="954405" cy="671830"/>
                  <wp:effectExtent l="0" t="0" r="17145" b="13970"/>
                  <wp:wrapNone/>
                  <wp:docPr id="68" name="Picture_5"/>
                  <wp:cNvGraphicFramePr/>
                  <a:graphic xmlns:a="http://schemas.openxmlformats.org/drawingml/2006/main">
                    <a:graphicData uri="http://schemas.openxmlformats.org/drawingml/2006/picture">
                      <pic:pic xmlns:pic="http://schemas.openxmlformats.org/drawingml/2006/picture">
                        <pic:nvPicPr>
                          <pic:cNvPr id="68" name="Picture_5"/>
                          <pic:cNvPicPr/>
                        </pic:nvPicPr>
                        <pic:blipFill>
                          <a:blip r:embed="rId53"/>
                          <a:stretch>
                            <a:fillRect/>
                          </a:stretch>
                        </pic:blipFill>
                        <pic:spPr>
                          <a:xfrm>
                            <a:off x="0" y="0"/>
                            <a:ext cx="954405"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C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L/1800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6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64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1.持续形成的空气门，能有效防止冷（暖）气外泄，节省用电：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2.将室内外分成两个独立温度区域，在空调机长时间运转时，辅助循环调节温度，达到节约能源改善环境的目的。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3.电压/功率：220V/300W。</w:t>
            </w:r>
          </w:p>
        </w:tc>
      </w:tr>
      <w:tr w14:paraId="70EB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E45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I排烟系统</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F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DD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D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545">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7F6">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724D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E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主排烟管</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D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168275</wp:posOffset>
                  </wp:positionV>
                  <wp:extent cx="645160" cy="523240"/>
                  <wp:effectExtent l="0" t="0" r="2540" b="10160"/>
                  <wp:wrapNone/>
                  <wp:docPr id="69" name="图片_45"/>
                  <wp:cNvGraphicFramePr/>
                  <a:graphic xmlns:a="http://schemas.openxmlformats.org/drawingml/2006/main">
                    <a:graphicData uri="http://schemas.openxmlformats.org/drawingml/2006/picture">
                      <pic:pic xmlns:pic="http://schemas.openxmlformats.org/drawingml/2006/picture">
                        <pic:nvPicPr>
                          <pic:cNvPr id="69" name="图片_45"/>
                          <pic:cNvPicPr/>
                        </pic:nvPicPr>
                        <pic:blipFill>
                          <a:blip r:embed="rId55"/>
                          <a:stretch>
                            <a:fillRect/>
                          </a:stretch>
                        </pic:blipFill>
                        <pic:spPr>
                          <a:xfrm>
                            <a:off x="0" y="0"/>
                            <a:ext cx="645160" cy="52324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6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2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F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r>
      <w:tr w14:paraId="285D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F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排烟支管</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D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196215</wp:posOffset>
                  </wp:positionV>
                  <wp:extent cx="645160" cy="523240"/>
                  <wp:effectExtent l="0" t="0" r="2540" b="10160"/>
                  <wp:wrapNone/>
                  <wp:docPr id="63" name="图片_46"/>
                  <wp:cNvGraphicFramePr/>
                  <a:graphic xmlns:a="http://schemas.openxmlformats.org/drawingml/2006/main">
                    <a:graphicData uri="http://schemas.openxmlformats.org/drawingml/2006/picture">
                      <pic:pic xmlns:pic="http://schemas.openxmlformats.org/drawingml/2006/picture">
                        <pic:nvPicPr>
                          <pic:cNvPr id="63" name="图片_46"/>
                          <pic:cNvPicPr/>
                        </pic:nvPicPr>
                        <pic:blipFill>
                          <a:blip r:embed="rId55"/>
                          <a:stretch>
                            <a:fillRect/>
                          </a:stretch>
                        </pic:blipFill>
                        <pic:spPr>
                          <a:xfrm>
                            <a:off x="0" y="0"/>
                            <a:ext cx="645160" cy="52324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D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r>
      <w:tr w14:paraId="0E63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7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轴流风机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D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86360</wp:posOffset>
                  </wp:positionV>
                  <wp:extent cx="697230" cy="695325"/>
                  <wp:effectExtent l="0" t="0" r="7620" b="8890"/>
                  <wp:wrapNone/>
                  <wp:docPr id="57" name="图片_20"/>
                  <wp:cNvGraphicFramePr/>
                  <a:graphic xmlns:a="http://schemas.openxmlformats.org/drawingml/2006/main">
                    <a:graphicData uri="http://schemas.openxmlformats.org/drawingml/2006/picture">
                      <pic:pic xmlns:pic="http://schemas.openxmlformats.org/drawingml/2006/picture">
                        <pic:nvPicPr>
                          <pic:cNvPr id="57" name="图片_20"/>
                          <pic:cNvPicPr/>
                        </pic:nvPicPr>
                        <pic:blipFill>
                          <a:blip r:embed="rId56"/>
                          <a:stretch>
                            <a:fillRect/>
                          </a:stretch>
                        </pic:blipFill>
                        <pic:spPr>
                          <a:xfrm>
                            <a:off x="0" y="0"/>
                            <a:ext cx="697230" cy="69532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F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C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风量：5000m³/h；功率：220V/0.55kw；</w:t>
            </w:r>
          </w:p>
        </w:tc>
      </w:tr>
      <w:tr w14:paraId="40BA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风机电机保护器</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90170</wp:posOffset>
                  </wp:positionV>
                  <wp:extent cx="635000" cy="635000"/>
                  <wp:effectExtent l="0" t="0" r="12700" b="12700"/>
                  <wp:wrapNone/>
                  <wp:docPr id="58" name="Picture_19_SpCnt_1"/>
                  <wp:cNvGraphicFramePr/>
                  <a:graphic xmlns:a="http://schemas.openxmlformats.org/drawingml/2006/main">
                    <a:graphicData uri="http://schemas.openxmlformats.org/drawingml/2006/picture">
                      <pic:pic xmlns:pic="http://schemas.openxmlformats.org/drawingml/2006/picture">
                        <pic:nvPicPr>
                          <pic:cNvPr id="58" name="Picture_19_SpCnt_1"/>
                          <pic:cNvPicPr/>
                        </pic:nvPicPr>
                        <pic:blipFill>
                          <a:blip r:embed="rId57"/>
                          <a:stretch>
                            <a:fillRect/>
                          </a:stretch>
                        </pic:blipFill>
                        <pic:spPr>
                          <a:xfrm>
                            <a:off x="0" y="0"/>
                            <a:ext cx="635000" cy="6350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C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配风机</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0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1、外壳不锈钢制作，内配置空开、交流接触器、综合保护器；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2.节省用电，可调整风机输出功率实现节能运行，风机、净化器同步控制/可联动新风，无级变速，有效降低共振及消除电机电磁噪音。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3.自动调整风量风压，设计施工方便，设备具备缺相、短路、过载、绝缘损坏等多重保护功能。</w:t>
            </w:r>
          </w:p>
        </w:tc>
      </w:tr>
      <w:tr w14:paraId="4E9A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C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7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风机支架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59055</wp:posOffset>
                  </wp:positionV>
                  <wp:extent cx="622300" cy="504190"/>
                  <wp:effectExtent l="0" t="0" r="6350" b="10160"/>
                  <wp:wrapNone/>
                  <wp:docPr id="54" name="图片_138"/>
                  <wp:cNvGraphicFramePr/>
                  <a:graphic xmlns:a="http://schemas.openxmlformats.org/drawingml/2006/main">
                    <a:graphicData uri="http://schemas.openxmlformats.org/drawingml/2006/picture">
                      <pic:pic xmlns:pic="http://schemas.openxmlformats.org/drawingml/2006/picture">
                        <pic:nvPicPr>
                          <pic:cNvPr id="54" name="图片_138"/>
                          <pic:cNvPicPr/>
                        </pic:nvPicPr>
                        <pic:blipFill>
                          <a:blip r:embed="rId58"/>
                          <a:stretch>
                            <a:fillRect/>
                          </a:stretch>
                        </pic:blipFill>
                        <pic:spPr>
                          <a:xfrm>
                            <a:off x="0" y="0"/>
                            <a:ext cx="622300" cy="50419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0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配套风机</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8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B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采用41.采用槽钢制作，长宽高根据风机定制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2.外层采用防锈漆涂层工艺</w:t>
            </w:r>
          </w:p>
        </w:tc>
      </w:tr>
      <w:tr w14:paraId="0ED8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C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2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风管变径</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7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13970</wp:posOffset>
                  </wp:positionV>
                  <wp:extent cx="765175" cy="607695"/>
                  <wp:effectExtent l="0" t="0" r="15875" b="1905"/>
                  <wp:wrapNone/>
                  <wp:docPr id="47" name="图片_51"/>
                  <wp:cNvGraphicFramePr/>
                  <a:graphic xmlns:a="http://schemas.openxmlformats.org/drawingml/2006/main">
                    <a:graphicData uri="http://schemas.openxmlformats.org/drawingml/2006/picture">
                      <pic:pic xmlns:pic="http://schemas.openxmlformats.org/drawingml/2006/picture">
                        <pic:nvPicPr>
                          <pic:cNvPr id="47" name="图片_51"/>
                          <pic:cNvPicPr/>
                        </pic:nvPicPr>
                        <pic:blipFill>
                          <a:blip r:embed="rId59"/>
                          <a:stretch>
                            <a:fillRect/>
                          </a:stretch>
                        </pic:blipFill>
                        <pic:spPr>
                          <a:xfrm>
                            <a:off x="0" y="0"/>
                            <a:ext cx="765175" cy="60769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B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500*500/700*700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0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7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9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p>
        </w:tc>
      </w:tr>
      <w:tr w14:paraId="3455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B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消音风管</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8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59690</wp:posOffset>
                  </wp:positionH>
                  <wp:positionV relativeFrom="paragraph">
                    <wp:posOffset>45720</wp:posOffset>
                  </wp:positionV>
                  <wp:extent cx="628650" cy="628650"/>
                  <wp:effectExtent l="0" t="0" r="0" b="0"/>
                  <wp:wrapNone/>
                  <wp:docPr id="70" name="图片_49"/>
                  <wp:cNvGraphicFramePr/>
                  <a:graphic xmlns:a="http://schemas.openxmlformats.org/drawingml/2006/main">
                    <a:graphicData uri="http://schemas.openxmlformats.org/drawingml/2006/picture">
                      <pic:pic xmlns:pic="http://schemas.openxmlformats.org/drawingml/2006/picture">
                        <pic:nvPicPr>
                          <pic:cNvPr id="70" name="图片_49"/>
                          <pic:cNvPicPr/>
                        </pic:nvPicPr>
                        <pic:blipFill>
                          <a:blip r:embed="rId60"/>
                          <a:stretch>
                            <a:fillRect/>
                          </a:stretch>
                        </pic:blipFill>
                        <pic:spPr>
                          <a:xfrm>
                            <a:off x="0" y="0"/>
                            <a:ext cx="628650" cy="62865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9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700*700*2000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3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37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2.中层消音棉隔层。内层多孔不锈钢板及吸音棉，氩焊处满焊，打磨处理。</w:t>
            </w:r>
          </w:p>
        </w:tc>
      </w:tr>
      <w:tr w14:paraId="11C6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A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6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百叶口</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65405</wp:posOffset>
                  </wp:positionV>
                  <wp:extent cx="464185" cy="469900"/>
                  <wp:effectExtent l="0" t="0" r="12065" b="6350"/>
                  <wp:wrapNone/>
                  <wp:docPr id="49" name="图片_47"/>
                  <wp:cNvGraphicFramePr/>
                  <a:graphic xmlns:a="http://schemas.openxmlformats.org/drawingml/2006/main">
                    <a:graphicData uri="http://schemas.openxmlformats.org/drawingml/2006/picture">
                      <pic:pic xmlns:pic="http://schemas.openxmlformats.org/drawingml/2006/picture">
                        <pic:nvPicPr>
                          <pic:cNvPr id="49" name="图片_47"/>
                          <pic:cNvPicPr/>
                        </pic:nvPicPr>
                        <pic:blipFill>
                          <a:blip r:embed="rId61"/>
                          <a:stretch>
                            <a:fillRect/>
                          </a:stretch>
                        </pic:blipFill>
                        <pic:spPr>
                          <a:xfrm>
                            <a:off x="0" y="0"/>
                            <a:ext cx="464185" cy="4699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9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A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F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BE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1.材料为：铝合金；</w:t>
            </w:r>
          </w:p>
        </w:tc>
      </w:tr>
      <w:tr w14:paraId="1781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安装杂件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B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2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1.配套排风系统辅材</w:t>
            </w:r>
          </w:p>
        </w:tc>
      </w:tr>
      <w:tr w14:paraId="14A2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05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J新风系统</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0F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F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9F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1D80">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6E1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E0E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9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箱式风机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449580</wp:posOffset>
                  </wp:positionV>
                  <wp:extent cx="891540" cy="671830"/>
                  <wp:effectExtent l="0" t="0" r="3810" b="13970"/>
                  <wp:wrapNone/>
                  <wp:docPr id="65" name="Picture_8"/>
                  <wp:cNvGraphicFramePr/>
                  <a:graphic xmlns:a="http://schemas.openxmlformats.org/drawingml/2006/main">
                    <a:graphicData uri="http://schemas.openxmlformats.org/drawingml/2006/picture">
                      <pic:pic xmlns:pic="http://schemas.openxmlformats.org/drawingml/2006/picture">
                        <pic:nvPicPr>
                          <pic:cNvPr id="65" name="Picture_8"/>
                          <pic:cNvPicPr/>
                        </pic:nvPicPr>
                        <pic:blipFill>
                          <a:blip r:embed="rId62"/>
                          <a:stretch>
                            <a:fillRect/>
                          </a:stretch>
                        </pic:blipFill>
                        <pic:spPr>
                          <a:xfrm>
                            <a:off x="0" y="0"/>
                            <a:ext cx="891540" cy="67183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10000m³/h</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E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风量：10000m³/h；功率：380V/4kw；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1.整机外壳采用汽车金属烤漆钢板制作工艺，不易褪色，防腐等级高，使用寿命长，外观大气美观。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2.根据离心力和动量守恒定律设计的风机专用高压叶轮。叶片采用压铆激光焊接工艺制作，更牢固，具有风量大，压力高，运行稳定等特点。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部采用双层静音处理技术，全网加静音棉，静音棉材质为铝硅阻燃材料，厚度25MM，能有效降低15%噪声并起到阻燃作用，结合整机精密结构胶密封工艺，构建其高效的隔音屏障与严密的密封体系，进一步强化降噪效果同时起到防水密封的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4..采用进口耐高温耐腐蚀风机专用轴承，精度高，抗磨损性好，增加风机使用寿命，减少维护成本。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5.产品可配备自动定时变频功能，可调节风量风压，多重保护，缺项，过载，绝缘损坏等运行故障.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6.角钢：采用镀锌角钢制作，结构更牢固，风机设有检修门，方便日后维护； 底部自带槽钢支架，便于安装。</w:t>
            </w:r>
          </w:p>
        </w:tc>
      </w:tr>
      <w:tr w14:paraId="154F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C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0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wp:posOffset>
                  </wp:positionH>
                  <wp:positionV relativeFrom="paragraph">
                    <wp:posOffset>-59055</wp:posOffset>
                  </wp:positionV>
                  <wp:extent cx="749300" cy="607695"/>
                  <wp:effectExtent l="0" t="0" r="12700" b="1905"/>
                  <wp:wrapNone/>
                  <wp:docPr id="50" name="图片_53"/>
                  <wp:cNvGraphicFramePr/>
                  <a:graphic xmlns:a="http://schemas.openxmlformats.org/drawingml/2006/main">
                    <a:graphicData uri="http://schemas.openxmlformats.org/drawingml/2006/picture">
                      <pic:pic xmlns:pic="http://schemas.openxmlformats.org/drawingml/2006/picture">
                        <pic:nvPicPr>
                          <pic:cNvPr id="50" name="图片_53"/>
                          <pic:cNvPicPr/>
                        </pic:nvPicPr>
                        <pic:blipFill>
                          <a:blip r:embed="rId63"/>
                          <a:stretch>
                            <a:fillRect/>
                          </a:stretch>
                        </pic:blipFill>
                        <pic:spPr>
                          <a:xfrm>
                            <a:off x="0" y="0"/>
                            <a:ext cx="749300" cy="60769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9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1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r>
      <w:tr w14:paraId="3D5F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风机电机保护器</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wp:posOffset>
                  </wp:positionH>
                  <wp:positionV relativeFrom="paragraph">
                    <wp:posOffset>28575</wp:posOffset>
                  </wp:positionV>
                  <wp:extent cx="635000" cy="635000"/>
                  <wp:effectExtent l="0" t="0" r="12700" b="12700"/>
                  <wp:wrapNone/>
                  <wp:docPr id="51" name="Picture_19_SpCnt_2"/>
                  <wp:cNvGraphicFramePr/>
                  <a:graphic xmlns:a="http://schemas.openxmlformats.org/drawingml/2006/main">
                    <a:graphicData uri="http://schemas.openxmlformats.org/drawingml/2006/picture">
                      <pic:pic xmlns:pic="http://schemas.openxmlformats.org/drawingml/2006/picture">
                        <pic:nvPicPr>
                          <pic:cNvPr id="51" name="Picture_19_SpCnt_2"/>
                          <pic:cNvPicPr/>
                        </pic:nvPicPr>
                        <pic:blipFill>
                          <a:blip r:embed="rId57"/>
                          <a:stretch>
                            <a:fillRect/>
                          </a:stretch>
                        </pic:blipFill>
                        <pic:spPr>
                          <a:xfrm>
                            <a:off x="0" y="0"/>
                            <a:ext cx="635000" cy="6350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配风机</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5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1、外壳不锈钢制作，内配置空开、交流接触器、综合保护器；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2.节省用电，可调整风机输出功率实现节能运行，风机、净化器同步控制/可联动新风，无级变速，有效降低共振及消除电机电磁噪音。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3.自动调整风量风压，设计施工方便，设备具备缺相、短路、过载、绝缘损坏等多重保护功能。</w:t>
            </w:r>
          </w:p>
        </w:tc>
      </w:tr>
      <w:tr w14:paraId="7394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0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风管变径</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121920</wp:posOffset>
                  </wp:positionV>
                  <wp:extent cx="765175" cy="607695"/>
                  <wp:effectExtent l="0" t="0" r="15875" b="1905"/>
                  <wp:wrapNone/>
                  <wp:docPr id="52" name="图片_54"/>
                  <wp:cNvGraphicFramePr/>
                  <a:graphic xmlns:a="http://schemas.openxmlformats.org/drawingml/2006/main">
                    <a:graphicData uri="http://schemas.openxmlformats.org/drawingml/2006/picture">
                      <pic:pic xmlns:pic="http://schemas.openxmlformats.org/drawingml/2006/picture">
                        <pic:nvPicPr>
                          <pic:cNvPr id="52" name="图片_54"/>
                          <pic:cNvPicPr/>
                        </pic:nvPicPr>
                        <pic:blipFill>
                          <a:blip r:embed="rId59"/>
                          <a:stretch>
                            <a:fillRect/>
                          </a:stretch>
                        </pic:blipFill>
                        <pic:spPr>
                          <a:xfrm>
                            <a:off x="0" y="0"/>
                            <a:ext cx="765175" cy="60769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C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400*400/530*640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9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5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F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p>
        </w:tc>
      </w:tr>
      <w:tr w14:paraId="0562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1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调节阀</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E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wp:posOffset>
                  </wp:positionH>
                  <wp:positionV relativeFrom="paragraph">
                    <wp:posOffset>-1270</wp:posOffset>
                  </wp:positionV>
                  <wp:extent cx="672465" cy="624205"/>
                  <wp:effectExtent l="0" t="0" r="13335" b="4445"/>
                  <wp:wrapNone/>
                  <wp:docPr id="66" name="图片_55"/>
                  <wp:cNvGraphicFramePr/>
                  <a:graphic xmlns:a="http://schemas.openxmlformats.org/drawingml/2006/main">
                    <a:graphicData uri="http://schemas.openxmlformats.org/drawingml/2006/picture">
                      <pic:pic xmlns:pic="http://schemas.openxmlformats.org/drawingml/2006/picture">
                        <pic:nvPicPr>
                          <pic:cNvPr id="66" name="图片_55"/>
                          <pic:cNvPicPr/>
                        </pic:nvPicPr>
                        <pic:blipFill>
                          <a:blip r:embed="rId64"/>
                          <a:stretch>
                            <a:fillRect/>
                          </a:stretch>
                        </pic:blipFill>
                        <pic:spPr>
                          <a:xfrm>
                            <a:off x="0" y="0"/>
                            <a:ext cx="672465" cy="62420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1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A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92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1.风量控制精度高，需确保风管的布置满足最佳的气流特性。</w:t>
            </w:r>
          </w:p>
        </w:tc>
      </w:tr>
      <w:tr w14:paraId="1891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净化器/风机支架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F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54610</wp:posOffset>
                  </wp:positionV>
                  <wp:extent cx="622300" cy="504190"/>
                  <wp:effectExtent l="0" t="0" r="6350" b="10160"/>
                  <wp:wrapNone/>
                  <wp:docPr id="60" name="图片_138_SpCnt_1"/>
                  <wp:cNvGraphicFramePr/>
                  <a:graphic xmlns:a="http://schemas.openxmlformats.org/drawingml/2006/main">
                    <a:graphicData uri="http://schemas.openxmlformats.org/drawingml/2006/picture">
                      <pic:pic xmlns:pic="http://schemas.openxmlformats.org/drawingml/2006/picture">
                        <pic:nvPicPr>
                          <pic:cNvPr id="60" name="图片_138_SpCnt_1"/>
                          <pic:cNvPicPr/>
                        </pic:nvPicPr>
                        <pic:blipFill>
                          <a:blip r:embed="rId58"/>
                          <a:stretch>
                            <a:fillRect/>
                          </a:stretch>
                        </pic:blipFill>
                        <pic:spPr>
                          <a:xfrm>
                            <a:off x="0" y="0"/>
                            <a:ext cx="622300" cy="50419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配套风机</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4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1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采用41.采用槽钢制作，长宽高根据风机定制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2.外层采用防锈漆涂层工艺</w:t>
            </w:r>
          </w:p>
        </w:tc>
      </w:tr>
      <w:tr w14:paraId="283F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消音风管</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1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22225</wp:posOffset>
                  </wp:positionV>
                  <wp:extent cx="546735" cy="546735"/>
                  <wp:effectExtent l="0" t="0" r="5715" b="5715"/>
                  <wp:wrapNone/>
                  <wp:docPr id="55" name="图片_56"/>
                  <wp:cNvGraphicFramePr/>
                  <a:graphic xmlns:a="http://schemas.openxmlformats.org/drawingml/2006/main">
                    <a:graphicData uri="http://schemas.openxmlformats.org/drawingml/2006/picture">
                      <pic:pic xmlns:pic="http://schemas.openxmlformats.org/drawingml/2006/picture">
                        <pic:nvPicPr>
                          <pic:cNvPr id="55" name="图片_56"/>
                          <pic:cNvPicPr/>
                        </pic:nvPicPr>
                        <pic:blipFill>
                          <a:blip r:embed="rId65"/>
                          <a:stretch>
                            <a:fillRect/>
                          </a:stretch>
                        </pic:blipFill>
                        <pic:spPr>
                          <a:xfrm>
                            <a:off x="0" y="0"/>
                            <a:ext cx="546735" cy="546735"/>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400*400*2000</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1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2.中层消音棉隔层。内层多孔不锈钢板及吸音棉，氩焊处满焊，打磨处理。</w:t>
            </w:r>
          </w:p>
        </w:tc>
      </w:tr>
      <w:tr w14:paraId="219F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A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8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百叶口</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C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31750</wp:posOffset>
                  </wp:positionV>
                  <wp:extent cx="464185" cy="469900"/>
                  <wp:effectExtent l="0" t="0" r="12065" b="6350"/>
                  <wp:wrapNone/>
                  <wp:docPr id="64" name="图片_58"/>
                  <wp:cNvGraphicFramePr/>
                  <a:graphic xmlns:a="http://schemas.openxmlformats.org/drawingml/2006/main">
                    <a:graphicData uri="http://schemas.openxmlformats.org/drawingml/2006/picture">
                      <pic:pic xmlns:pic="http://schemas.openxmlformats.org/drawingml/2006/picture">
                        <pic:nvPicPr>
                          <pic:cNvPr id="64" name="图片_58"/>
                          <pic:cNvPicPr/>
                        </pic:nvPicPr>
                        <pic:blipFill>
                          <a:blip r:embed="rId61"/>
                          <a:stretch>
                            <a:fillRect/>
                          </a:stretch>
                        </pic:blipFill>
                        <pic:spPr>
                          <a:xfrm>
                            <a:off x="0" y="0"/>
                            <a:ext cx="464185" cy="469900"/>
                          </a:xfrm>
                          <a:prstGeom prst="rect">
                            <a:avLst/>
                          </a:prstGeom>
                          <a:noFill/>
                          <a:ln>
                            <a:noFill/>
                          </a:ln>
                        </pic:spPr>
                      </pic:pic>
                    </a:graphicData>
                  </a:graphic>
                </wp:anchor>
              </w:drawing>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D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1.材料为：铝合金；</w:t>
            </w:r>
          </w:p>
        </w:tc>
      </w:tr>
      <w:tr w14:paraId="7447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安装杂件</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A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C2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2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FC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1.配套新风系统辅材</w:t>
            </w:r>
          </w:p>
        </w:tc>
      </w:tr>
    </w:tbl>
    <w:p w14:paraId="1B34C04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注：①投标报价必须包含采购需求清单所列的所有项目，投标单价必须包含采购需求清单及技术参数要求的所有内容，请各投标单位予以充分考虑。成交后必须满足采购文件的各项要求，不得提出任何额外的要求。</w:t>
      </w:r>
    </w:p>
    <w:p w14:paraId="62071DC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三</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交付时间及交付地点</w:t>
      </w:r>
    </w:p>
    <w:p w14:paraId="7CF6116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rPr>
        <w:t>采购项目交付时间：</w:t>
      </w:r>
      <w:r>
        <w:rPr>
          <w:rFonts w:hint="eastAsia" w:ascii="宋体" w:hAnsi="宋体" w:eastAsia="宋体" w:cs="宋体"/>
          <w:color w:val="auto"/>
          <w:sz w:val="22"/>
          <w:szCs w:val="22"/>
          <w:highlight w:val="none"/>
          <w:u w:val="single"/>
          <w:lang w:eastAsia="zh-CN"/>
        </w:rPr>
        <w:t>本项目供货</w:t>
      </w:r>
      <w:r>
        <w:rPr>
          <w:rFonts w:hint="eastAsia" w:ascii="宋体" w:hAnsi="宋体" w:eastAsia="宋体" w:cs="宋体"/>
          <w:color w:val="auto"/>
          <w:sz w:val="22"/>
          <w:szCs w:val="22"/>
          <w:highlight w:val="none"/>
          <w:u w:val="single"/>
        </w:rPr>
        <w:t>自合同签订后</w:t>
      </w:r>
      <w:r>
        <w:rPr>
          <w:rFonts w:hint="eastAsia" w:ascii="宋体" w:hAnsi="宋体"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val="en-US" w:eastAsia="zh-CN"/>
        </w:rPr>
        <w:t>日内</w:t>
      </w:r>
      <w:r>
        <w:rPr>
          <w:rFonts w:hint="eastAsia" w:ascii="宋体" w:hAnsi="宋体" w:eastAsia="宋体" w:cs="宋体"/>
          <w:color w:val="auto"/>
          <w:sz w:val="22"/>
          <w:szCs w:val="22"/>
          <w:highlight w:val="none"/>
          <w:u w:val="single"/>
        </w:rPr>
        <w:t>必须全部到货并安装完成，供应商送货前需告知采购人</w:t>
      </w:r>
      <w:r>
        <w:rPr>
          <w:rFonts w:hint="default" w:ascii="宋体" w:hAnsi="宋体" w:eastAsia="宋体" w:cs="宋体"/>
          <w:color w:val="auto"/>
          <w:sz w:val="22"/>
          <w:szCs w:val="22"/>
          <w:highlight w:val="none"/>
          <w:u w:val="single"/>
        </w:rPr>
        <w:t>。</w:t>
      </w:r>
    </w:p>
    <w:p w14:paraId="06B697F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rPr>
        <w:t>、采购项目交付地点：</w:t>
      </w:r>
      <w:r>
        <w:rPr>
          <w:rFonts w:hint="default" w:ascii="宋体" w:hAnsi="宋体" w:eastAsia="宋体" w:cs="宋体"/>
          <w:color w:val="auto"/>
          <w:sz w:val="22"/>
          <w:szCs w:val="22"/>
          <w:highlight w:val="none"/>
          <w:u w:val="single"/>
        </w:rPr>
        <w:t xml:space="preserve"> 具体以采购人书面通知为准 </w:t>
      </w:r>
      <w:r>
        <w:rPr>
          <w:rFonts w:hint="default" w:ascii="宋体" w:hAnsi="宋体" w:eastAsia="宋体" w:cs="宋体"/>
          <w:color w:val="auto"/>
          <w:sz w:val="22"/>
          <w:szCs w:val="22"/>
          <w:highlight w:val="none"/>
        </w:rPr>
        <w:t>。</w:t>
      </w:r>
    </w:p>
    <w:p w14:paraId="3600377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3、产品的外观、包装、运输应按国家规定或部颁标准执行，如因供方包装不当以及其它原因造成损坏或丢失，应由供方负一切责任。</w:t>
      </w:r>
    </w:p>
    <w:p w14:paraId="28BB9B3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default"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4、合同项目涉及到的产品设备交货时，外包装应完整无破损。</w:t>
      </w:r>
    </w:p>
    <w:p w14:paraId="5210549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四、质保期及要求</w:t>
      </w:r>
    </w:p>
    <w:p w14:paraId="6917A5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color w:val="auto"/>
          <w:sz w:val="22"/>
          <w:szCs w:val="22"/>
          <w:highlight w:val="none"/>
        </w:rPr>
      </w:pPr>
      <w:r>
        <w:rPr>
          <w:rFonts w:hint="eastAsia" w:ascii="宋体" w:hAnsi="宋体" w:cs="宋体"/>
          <w:b/>
          <w:bCs/>
          <w:color w:val="auto"/>
          <w:sz w:val="22"/>
          <w:szCs w:val="22"/>
          <w:highlight w:val="none"/>
          <w:lang w:val="en-US" w:eastAsia="zh-CN"/>
        </w:rPr>
        <w:t>1、</w:t>
      </w:r>
      <w:r>
        <w:rPr>
          <w:rFonts w:hint="eastAsia" w:ascii="宋体" w:hAnsi="宋体" w:cs="宋体"/>
          <w:b/>
          <w:bCs/>
          <w:color w:val="auto"/>
          <w:sz w:val="22"/>
          <w:szCs w:val="22"/>
          <w:highlight w:val="none"/>
        </w:rPr>
        <w:t>质保期限（自交货并验收合格之日起计）：</w:t>
      </w:r>
      <w:r>
        <w:rPr>
          <w:rFonts w:hint="eastAsia" w:ascii="宋体" w:hAnsi="宋体" w:cs="宋体"/>
          <w:b/>
          <w:bCs/>
          <w:color w:val="auto"/>
          <w:sz w:val="22"/>
          <w:szCs w:val="22"/>
          <w:highlight w:val="none"/>
          <w:u w:val="single"/>
          <w:lang w:val="en-US" w:eastAsia="zh-CN"/>
        </w:rPr>
        <w:t xml:space="preserve"> 2 </w:t>
      </w:r>
      <w:r>
        <w:rPr>
          <w:rFonts w:hint="eastAsia" w:ascii="宋体" w:hAnsi="宋体" w:cs="宋体"/>
          <w:b/>
          <w:bCs/>
          <w:color w:val="auto"/>
          <w:sz w:val="22"/>
          <w:szCs w:val="22"/>
          <w:highlight w:val="none"/>
        </w:rPr>
        <w:t>年。</w:t>
      </w:r>
    </w:p>
    <w:p w14:paraId="70DF773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质保期内</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供应商必须进行质量“三包”。在质保期内因</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 xml:space="preserve">供应商责任而产生的质量问题，由其负责无偿返修。不能维修的，整件免费更换。人为原因造成的损坏只收配件费不收人工费。   </w:t>
      </w:r>
    </w:p>
    <w:p w14:paraId="628DB83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供应商必须保证在接到故障电话后4小时到场，并在24小时内修复。如</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供应商未在约定时间内到场，则</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供应商需承担由此给采购人造成的损失，包括但不限于采购人另行安排其他人员或机构维修产生的费用、因</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供应商未及时到场而拖慢工程进度或造成采购人对第三方违约等损失。在质保期内，如24小时内无法修复设备，</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供应商必须提供符合本合同要求的替代设备给采购人使用，直到故障设备修复为止，且不得另外收取其他费用。</w:t>
      </w:r>
    </w:p>
    <w:p w14:paraId="719C661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在质保期内，</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供应商须对所提供的设备做定期检查和保养。</w:t>
      </w:r>
    </w:p>
    <w:p w14:paraId="31B905A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五、包装、运送及保管等要求</w:t>
      </w:r>
    </w:p>
    <w:p w14:paraId="57BFBC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本项目采购人不接受任何负偏离应标（符合国家规定的负偏离除外）。</w:t>
      </w:r>
    </w:p>
    <w:p w14:paraId="4602D83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供应商应采取必要的安全措施保证货物的运输及安装的安全，并承担货物的运输及安装过程中产生的风险。</w:t>
      </w:r>
    </w:p>
    <w:p w14:paraId="37A8EDC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、货物材料的包装必须是制造商原厂包装，其包装均应有良好的防湿、防锈、防潮、防雨、防腐及防碰撞的措施。凡由于包装不良造成的损失和由此产生的费用均由成交供应商承担。</w:t>
      </w:r>
    </w:p>
    <w:p w14:paraId="74632A9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供应商负责将货物材料运到现场过程中的全部运输，包括装卸车、货物现场的搬运。</w:t>
      </w:r>
    </w:p>
    <w:p w14:paraId="22C9A0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各种货物必须提供装箱清单，按装箱清单验收货物。</w:t>
      </w:r>
    </w:p>
    <w:p w14:paraId="32BB9E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货物在现场的保管由</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供应商负责，直至项目安装、验收完毕。</w:t>
      </w:r>
    </w:p>
    <w:p w14:paraId="4D5839E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货物在安装调试验收合格前的保险由</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供应商负责其派出的现场服务人员人身意外保险</w:t>
      </w:r>
      <w:r>
        <w:rPr>
          <w:rFonts w:hint="eastAsia" w:ascii="宋体" w:hAnsi="宋体" w:cs="宋体"/>
          <w:color w:val="auto"/>
          <w:sz w:val="22"/>
          <w:szCs w:val="22"/>
          <w:highlight w:val="none"/>
          <w:lang w:eastAsia="zh-CN"/>
        </w:rPr>
        <w:t>。</w:t>
      </w:r>
    </w:p>
    <w:p w14:paraId="48464A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对于技术人员为采购人服务期间因工作原因引起的各种工伤、安全事件和事故，采购人免负一切责任。</w:t>
      </w:r>
    </w:p>
    <w:p w14:paraId="7AE64A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供应商须向采购人提供有关设备的安装、调试、使用、维修和保养所需的足够的中文技术文件（图纸、手册和技术资料等）。</w:t>
      </w:r>
    </w:p>
    <w:p w14:paraId="6BAA48A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供应商免费提供具备专业知识、技能和证书的人员为采购人进行设备合理使用的培训，保证培训的操作人员快速掌握相应的操作知识。具体培训时间由采购人另行通知。</w:t>
      </w:r>
    </w:p>
    <w:p w14:paraId="19239B9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六、交货要求</w:t>
      </w:r>
    </w:p>
    <w:p w14:paraId="4C8966A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成交供应商在货物生产或货物采购前，与采购人再次核对书面确认所采购的全部货物的颜色、尺寸、材质、数量等要素，双方确认作为日后验收标准之一。合同双方确认完成后，成交供应商才能进行生产或采购。若成交供应商在货物生产或采购前，未与采购人再次书面确认所采购的全部货物的相关要素而提前生产或采购的，采购人有权不予验收，因此造成双方的一切损失由成交供应商独自承担。</w:t>
      </w:r>
    </w:p>
    <w:p w14:paraId="78DDC3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2、确保货物及所有配套件的完整性和可靠性。对于文件虽没有列出而对该货物的正常使用和维护必不可少的部件、配件等，成交供应商有责任给予完善补充、安装配置，且总报价已包含此部分内容。</w:t>
      </w:r>
    </w:p>
    <w:p w14:paraId="55D47DA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由成交供应商负责按国家相关标准进行货物包装，货物的包装均做好良好的防湿、防锈、防潮、防雨、防腐及防碰撞的措施，并适宜本项目实施地点的气候条件。凡由于包装不良造成的损失和由此产生的费用均由成交供应商承担。</w:t>
      </w:r>
    </w:p>
    <w:p w14:paraId="2052FC4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4、成交供应商交货时还应提供产品的合格证书、质检报告、质量保证书等相关资料，否则采购人有权拒收。</w:t>
      </w:r>
    </w:p>
    <w:p w14:paraId="44D165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七、验收标准</w:t>
      </w:r>
    </w:p>
    <w:p w14:paraId="32E1F1B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本项目技术要求详见采购清单，并符合国家标准及行业标准。本次采购的货物必须符合相关标准。项目涉及到的货物由采购方组织有关部门进行专项验收；采购方有权对所有货物进行随机抽检，如抽检不合格所有货物全部退回，供应商承担由此引起的一切后果，情节严重者采购方有权解除供货合同；</w:t>
      </w:r>
    </w:p>
    <w:p w14:paraId="46AC514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2、货到现场安装完毕后开始验收，所供应的全部货物应符合采购人的验收标准。</w:t>
      </w:r>
    </w:p>
    <w:p w14:paraId="44DDCD4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八、其他要求</w:t>
      </w:r>
    </w:p>
    <w:p w14:paraId="41DCFCD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项目提供的技术要求(规格)只是对产品的一些原则性要求，并不是最详尽的描述和要求，</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有责任依据相关设计技术规范和有关行业国家标准执行，无国家标准的，按行业标准执行；无国家和行业标准的，按企业标准执行；但在招标文件中有特别要求的，按招标文件中规定的要求执行，并且符合相关法律、法规规定的要求。</w:t>
      </w:r>
    </w:p>
    <w:p w14:paraId="1D36E8E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投标产品的技术标准按国家标准执行，无国家标准的，按行业标准执行；无国家和行业标准的，按企业标准执行；但在招标文件中有特别要求的，按招标文件中规定的要求执行，并且符合相关法律、法规规定的要求。</w:t>
      </w:r>
    </w:p>
    <w:p w14:paraId="3AD774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zh-CN"/>
        </w:rPr>
        <w:t>供应商应保证提供的产品不得侵犯第三方专利权、商标权和设计权、版权等。否则，供应商应负全部责任，并承担由此引起的一切后果。</w:t>
      </w:r>
    </w:p>
    <w:p w14:paraId="07E13C0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供应商应保证其货物在正确安装、正常使用下，在其使用寿命期内应具有满意的性能。</w:t>
      </w:r>
    </w:p>
    <w:p w14:paraId="0785DA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、因产品的质量问题发生争议，送至国家认可的第三方检测机构进行质量鉴定。采购人与</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供应商认为有需要，可以共同提出或分别提出质量鉴定。产品符合质量标准的，鉴定费由采购人承担；产品不符合质量标准的，鉴定费由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供应商承担。</w:t>
      </w:r>
    </w:p>
    <w:p w14:paraId="756774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供应商应积极配合采购人时间及管理，不得与采购人产生任何冲突，如若在合作过程中出现矛盾、冲突等情况，由</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供应商负责并承担相应的法律责任。</w:t>
      </w:r>
    </w:p>
    <w:p w14:paraId="4E7E1B8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必须按国家标准，为</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提供优质产品，保证所提供的产品符合国家环保标准，安全、无菌、无异味、无毒。由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供应商负责按国家相关标准进行货物包装，设备的包装均应有良好的防湿、防锈、防潮、防雨、防腐及防碰撞的措施，并适宜本项目实施地点的气候条件。凡由于包装不良造成的损失和由此产生的费用均由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供应商承担。</w:t>
      </w:r>
    </w:p>
    <w:p w14:paraId="03ABC2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本项目无核心</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要求，如不同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提供相同品牌的，均予以认可。</w:t>
      </w:r>
    </w:p>
    <w:p w14:paraId="396F78E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鼓励提供高配置产品，技术参数性能为最低要求须满足。技术参数性能实质性响应高于招标文件要求的，需在投标文件中作出详细说明。</w:t>
      </w:r>
    </w:p>
    <w:p w14:paraId="7643A1F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应明确竞标产品的制造商、产品品牌、型号、规格，并提供详细的技术参数及性能说明。</w:t>
      </w:r>
    </w:p>
    <w:p w14:paraId="73A4F1D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应认真对现场及其环境进行踏勘，对产品安装现场情况和影响施工的因素以及困难条件进行周密的勘察和研究，作出自己的判断结论和估价。</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后和签订合同时及安装改造过程中，</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均不得以不了解现场情况为由，提出任何形式增加本项目安装的造价要求，安装时因场地问题引起的成本费用增加，均由</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自行承担，结算时不予调整。</w:t>
      </w:r>
    </w:p>
    <w:p w14:paraId="202A0BF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、项目设备供货及安装包含所有产品的材料费、制作费、运输到指定地点的装运费用（含装卸力资）、现场接进出水源、电源的费用、施工配合费、与总包单位的协调费及辅助材料费。</w:t>
      </w:r>
    </w:p>
    <w:p w14:paraId="39A4423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须完成与所供产品相关的上下水、电气等安装，相关材料费、辅材费、安装费、税金等包含在投标报价之中。</w:t>
      </w:r>
    </w:p>
    <w:p w14:paraId="7740BF5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、项目需求清单中未曾反映的工程量，请自行考虑在报价内，</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后不再作任何更改及费用的增加，但必须保证项目安装改造的正常进行，由此产生的额外费用视作赠送。</w:t>
      </w:r>
    </w:p>
    <w:p w14:paraId="425D8CF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需按照项目需求列表中所有产品清单数量严谨报价，不得缺项、漏项，凡缺项、漏项的视作赠送。</w:t>
      </w:r>
    </w:p>
    <w:p w14:paraId="5A0CB4D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九、</w:t>
      </w:r>
      <w:r>
        <w:rPr>
          <w:rFonts w:hint="eastAsia" w:ascii="宋体" w:hAnsi="宋体" w:cs="宋体"/>
          <w:b/>
          <w:bCs/>
          <w:color w:val="auto"/>
          <w:sz w:val="22"/>
          <w:szCs w:val="22"/>
          <w:highlight w:val="none"/>
        </w:rPr>
        <w:t>付款方式</w:t>
      </w:r>
    </w:p>
    <w:p w14:paraId="00AF6C10">
      <w:pPr>
        <w:spacing w:line="48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签订完成后，7个工作日内，采购人支付合同总价的10%；成交供应商按本合同约定供货，货物全部完成安装、调试并经最终验收合格，采购人支付至合同总价的80%；审计完成后，支付至审定价的97%，剩余3%留作质保金。保修期满且货物质量无问题，采购人在质保期满后20个工作日内向成交供应商退还质保金。</w:t>
      </w:r>
    </w:p>
    <w:p w14:paraId="1AE6C41C">
      <w:pPr>
        <w:spacing w:line="48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2、成交供应商凭以下有效文件与采购人结算：①采购合同；②供应商开具的正式增值税发票；③验收调试报告（加盖采购人公章）；</w:t>
      </w:r>
      <w:r>
        <w:rPr>
          <w:rFonts w:hint="eastAsia" w:ascii="宋体" w:hAnsi="宋体" w:eastAsia="宋体" w:cs="宋体"/>
          <w:color w:val="auto"/>
          <w:sz w:val="22"/>
          <w:szCs w:val="22"/>
          <w:highlight w:val="none"/>
          <w:lang w:val="en-US" w:eastAsia="zh-CN"/>
        </w:rPr>
        <w:tab/>
      </w:r>
    </w:p>
    <w:p w14:paraId="5BE05749">
      <w:pPr>
        <w:spacing w:line="480" w:lineRule="exact"/>
        <w:ind w:firstLine="440" w:firstLineChars="200"/>
        <w:rPr>
          <w:rFonts w:hint="eastAsia"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 结算时按甲方确认的实际供货量进行结算，综合单价不变</w:t>
      </w:r>
      <w:r>
        <w:rPr>
          <w:rFonts w:hint="eastAsia" w:ascii="Times New Roman" w:hAnsi="Times New Roman" w:eastAsia="宋体" w:cs="Times New Roman"/>
          <w:color w:val="auto"/>
          <w:sz w:val="22"/>
          <w:szCs w:val="22"/>
          <w:highlight w:val="none"/>
          <w:lang w:val="en-US" w:eastAsia="zh-CN"/>
        </w:rPr>
        <w:t>。</w:t>
      </w:r>
    </w:p>
    <w:p w14:paraId="2DD8EDF5">
      <w:pPr>
        <w:spacing w:line="480" w:lineRule="exact"/>
        <w:ind w:firstLine="440" w:firstLineChars="200"/>
        <w:rPr>
          <w:rFonts w:hint="default" w:ascii="Times New Roman" w:hAnsi="Times New Roman" w:cs="Times New Roman"/>
          <w:color w:val="auto"/>
          <w:sz w:val="22"/>
          <w:szCs w:val="22"/>
          <w:highlight w:val="none"/>
        </w:rPr>
      </w:pPr>
      <w:r>
        <w:rPr>
          <w:rFonts w:hint="eastAsia"/>
          <w:color w:val="auto"/>
          <w:sz w:val="22"/>
          <w:szCs w:val="22"/>
          <w:highlight w:val="none"/>
          <w:lang w:eastAsia="zh-CN"/>
        </w:rPr>
        <w:t>成交</w:t>
      </w:r>
      <w:r>
        <w:rPr>
          <w:rFonts w:hint="eastAsia"/>
          <w:color w:val="auto"/>
          <w:sz w:val="22"/>
          <w:szCs w:val="22"/>
          <w:highlight w:val="none"/>
        </w:rPr>
        <w:t>供应商需根据</w:t>
      </w:r>
      <w:r>
        <w:rPr>
          <w:rFonts w:hint="eastAsia"/>
          <w:color w:val="auto"/>
          <w:sz w:val="22"/>
          <w:szCs w:val="22"/>
          <w:highlight w:val="none"/>
          <w:lang w:val="en-US" w:eastAsia="zh-CN"/>
        </w:rPr>
        <w:t>采购人</w:t>
      </w:r>
      <w:r>
        <w:rPr>
          <w:rFonts w:hint="eastAsia"/>
          <w:color w:val="auto"/>
          <w:sz w:val="22"/>
          <w:szCs w:val="22"/>
          <w:highlight w:val="none"/>
        </w:rPr>
        <w:t>的要求向</w:t>
      </w:r>
      <w:r>
        <w:rPr>
          <w:rFonts w:hint="eastAsia"/>
          <w:color w:val="auto"/>
          <w:sz w:val="22"/>
          <w:szCs w:val="22"/>
          <w:highlight w:val="none"/>
          <w:lang w:val="en-US" w:eastAsia="zh-CN"/>
        </w:rPr>
        <w:t>采购人</w:t>
      </w:r>
      <w:r>
        <w:rPr>
          <w:rFonts w:hint="eastAsia"/>
          <w:color w:val="auto"/>
          <w:sz w:val="22"/>
          <w:szCs w:val="22"/>
          <w:highlight w:val="none"/>
        </w:rPr>
        <w:t>出具符合国家及</w:t>
      </w:r>
      <w:r>
        <w:rPr>
          <w:rFonts w:hint="eastAsia"/>
          <w:color w:val="auto"/>
          <w:sz w:val="22"/>
          <w:szCs w:val="22"/>
          <w:highlight w:val="none"/>
          <w:lang w:val="en-US" w:eastAsia="zh-CN"/>
        </w:rPr>
        <w:t>采购人</w:t>
      </w:r>
      <w:r>
        <w:rPr>
          <w:rFonts w:hint="eastAsia"/>
          <w:color w:val="auto"/>
          <w:sz w:val="22"/>
          <w:szCs w:val="22"/>
          <w:highlight w:val="none"/>
        </w:rPr>
        <w:t>税收及财务制度的发票，因</w:t>
      </w:r>
      <w:r>
        <w:rPr>
          <w:rFonts w:hint="eastAsia"/>
          <w:color w:val="auto"/>
          <w:sz w:val="22"/>
          <w:szCs w:val="22"/>
          <w:highlight w:val="none"/>
          <w:lang w:eastAsia="zh-CN"/>
        </w:rPr>
        <w:t>成交</w:t>
      </w:r>
      <w:r>
        <w:rPr>
          <w:rFonts w:hint="eastAsia"/>
          <w:color w:val="auto"/>
          <w:sz w:val="22"/>
          <w:szCs w:val="22"/>
          <w:highlight w:val="none"/>
        </w:rPr>
        <w:t>供应商未及时提供发票所导致的</w:t>
      </w:r>
      <w:r>
        <w:rPr>
          <w:rFonts w:hint="eastAsia"/>
          <w:color w:val="auto"/>
          <w:sz w:val="22"/>
          <w:szCs w:val="22"/>
          <w:highlight w:val="none"/>
          <w:lang w:val="en-US" w:eastAsia="zh-CN"/>
        </w:rPr>
        <w:t>采购人</w:t>
      </w:r>
      <w:r>
        <w:rPr>
          <w:rFonts w:hint="eastAsia"/>
          <w:color w:val="auto"/>
          <w:sz w:val="22"/>
          <w:szCs w:val="22"/>
          <w:highlight w:val="none"/>
        </w:rPr>
        <w:t>迟延付款，</w:t>
      </w:r>
      <w:r>
        <w:rPr>
          <w:rFonts w:hint="eastAsia"/>
          <w:color w:val="auto"/>
          <w:sz w:val="22"/>
          <w:szCs w:val="22"/>
          <w:highlight w:val="none"/>
          <w:lang w:val="en-US" w:eastAsia="zh-CN"/>
        </w:rPr>
        <w:t>采购人</w:t>
      </w:r>
      <w:r>
        <w:rPr>
          <w:rFonts w:hint="eastAsia"/>
          <w:color w:val="auto"/>
          <w:sz w:val="22"/>
          <w:szCs w:val="22"/>
          <w:highlight w:val="none"/>
        </w:rPr>
        <w:t>不对此承担责任。</w:t>
      </w:r>
    </w:p>
    <w:p w14:paraId="715D5AE8">
      <w:pPr>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 xml:space="preserve">具体内容最终以双方签订的采购合同为准。 </w:t>
      </w:r>
    </w:p>
    <w:p w14:paraId="08B9C1E5">
      <w:pPr>
        <w:snapToGrid w:val="0"/>
        <w:spacing w:line="30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第四部分  开标和评标</w:t>
      </w:r>
    </w:p>
    <w:p w14:paraId="19AFBFBB">
      <w:pPr>
        <w:keepNext w:val="0"/>
        <w:keepLines w:val="0"/>
        <w:pageBreakBefore w:val="0"/>
        <w:widowControl w:val="0"/>
        <w:tabs>
          <w:tab w:val="left" w:pos="3585"/>
        </w:tabs>
        <w:kinsoku/>
        <w:wordWrap/>
        <w:overflowPunct/>
        <w:topLinePunct w:val="0"/>
        <w:bidi w:val="0"/>
        <w:snapToGrid w:val="0"/>
        <w:spacing w:line="440" w:lineRule="exact"/>
        <w:ind w:firstLine="424" w:firstLineChars="192"/>
        <w:textAlignment w:val="auto"/>
        <w:rPr>
          <w:rFonts w:hint="eastAsia" w:ascii="宋体" w:hAnsi="宋体"/>
          <w:b/>
          <w:color w:val="auto"/>
          <w:sz w:val="22"/>
          <w:szCs w:val="22"/>
          <w:highlight w:val="none"/>
        </w:rPr>
      </w:pPr>
      <w:r>
        <w:rPr>
          <w:rFonts w:hint="eastAsia" w:ascii="宋体" w:hAnsi="宋体"/>
          <w:b/>
          <w:bCs/>
          <w:color w:val="auto"/>
          <w:sz w:val="22"/>
          <w:szCs w:val="22"/>
          <w:highlight w:val="none"/>
        </w:rPr>
        <w:t>一、</w:t>
      </w:r>
      <w:r>
        <w:rPr>
          <w:rFonts w:hint="eastAsia" w:ascii="宋体" w:hAnsi="宋体"/>
          <w:b/>
          <w:color w:val="auto"/>
          <w:sz w:val="22"/>
          <w:szCs w:val="22"/>
          <w:highlight w:val="none"/>
        </w:rPr>
        <w:t>采购人委托代理机构组织开标</w:t>
      </w:r>
    </w:p>
    <w:p w14:paraId="357C16DB">
      <w:pPr>
        <w:keepNext w:val="0"/>
        <w:keepLines w:val="0"/>
        <w:pageBreakBefore w:val="0"/>
        <w:widowControl w:val="0"/>
        <w:tabs>
          <w:tab w:val="left" w:pos="3585"/>
        </w:tabs>
        <w:kinsoku/>
        <w:wordWrap/>
        <w:overflowPunct/>
        <w:topLinePunct w:val="0"/>
        <w:bidi w:val="0"/>
        <w:snapToGrid w:val="0"/>
        <w:spacing w:line="440" w:lineRule="exact"/>
        <w:ind w:firstLine="422" w:firstLineChars="192"/>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投标供应商须</w:t>
      </w:r>
      <w:r>
        <w:rPr>
          <w:rFonts w:hint="eastAsia" w:ascii="宋体" w:hAnsi="宋体" w:cs="宋体"/>
          <w:color w:val="auto"/>
          <w:kern w:val="0"/>
          <w:sz w:val="22"/>
          <w:szCs w:val="22"/>
          <w:highlight w:val="none"/>
          <w:lang w:val="en-US" w:eastAsia="zh-CN"/>
        </w:rPr>
        <w:t>准时</w:t>
      </w:r>
      <w:r>
        <w:rPr>
          <w:rFonts w:hint="eastAsia" w:ascii="宋体" w:hAnsi="宋体" w:cs="宋体"/>
          <w:color w:val="auto"/>
          <w:kern w:val="0"/>
          <w:sz w:val="22"/>
          <w:szCs w:val="22"/>
          <w:highlight w:val="none"/>
          <w:lang w:val="zh-CN"/>
        </w:rPr>
        <w:t>参加开标会。</w:t>
      </w:r>
    </w:p>
    <w:p w14:paraId="2DCCB9A0">
      <w:pPr>
        <w:keepNext w:val="0"/>
        <w:keepLines w:val="0"/>
        <w:pageBreakBefore w:val="0"/>
        <w:widowControl w:val="0"/>
        <w:numPr>
          <w:ilvl w:val="0"/>
          <w:numId w:val="1"/>
        </w:numPr>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评委会由有关专家和</w:t>
      </w:r>
      <w:r>
        <w:rPr>
          <w:rFonts w:hint="eastAsia" w:ascii="宋体" w:hAnsi="宋体"/>
          <w:b/>
          <w:color w:val="auto"/>
          <w:sz w:val="22"/>
          <w:szCs w:val="22"/>
          <w:highlight w:val="none"/>
        </w:rPr>
        <w:t>采购人代表</w:t>
      </w:r>
      <w:r>
        <w:rPr>
          <w:rFonts w:hint="eastAsia" w:ascii="宋体" w:hAnsi="宋体"/>
          <w:b/>
          <w:bCs/>
          <w:color w:val="auto"/>
          <w:sz w:val="22"/>
          <w:szCs w:val="22"/>
          <w:highlight w:val="none"/>
        </w:rPr>
        <w:t>组成</w:t>
      </w:r>
      <w:r>
        <w:rPr>
          <w:rFonts w:hint="eastAsia" w:ascii="宋体" w:hAnsi="宋体"/>
          <w:b/>
          <w:color w:val="auto"/>
          <w:sz w:val="22"/>
          <w:szCs w:val="22"/>
          <w:highlight w:val="none"/>
        </w:rPr>
        <w:t>，按照</w:t>
      </w:r>
      <w:r>
        <w:rPr>
          <w:rFonts w:hint="eastAsia" w:ascii="宋体" w:hAnsi="宋体"/>
          <w:b/>
          <w:bCs/>
          <w:color w:val="auto"/>
          <w:sz w:val="22"/>
          <w:szCs w:val="22"/>
          <w:highlight w:val="none"/>
        </w:rPr>
        <w:t>公平、公正、择优的原则进行</w:t>
      </w:r>
      <w:r>
        <w:rPr>
          <w:rFonts w:hint="eastAsia" w:ascii="宋体" w:hAnsi="宋体"/>
          <w:b/>
          <w:color w:val="auto"/>
          <w:sz w:val="22"/>
          <w:szCs w:val="22"/>
          <w:highlight w:val="none"/>
        </w:rPr>
        <w:t>独立</w:t>
      </w:r>
      <w:r>
        <w:rPr>
          <w:rFonts w:hint="eastAsia" w:ascii="宋体" w:hAnsi="宋体"/>
          <w:b/>
          <w:bCs/>
          <w:color w:val="auto"/>
          <w:sz w:val="22"/>
          <w:szCs w:val="22"/>
          <w:highlight w:val="none"/>
        </w:rPr>
        <w:t>评标。</w:t>
      </w:r>
    </w:p>
    <w:p w14:paraId="06B74F35">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
          <w:bCs/>
          <w:color w:val="auto"/>
          <w:sz w:val="22"/>
          <w:szCs w:val="22"/>
          <w:highlight w:val="none"/>
        </w:rPr>
      </w:pPr>
      <w:r>
        <w:rPr>
          <w:rFonts w:hint="eastAsia" w:ascii="宋体" w:hAnsi="宋体"/>
          <w:bCs/>
          <w:color w:val="auto"/>
          <w:sz w:val="22"/>
          <w:szCs w:val="22"/>
          <w:highlight w:val="none"/>
        </w:rPr>
        <w:t>评委会由采购人代表和评审专家组成。</w:t>
      </w:r>
    </w:p>
    <w:p w14:paraId="2E73F8E1">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由评标委员会对</w:t>
      </w:r>
      <w:r>
        <w:rPr>
          <w:rFonts w:hint="eastAsia" w:ascii="宋体" w:hAnsi="宋体"/>
          <w:bCs/>
          <w:color w:val="auto"/>
          <w:sz w:val="22"/>
          <w:szCs w:val="22"/>
          <w:highlight w:val="none"/>
          <w:lang w:eastAsia="zh-CN"/>
        </w:rPr>
        <w:t>投标供应商</w:t>
      </w:r>
      <w:r>
        <w:rPr>
          <w:rFonts w:hint="eastAsia" w:ascii="宋体" w:hAnsi="宋体"/>
          <w:bCs/>
          <w:color w:val="auto"/>
          <w:sz w:val="22"/>
          <w:szCs w:val="22"/>
          <w:highlight w:val="none"/>
        </w:rPr>
        <w:t>资格性、符合性审查，对未通过审查的</w:t>
      </w:r>
      <w:r>
        <w:rPr>
          <w:rFonts w:hint="eastAsia" w:ascii="宋体" w:hAnsi="宋体" w:cs="宋体"/>
          <w:color w:val="auto"/>
          <w:sz w:val="22"/>
          <w:szCs w:val="22"/>
          <w:highlight w:val="none"/>
          <w:lang w:val="en-US" w:eastAsia="zh-CN"/>
        </w:rPr>
        <w:t>投标供应商</w:t>
      </w:r>
      <w:r>
        <w:rPr>
          <w:rFonts w:hint="eastAsia" w:ascii="宋体" w:hAnsi="宋体"/>
          <w:bCs/>
          <w:color w:val="auto"/>
          <w:sz w:val="22"/>
          <w:szCs w:val="22"/>
          <w:highlight w:val="none"/>
        </w:rPr>
        <w:t>，应现场告知原因。评委会对合格</w:t>
      </w:r>
      <w:r>
        <w:rPr>
          <w:rFonts w:hint="eastAsia" w:ascii="宋体" w:hAnsi="宋体" w:cs="宋体"/>
          <w:color w:val="auto"/>
          <w:sz w:val="22"/>
          <w:szCs w:val="22"/>
          <w:highlight w:val="none"/>
          <w:lang w:val="en-US" w:eastAsia="zh-CN"/>
        </w:rPr>
        <w:t>投标供应商</w:t>
      </w:r>
      <w:r>
        <w:rPr>
          <w:rFonts w:hint="eastAsia" w:ascii="宋体" w:hAnsi="宋体"/>
          <w:bCs/>
          <w:color w:val="auto"/>
          <w:sz w:val="22"/>
          <w:szCs w:val="22"/>
          <w:highlight w:val="none"/>
        </w:rPr>
        <w:t>的投标文件进行评审。</w:t>
      </w:r>
    </w:p>
    <w:p w14:paraId="6FF29106">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（一）评审内容</w:t>
      </w:r>
    </w:p>
    <w:p w14:paraId="26137C2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1、是否递交投标文件；</w:t>
      </w:r>
    </w:p>
    <w:p w14:paraId="67BCB34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rPr>
        <w:t>2、投标资格是否符合（由评标委员会审查）</w:t>
      </w:r>
      <w:r>
        <w:rPr>
          <w:rFonts w:hint="eastAsia" w:ascii="宋体" w:hAnsi="宋体"/>
          <w:bCs/>
          <w:color w:val="auto"/>
          <w:sz w:val="22"/>
          <w:szCs w:val="22"/>
          <w:highlight w:val="none"/>
          <w:lang w:eastAsia="zh-CN"/>
        </w:rPr>
        <w:t>；</w:t>
      </w:r>
    </w:p>
    <w:p w14:paraId="26D7909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3、投标文件是否完整；</w:t>
      </w:r>
    </w:p>
    <w:p w14:paraId="34B3843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4、投标文件是否恰当地签署；</w:t>
      </w:r>
    </w:p>
    <w:p w14:paraId="715001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5、是否作出实质性响应（是否有实质性响应，只根据投标文件本身，而不寻求外部证据）；</w:t>
      </w:r>
    </w:p>
    <w:p w14:paraId="31A075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6、是否有计算错误。</w:t>
      </w:r>
    </w:p>
    <w:p w14:paraId="643C9035">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（二）相应的规定</w:t>
      </w:r>
    </w:p>
    <w:p w14:paraId="424A966C">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1、投标文件中开标一览表（报价表）内容与投标文件中相应内容不一致的，以开标一览表（报价表）为准；</w:t>
      </w:r>
    </w:p>
    <w:p w14:paraId="14DF69EE">
      <w:pPr>
        <w:keepNext w:val="0"/>
        <w:keepLines w:val="0"/>
        <w:pageBreakBefore w:val="0"/>
        <w:widowControl w:val="0"/>
        <w:kinsoku/>
        <w:wordWrap/>
        <w:overflowPunct/>
        <w:topLinePunct w:val="0"/>
        <w:bidi w:val="0"/>
        <w:snapToGrid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2、大写金额和小写金额不一致的，以大写金额为准；</w:t>
      </w:r>
    </w:p>
    <w:p w14:paraId="79F32AE8">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3、单价金额小数点或者百分比有明显错位的，以开标一览表的总价为准，并修改单价；</w:t>
      </w:r>
    </w:p>
    <w:p w14:paraId="533D16AD">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4、总价金额与按单价汇总金额不一致的，以单价金额计算结果为准。</w:t>
      </w:r>
    </w:p>
    <w:p w14:paraId="69C81330">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同时出现两种以上不一致的，按照前款规定的顺序修正。修正后的报价按照财政部第87号令第五十一条第二款的规定经</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确认后产生约束力，</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不确认的，其投标无效。</w:t>
      </w:r>
    </w:p>
    <w:p w14:paraId="0A51E3D5">
      <w:pPr>
        <w:keepNext w:val="0"/>
        <w:keepLines w:val="0"/>
        <w:pageBreakBefore w:val="0"/>
        <w:widowControl w:val="0"/>
        <w:tabs>
          <w:tab w:val="left" w:pos="3585"/>
        </w:tabs>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三、</w:t>
      </w:r>
      <w:r>
        <w:rPr>
          <w:rFonts w:hint="eastAsia" w:ascii="宋体" w:hAnsi="宋体"/>
          <w:b/>
          <w:color w:val="auto"/>
          <w:sz w:val="22"/>
          <w:szCs w:val="22"/>
          <w:highlight w:val="none"/>
        </w:rPr>
        <w:t>陈述、演示、</w:t>
      </w:r>
      <w:r>
        <w:rPr>
          <w:rFonts w:hint="eastAsia" w:ascii="宋体" w:hAnsi="宋体"/>
          <w:b/>
          <w:bCs/>
          <w:color w:val="auto"/>
          <w:sz w:val="22"/>
          <w:szCs w:val="22"/>
          <w:highlight w:val="none"/>
        </w:rPr>
        <w:t>答疑、澄清</w:t>
      </w:r>
    </w:p>
    <w:p w14:paraId="36D3CA69">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color w:val="auto"/>
          <w:sz w:val="22"/>
          <w:szCs w:val="22"/>
          <w:highlight w:val="none"/>
        </w:rPr>
        <w:t>如评委会认为有必要，</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按评委会的要求作陈述、演示、答疑及澄清其投标内容。时间由评委会掌握。</w:t>
      </w:r>
    </w:p>
    <w:p w14:paraId="01764AE4">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重要澄清答复应是书面的，但不得对投标内容进行实质性修改。</w:t>
      </w:r>
    </w:p>
    <w:p w14:paraId="4447AD16">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四、出现下列情形之一的，作无效投标处理</w:t>
      </w:r>
    </w:p>
    <w:p w14:paraId="6931EE5B">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1、投标文件未按招标文件要求密封、签署、盖章及主要资料不齐全的；</w:t>
      </w:r>
    </w:p>
    <w:p w14:paraId="15C207D9">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2、不具备招标文件中规定的资格要求的；</w:t>
      </w:r>
    </w:p>
    <w:p w14:paraId="34BFCB4F">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3、报价超过招标文件中规定的预算金额或者最高限价的；</w:t>
      </w:r>
    </w:p>
    <w:p w14:paraId="78F19986">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4、投标文件含有采购人不能接受的附加条件的；</w:t>
      </w:r>
    </w:p>
    <w:p w14:paraId="5627CFA9">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5、不符合法律、法规和招标文件中规定的其他实质性要求的；</w:t>
      </w:r>
    </w:p>
    <w:p w14:paraId="7505EB86">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6、不同文件（资格审查文件</w:t>
      </w:r>
      <w:r>
        <w:rPr>
          <w:rFonts w:hint="eastAsia" w:ascii="宋体" w:hAnsi="宋体" w:cs="宋体"/>
          <w:b/>
          <w:bCs/>
          <w:color w:val="auto"/>
          <w:sz w:val="22"/>
          <w:szCs w:val="22"/>
          <w:highlight w:val="none"/>
          <w:lang w:val="en-US" w:eastAsia="zh-CN"/>
        </w:rPr>
        <w:t>包</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商务技术标</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报价标</w:t>
      </w:r>
      <w:r>
        <w:rPr>
          <w:rFonts w:hint="eastAsia" w:ascii="宋体" w:hAnsi="宋体" w:cs="宋体"/>
          <w:b/>
          <w:bCs/>
          <w:color w:val="auto"/>
          <w:sz w:val="22"/>
          <w:szCs w:val="22"/>
          <w:highlight w:val="none"/>
        </w:rPr>
        <w:t>）混装的。</w:t>
      </w:r>
    </w:p>
    <w:p w14:paraId="3263B462">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五、出现下列情形之一的，作废标处理</w:t>
      </w:r>
    </w:p>
    <w:p w14:paraId="0615C6E0">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1、符合专业条件的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或者对招标文件作实质响应的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不足3家的；</w:t>
      </w:r>
    </w:p>
    <w:p w14:paraId="554CA31C">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2、出现影响采购公正的违法违规行为的；</w:t>
      </w:r>
    </w:p>
    <w:p w14:paraId="1B733664">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的报价均超过了采购预算，采购人不能支付的；</w:t>
      </w:r>
    </w:p>
    <w:p w14:paraId="372A5DFA">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4、因重大变故，采购任务取消的。</w:t>
      </w:r>
    </w:p>
    <w:p w14:paraId="01661828">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上述均保留评委会认定可以确定为无效投标或废标的其他情况。</w:t>
      </w:r>
    </w:p>
    <w:p w14:paraId="17C75D7F">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六</w:t>
      </w:r>
      <w:r>
        <w:rPr>
          <w:rFonts w:hint="eastAsia" w:ascii="宋体" w:hAnsi="宋体"/>
          <w:color w:val="auto"/>
          <w:sz w:val="22"/>
          <w:szCs w:val="22"/>
          <w:highlight w:val="none"/>
        </w:rPr>
        <w:t>、</w:t>
      </w:r>
      <w:r>
        <w:rPr>
          <w:rFonts w:hint="eastAsia" w:ascii="宋体" w:hAnsi="宋体"/>
          <w:b/>
          <w:color w:val="auto"/>
          <w:sz w:val="22"/>
          <w:szCs w:val="22"/>
          <w:highlight w:val="none"/>
        </w:rPr>
        <w:t>变更为其他方式采购的情形</w:t>
      </w:r>
    </w:p>
    <w:p w14:paraId="07FC63B1">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rPr>
        <w:t>投标截止时间出现：参加投标的</w:t>
      </w:r>
      <w:r>
        <w:rPr>
          <w:rFonts w:hint="eastAsia" w:ascii="宋体" w:hAnsi="宋体" w:cs="宋体"/>
          <w:color w:val="auto"/>
          <w:sz w:val="22"/>
          <w:szCs w:val="22"/>
          <w:highlight w:val="none"/>
          <w:lang w:val="en-US" w:eastAsia="zh-CN"/>
        </w:rPr>
        <w:t>投标供应商</w:t>
      </w:r>
      <w:r>
        <w:rPr>
          <w:rFonts w:hint="eastAsia" w:ascii="宋体" w:hAnsi="宋体"/>
          <w:color w:val="auto"/>
          <w:sz w:val="22"/>
          <w:szCs w:val="22"/>
          <w:highlight w:val="none"/>
        </w:rPr>
        <w:t>不足3家的，及评标中出现符合专业条件的</w:t>
      </w:r>
      <w:r>
        <w:rPr>
          <w:rFonts w:hint="eastAsia" w:ascii="宋体" w:hAnsi="宋体" w:cs="宋体"/>
          <w:color w:val="auto"/>
          <w:sz w:val="22"/>
          <w:szCs w:val="22"/>
          <w:highlight w:val="none"/>
          <w:lang w:val="en-US" w:eastAsia="zh-CN"/>
        </w:rPr>
        <w:t>投标供应商</w:t>
      </w:r>
      <w:r>
        <w:rPr>
          <w:rFonts w:hint="eastAsia" w:ascii="宋体" w:hAnsi="宋体"/>
          <w:color w:val="auto"/>
          <w:sz w:val="22"/>
          <w:szCs w:val="22"/>
          <w:highlight w:val="none"/>
        </w:rPr>
        <w:t>或对招标文件作实质响应的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不足3家如下情形时，除采购任务取消外，采购人视情采取其他方式采购。</w:t>
      </w:r>
      <w:r>
        <w:rPr>
          <w:rFonts w:hint="eastAsia" w:ascii="宋体" w:hAnsi="宋体"/>
          <w:color w:val="auto"/>
          <w:sz w:val="22"/>
          <w:szCs w:val="22"/>
          <w:highlight w:val="none"/>
          <w:lang w:val="zh-CN"/>
        </w:rPr>
        <w:t>本次招标文件中对</w:t>
      </w:r>
      <w:r>
        <w:rPr>
          <w:rFonts w:hint="eastAsia" w:ascii="宋体" w:hAnsi="宋体" w:cs="宋体"/>
          <w:color w:val="auto"/>
          <w:sz w:val="22"/>
          <w:szCs w:val="22"/>
          <w:highlight w:val="none"/>
          <w:lang w:val="en-US" w:eastAsia="zh-CN"/>
        </w:rPr>
        <w:t>投标供应商</w:t>
      </w:r>
      <w:r>
        <w:rPr>
          <w:rFonts w:hint="eastAsia" w:ascii="宋体" w:hAnsi="宋体"/>
          <w:color w:val="auto"/>
          <w:sz w:val="22"/>
          <w:szCs w:val="22"/>
          <w:highlight w:val="none"/>
          <w:lang w:val="zh-CN"/>
        </w:rPr>
        <w:t>资质、技术等要求，将作为</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方式采购的基本要求和依据。原已经参加投标并符合要求的</w:t>
      </w:r>
      <w:r>
        <w:rPr>
          <w:rFonts w:hint="eastAsia" w:ascii="宋体" w:hAnsi="宋体" w:cs="宋体"/>
          <w:color w:val="auto"/>
          <w:sz w:val="22"/>
          <w:szCs w:val="22"/>
          <w:highlight w:val="none"/>
          <w:lang w:val="en-US" w:eastAsia="zh-CN"/>
        </w:rPr>
        <w:t>投标供应商</w:t>
      </w:r>
      <w:r>
        <w:rPr>
          <w:rFonts w:hint="eastAsia" w:ascii="宋体" w:hAnsi="宋体"/>
          <w:color w:val="auto"/>
          <w:sz w:val="22"/>
          <w:szCs w:val="22"/>
          <w:highlight w:val="none"/>
          <w:lang w:val="zh-CN"/>
        </w:rPr>
        <w:t>，根据自愿原则，参加</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w:t>
      </w:r>
    </w:p>
    <w:p w14:paraId="50CAF041">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七、评标方法</w:t>
      </w:r>
    </w:p>
    <w:p w14:paraId="03640035">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采用综合评分法。分资格审查、商务技术标、报价标三部分评审，总分值为100分，加分和减分因素除外。</w:t>
      </w:r>
    </w:p>
    <w:p w14:paraId="339E039F">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首先由评标委员会评审</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资格性、符合性，对合格的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由评委会评审</w:t>
      </w:r>
      <w:r>
        <w:rPr>
          <w:rFonts w:hint="eastAsia" w:ascii="宋体" w:hAnsi="宋体"/>
          <w:color w:val="auto"/>
          <w:sz w:val="22"/>
          <w:szCs w:val="22"/>
          <w:highlight w:val="none"/>
          <w:lang w:val="en-US" w:eastAsia="zh-CN"/>
        </w:rPr>
        <w:t>商务</w:t>
      </w:r>
      <w:r>
        <w:rPr>
          <w:rFonts w:hint="eastAsia" w:ascii="宋体" w:hAnsi="宋体"/>
          <w:color w:val="auto"/>
          <w:sz w:val="22"/>
          <w:szCs w:val="22"/>
          <w:highlight w:val="none"/>
        </w:rPr>
        <w:t>技术标，待</w:t>
      </w:r>
      <w:r>
        <w:rPr>
          <w:rFonts w:hint="eastAsia" w:ascii="宋体" w:hAnsi="宋体"/>
          <w:color w:val="auto"/>
          <w:sz w:val="22"/>
          <w:szCs w:val="22"/>
          <w:highlight w:val="none"/>
          <w:lang w:val="en-US" w:eastAsia="zh-CN"/>
        </w:rPr>
        <w:t>商务</w:t>
      </w:r>
      <w:r>
        <w:rPr>
          <w:rFonts w:hint="eastAsia" w:ascii="宋体" w:hAnsi="宋体"/>
          <w:color w:val="auto"/>
          <w:sz w:val="22"/>
          <w:szCs w:val="22"/>
          <w:highlight w:val="none"/>
        </w:rPr>
        <w:t>技术标评审结束后，再开启</w:t>
      </w:r>
      <w:r>
        <w:rPr>
          <w:rFonts w:hint="eastAsia" w:ascii="宋体" w:hAnsi="宋体"/>
          <w:color w:val="auto"/>
          <w:sz w:val="22"/>
          <w:szCs w:val="22"/>
          <w:highlight w:val="none"/>
          <w:lang w:val="en-US" w:eastAsia="zh-CN"/>
        </w:rPr>
        <w:t>报价标</w:t>
      </w:r>
      <w:r>
        <w:rPr>
          <w:rFonts w:hint="eastAsia" w:ascii="宋体" w:hAnsi="宋体"/>
          <w:color w:val="auto"/>
          <w:sz w:val="22"/>
          <w:szCs w:val="22"/>
          <w:highlight w:val="none"/>
        </w:rPr>
        <w:t>。</w:t>
      </w:r>
    </w:p>
    <w:p w14:paraId="49F12CD0">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评委在认真审阅投标文件的基础上，根据各投标文件的</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、技术部分的响应情况，对各评分项目进行评分，不得统一打分。</w:t>
      </w:r>
    </w:p>
    <w:p w14:paraId="6B1D01F0">
      <w:pPr>
        <w:keepNext w:val="0"/>
        <w:keepLines w:val="0"/>
        <w:pageBreakBefore w:val="0"/>
        <w:widowControl w:val="0"/>
        <w:kinsoku/>
        <w:wordWrap/>
        <w:overflowPunct/>
        <w:topLinePunct w:val="0"/>
        <w:bidi w:val="0"/>
        <w:snapToGrid w:val="0"/>
        <w:spacing w:line="440" w:lineRule="exact"/>
        <w:ind w:left="568"/>
        <w:textAlignment w:val="auto"/>
        <w:rPr>
          <w:rFonts w:hint="eastAsia" w:ascii="宋体" w:hAnsi="宋体"/>
          <w:b/>
          <w:color w:val="auto"/>
          <w:sz w:val="22"/>
          <w:szCs w:val="22"/>
          <w:highlight w:val="none"/>
        </w:rPr>
      </w:pPr>
      <w:r>
        <w:rPr>
          <w:rFonts w:hint="eastAsia" w:ascii="宋体" w:hAnsi="宋体"/>
          <w:b/>
          <w:color w:val="auto"/>
          <w:sz w:val="22"/>
          <w:szCs w:val="22"/>
          <w:highlight w:val="none"/>
        </w:rPr>
        <w:t>（一）评标委员会对</w:t>
      </w:r>
      <w:r>
        <w:rPr>
          <w:rFonts w:hint="eastAsia" w:ascii="宋体" w:hAnsi="宋体"/>
          <w:b/>
          <w:color w:val="auto"/>
          <w:sz w:val="22"/>
          <w:szCs w:val="22"/>
          <w:highlight w:val="none"/>
          <w:lang w:eastAsia="zh-CN"/>
        </w:rPr>
        <w:t>投标供应商</w:t>
      </w:r>
      <w:r>
        <w:rPr>
          <w:rFonts w:hint="eastAsia" w:ascii="宋体" w:hAnsi="宋体"/>
          <w:b/>
          <w:color w:val="auto"/>
          <w:sz w:val="22"/>
          <w:szCs w:val="22"/>
          <w:highlight w:val="none"/>
        </w:rPr>
        <w:t>资格性、符合性审查。</w:t>
      </w:r>
    </w:p>
    <w:p w14:paraId="12C52E33">
      <w:pPr>
        <w:pStyle w:val="27"/>
        <w:keepNext w:val="0"/>
        <w:keepLines w:val="0"/>
        <w:pageBreakBefore w:val="0"/>
        <w:widowControl w:val="0"/>
        <w:kinsoku/>
        <w:wordWrap/>
        <w:overflowPunct/>
        <w:topLinePunct w:val="0"/>
        <w:bidi w:val="0"/>
        <w:snapToGrid w:val="0"/>
        <w:spacing w:line="440" w:lineRule="exact"/>
        <w:ind w:firstLine="494"/>
        <w:contextualSpacing/>
        <w:textAlignment w:val="auto"/>
        <w:rPr>
          <w:rFonts w:hint="eastAsia" w:ascii="宋体" w:eastAsia="宋体"/>
          <w:color w:val="auto"/>
          <w:sz w:val="22"/>
          <w:szCs w:val="22"/>
          <w:highlight w:val="none"/>
        </w:rPr>
      </w:pPr>
      <w:r>
        <w:rPr>
          <w:rFonts w:hint="eastAsia" w:ascii="宋体" w:eastAsia="宋体"/>
          <w:color w:val="auto"/>
          <w:sz w:val="22"/>
          <w:szCs w:val="22"/>
          <w:highlight w:val="none"/>
          <w:lang w:eastAsia="zh-CN"/>
        </w:rPr>
        <w:t>投标供应商</w:t>
      </w:r>
      <w:r>
        <w:rPr>
          <w:rFonts w:hint="eastAsia" w:ascii="宋体" w:eastAsia="宋体"/>
          <w:color w:val="auto"/>
          <w:sz w:val="22"/>
          <w:szCs w:val="22"/>
          <w:highlight w:val="none"/>
        </w:rPr>
        <w:t>资格性、符合性不合格的，其投标文件判定为无效投标文件。合格的，评委对其投标文件继续评审。</w:t>
      </w:r>
    </w:p>
    <w:p w14:paraId="4B11B89C">
      <w:pPr>
        <w:keepNext w:val="0"/>
        <w:keepLines w:val="0"/>
        <w:pageBreakBefore w:val="0"/>
        <w:widowControl w:val="0"/>
        <w:numPr>
          <w:ilvl w:val="0"/>
          <w:numId w:val="2"/>
        </w:numPr>
        <w:kinsoku/>
        <w:wordWrap/>
        <w:overflowPunct/>
        <w:topLinePunct w:val="0"/>
        <w:bidi w:val="0"/>
        <w:snapToGrid w:val="0"/>
        <w:spacing w:line="440" w:lineRule="exact"/>
        <w:ind w:left="552" w:leftChars="0"/>
        <w:jc w:val="left"/>
        <w:textAlignment w:val="auto"/>
        <w:rPr>
          <w:rFonts w:hint="eastAsia" w:ascii="宋体" w:hAnsi="宋体"/>
          <w:b/>
          <w:bCs/>
          <w:color w:val="auto"/>
          <w:sz w:val="22"/>
          <w:szCs w:val="22"/>
          <w:highlight w:val="none"/>
          <w:u w:val="single"/>
          <w:lang w:val="zh-CN"/>
        </w:rPr>
      </w:pPr>
      <w:r>
        <w:rPr>
          <w:rFonts w:hint="eastAsia" w:ascii="宋体" w:hAnsi="宋体"/>
          <w:b/>
          <w:color w:val="auto"/>
          <w:sz w:val="22"/>
          <w:szCs w:val="22"/>
          <w:highlight w:val="none"/>
          <w:lang w:val="en-US" w:eastAsia="zh-CN"/>
        </w:rPr>
        <w:t>商务</w:t>
      </w:r>
      <w:r>
        <w:rPr>
          <w:rFonts w:hint="eastAsia" w:ascii="宋体" w:hAnsi="宋体"/>
          <w:b/>
          <w:color w:val="auto"/>
          <w:sz w:val="22"/>
          <w:szCs w:val="22"/>
          <w:highlight w:val="none"/>
          <w:lang w:val="zh-CN"/>
        </w:rPr>
        <w:t>技术分</w:t>
      </w:r>
      <w:r>
        <w:rPr>
          <w:rFonts w:hint="eastAsia" w:ascii="宋体" w:hAnsi="宋体"/>
          <w:color w:val="auto"/>
          <w:sz w:val="22"/>
          <w:szCs w:val="22"/>
          <w:highlight w:val="none"/>
          <w:lang w:val="zh-CN"/>
        </w:rPr>
        <w:t>：</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u w:val="single"/>
          <w:lang w:val="en-US" w:eastAsia="zh-CN"/>
        </w:rPr>
        <w:t>60</w:t>
      </w:r>
      <w:r>
        <w:rPr>
          <w:rFonts w:hint="eastAsia" w:ascii="宋体" w:hAnsi="宋体"/>
          <w:b/>
          <w:bCs/>
          <w:color w:val="auto"/>
          <w:sz w:val="22"/>
          <w:szCs w:val="22"/>
          <w:highlight w:val="none"/>
          <w:u w:val="single"/>
          <w:lang w:val="zh-CN"/>
        </w:rPr>
        <w:t>分</w:t>
      </w:r>
    </w:p>
    <w:p w14:paraId="38C8D57D">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lang w:val="zh-CN"/>
        </w:rPr>
        <w:t>由评标委员会对投标供应商的投标文件根据以下几个方面进行打分(商务技术标最终得分取</w:t>
      </w:r>
      <w:r>
        <w:rPr>
          <w:rFonts w:hint="eastAsia" w:ascii="宋体" w:hAnsi="宋体"/>
          <w:color w:val="auto"/>
          <w:sz w:val="22"/>
          <w:szCs w:val="22"/>
          <w:highlight w:val="none"/>
          <w:lang w:val="en-US" w:eastAsia="zh-CN"/>
        </w:rPr>
        <w:t>所有</w:t>
      </w:r>
      <w:r>
        <w:rPr>
          <w:rFonts w:hint="eastAsia" w:ascii="宋体" w:hAnsi="宋体"/>
          <w:color w:val="auto"/>
          <w:sz w:val="22"/>
          <w:szCs w:val="22"/>
          <w:highlight w:val="none"/>
          <w:lang w:val="zh-CN"/>
        </w:rPr>
        <w:t>评委打分的</w:t>
      </w:r>
      <w:r>
        <w:rPr>
          <w:rFonts w:hint="eastAsia" w:ascii="宋体" w:hAnsi="宋体"/>
          <w:color w:val="auto"/>
          <w:sz w:val="22"/>
          <w:szCs w:val="22"/>
          <w:highlight w:val="none"/>
          <w:lang w:val="en-US" w:eastAsia="zh-CN"/>
        </w:rPr>
        <w:t>算术</w:t>
      </w:r>
      <w:r>
        <w:rPr>
          <w:rFonts w:hint="eastAsia" w:ascii="宋体" w:hAnsi="宋体"/>
          <w:color w:val="auto"/>
          <w:sz w:val="22"/>
          <w:szCs w:val="22"/>
          <w:highlight w:val="none"/>
          <w:lang w:val="zh-CN"/>
        </w:rPr>
        <w:t>平均值，得分</w:t>
      </w:r>
      <w:r>
        <w:rPr>
          <w:rFonts w:hint="eastAsia" w:ascii="宋体" w:hAnsi="宋体"/>
          <w:color w:val="auto"/>
          <w:sz w:val="22"/>
          <w:szCs w:val="22"/>
          <w:highlight w:val="none"/>
          <w:lang w:val="en-US" w:eastAsia="zh-CN"/>
        </w:rPr>
        <w:t>四舍五入</w:t>
      </w:r>
      <w:r>
        <w:rPr>
          <w:rFonts w:hint="eastAsia" w:ascii="宋体" w:hAnsi="宋体"/>
          <w:color w:val="auto"/>
          <w:sz w:val="22"/>
          <w:szCs w:val="22"/>
          <w:highlight w:val="none"/>
          <w:lang w:val="zh-CN"/>
        </w:rPr>
        <w:t>保留两位小数)。</w:t>
      </w:r>
    </w:p>
    <w:tbl>
      <w:tblPr>
        <w:tblStyle w:val="19"/>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94"/>
        <w:gridCol w:w="7024"/>
        <w:gridCol w:w="680"/>
      </w:tblGrid>
      <w:tr w14:paraId="196B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13E309D">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494" w:type="dxa"/>
            <w:tcBorders>
              <w:top w:val="single" w:color="auto" w:sz="4" w:space="0"/>
              <w:left w:val="nil"/>
              <w:bottom w:val="single" w:color="auto" w:sz="4" w:space="0"/>
              <w:right w:val="single" w:color="auto" w:sz="4" w:space="0"/>
            </w:tcBorders>
            <w:vAlign w:val="center"/>
          </w:tcPr>
          <w:p w14:paraId="0A8CD09D">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评审内容</w:t>
            </w:r>
          </w:p>
        </w:tc>
        <w:tc>
          <w:tcPr>
            <w:tcW w:w="7024" w:type="dxa"/>
            <w:tcBorders>
              <w:top w:val="single" w:color="auto" w:sz="4" w:space="0"/>
              <w:left w:val="nil"/>
              <w:bottom w:val="single" w:color="auto" w:sz="4" w:space="0"/>
              <w:right w:val="single" w:color="auto" w:sz="4" w:space="0"/>
            </w:tcBorders>
            <w:vAlign w:val="center"/>
          </w:tcPr>
          <w:p w14:paraId="0A3E566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评分标准</w:t>
            </w:r>
          </w:p>
        </w:tc>
        <w:tc>
          <w:tcPr>
            <w:tcW w:w="680" w:type="dxa"/>
            <w:tcBorders>
              <w:top w:val="single" w:color="auto" w:sz="4" w:space="0"/>
              <w:left w:val="nil"/>
              <w:bottom w:val="single" w:color="auto" w:sz="4" w:space="0"/>
              <w:right w:val="single" w:color="auto" w:sz="4" w:space="0"/>
            </w:tcBorders>
            <w:vAlign w:val="center"/>
          </w:tcPr>
          <w:p w14:paraId="4139507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满分</w:t>
            </w:r>
          </w:p>
        </w:tc>
      </w:tr>
      <w:tr w14:paraId="4C6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CF2AD2B">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494" w:type="dxa"/>
            <w:tcBorders>
              <w:top w:val="single" w:color="auto" w:sz="4" w:space="0"/>
              <w:left w:val="nil"/>
              <w:bottom w:val="single" w:color="auto" w:sz="4" w:space="0"/>
              <w:right w:val="single" w:color="auto" w:sz="4" w:space="0"/>
            </w:tcBorders>
            <w:vAlign w:val="center"/>
          </w:tcPr>
          <w:p w14:paraId="3DD05A52">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企业业绩</w:t>
            </w:r>
          </w:p>
        </w:tc>
        <w:tc>
          <w:tcPr>
            <w:tcW w:w="7024" w:type="dxa"/>
            <w:tcBorders>
              <w:top w:val="single" w:color="auto" w:sz="4" w:space="0"/>
              <w:left w:val="nil"/>
              <w:bottom w:val="single" w:color="auto" w:sz="4" w:space="0"/>
              <w:right w:val="single" w:color="auto" w:sz="4" w:space="0"/>
            </w:tcBorders>
            <w:vAlign w:val="center"/>
          </w:tcPr>
          <w:p w14:paraId="777E5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自</w:t>
            </w:r>
            <w:r>
              <w:rPr>
                <w:rFonts w:hint="eastAsia" w:ascii="宋体" w:hAnsi="宋体" w:eastAsia="宋体" w:cs="宋体"/>
                <w:color w:val="auto"/>
                <w:kern w:val="0"/>
                <w:sz w:val="22"/>
                <w:szCs w:val="22"/>
                <w:highlight w:val="none"/>
                <w:lang w:bidi="ar"/>
              </w:rPr>
              <w:t>20</w:t>
            </w:r>
            <w:r>
              <w:rPr>
                <w:rFonts w:hint="eastAsia" w:ascii="宋体" w:hAnsi="宋体" w:eastAsia="宋体" w:cs="宋体"/>
                <w:color w:val="auto"/>
                <w:kern w:val="0"/>
                <w:sz w:val="22"/>
                <w:szCs w:val="22"/>
                <w:highlight w:val="none"/>
                <w:lang w:val="en-US" w:eastAsia="zh-CN" w:bidi="ar"/>
              </w:rPr>
              <w:t>22</w:t>
            </w:r>
            <w:r>
              <w:rPr>
                <w:rFonts w:hint="eastAsia" w:ascii="宋体" w:hAnsi="宋体" w:eastAsia="宋体" w:cs="宋体"/>
                <w:color w:val="auto"/>
                <w:kern w:val="0"/>
                <w:sz w:val="22"/>
                <w:szCs w:val="22"/>
                <w:highlight w:val="none"/>
                <w:lang w:bidi="ar"/>
              </w:rPr>
              <w:t>年</w:t>
            </w:r>
            <w:r>
              <w:rPr>
                <w:rFonts w:hint="eastAsia" w:ascii="宋体" w:hAnsi="宋体" w:eastAsia="宋体" w:cs="宋体"/>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bidi="ar"/>
              </w:rPr>
              <w:t>月</w:t>
            </w:r>
            <w:r>
              <w:rPr>
                <w:rFonts w:hint="eastAsia" w:ascii="宋体" w:hAnsi="宋体" w:eastAsia="宋体" w:cs="宋体"/>
                <w:color w:val="auto"/>
                <w:kern w:val="0"/>
                <w:sz w:val="22"/>
                <w:szCs w:val="22"/>
                <w:highlight w:val="none"/>
                <w:lang w:val="en-US" w:eastAsia="zh-CN" w:bidi="ar"/>
              </w:rPr>
              <w:t>1日</w:t>
            </w:r>
            <w:r>
              <w:rPr>
                <w:rFonts w:hint="eastAsia" w:ascii="宋体" w:hAnsi="宋体" w:eastAsia="宋体" w:cs="宋体"/>
                <w:color w:val="auto"/>
                <w:kern w:val="0"/>
                <w:sz w:val="22"/>
                <w:szCs w:val="22"/>
                <w:highlight w:val="none"/>
                <w:lang w:bidi="ar"/>
              </w:rPr>
              <w:t>（以合同签订日期为准）以来</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供应商承担过厨房设备供货</w:t>
            </w:r>
            <w:r>
              <w:rPr>
                <w:rFonts w:hint="eastAsia" w:ascii="宋体" w:hAnsi="宋体" w:eastAsia="宋体" w:cs="宋体"/>
                <w:color w:val="auto"/>
                <w:kern w:val="0"/>
                <w:sz w:val="22"/>
                <w:szCs w:val="22"/>
                <w:highlight w:val="none"/>
                <w:lang w:bidi="ar"/>
              </w:rPr>
              <w:t>业绩</w:t>
            </w:r>
            <w:r>
              <w:rPr>
                <w:rFonts w:hint="eastAsia" w:ascii="宋体" w:hAnsi="宋体" w:eastAsia="宋体" w:cs="宋体"/>
                <w:color w:val="auto"/>
                <w:kern w:val="0"/>
                <w:sz w:val="22"/>
                <w:szCs w:val="22"/>
                <w:highlight w:val="none"/>
                <w:lang w:val="en-US" w:eastAsia="zh-CN" w:bidi="ar"/>
              </w:rPr>
              <w:t>的，每</w:t>
            </w:r>
            <w:r>
              <w:rPr>
                <w:rFonts w:hint="eastAsia" w:ascii="宋体" w:hAnsi="宋体" w:eastAsia="宋体" w:cs="宋体"/>
                <w:color w:val="auto"/>
                <w:kern w:val="0"/>
                <w:sz w:val="22"/>
                <w:szCs w:val="22"/>
                <w:highlight w:val="none"/>
                <w:lang w:bidi="ar"/>
              </w:rPr>
              <w:t>有一项得</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bidi="ar"/>
              </w:rPr>
              <w:t>分，最高</w:t>
            </w:r>
            <w:r>
              <w:rPr>
                <w:rFonts w:hint="eastAsia" w:ascii="宋体" w:hAnsi="宋体" w:eastAsia="宋体" w:cs="宋体"/>
                <w:color w:val="auto"/>
                <w:kern w:val="0"/>
                <w:sz w:val="22"/>
                <w:szCs w:val="22"/>
                <w:highlight w:val="none"/>
                <w:lang w:val="en-US" w:eastAsia="zh-CN" w:bidi="ar"/>
              </w:rPr>
              <w:t>15</w:t>
            </w:r>
            <w:r>
              <w:rPr>
                <w:rFonts w:hint="eastAsia" w:ascii="宋体" w:hAnsi="宋体" w:eastAsia="宋体" w:cs="宋体"/>
                <w:color w:val="auto"/>
                <w:kern w:val="0"/>
                <w:sz w:val="22"/>
                <w:szCs w:val="22"/>
                <w:highlight w:val="none"/>
                <w:lang w:bidi="ar"/>
              </w:rPr>
              <w:t>分</w:t>
            </w:r>
            <w:r>
              <w:rPr>
                <w:rFonts w:hint="eastAsia" w:ascii="宋体" w:hAnsi="宋体" w:cs="宋体"/>
                <w:color w:val="auto"/>
                <w:kern w:val="0"/>
                <w:sz w:val="22"/>
                <w:szCs w:val="22"/>
                <w:highlight w:val="none"/>
                <w:lang w:eastAsia="zh-CN" w:bidi="ar"/>
              </w:rPr>
              <w:t>。</w:t>
            </w:r>
            <w:r>
              <w:rPr>
                <w:rFonts w:hint="eastAsia" w:ascii="宋体" w:hAnsi="宋体" w:eastAsia="宋体" w:cs="宋体"/>
                <w:b/>
                <w:bCs/>
                <w:color w:val="auto"/>
                <w:sz w:val="22"/>
                <w:szCs w:val="22"/>
                <w:highlight w:val="none"/>
              </w:rPr>
              <w:t>须</w:t>
            </w:r>
            <w:r>
              <w:rPr>
                <w:rFonts w:hint="eastAsia" w:ascii="宋体" w:hAnsi="宋体" w:cs="宋体"/>
                <w:b/>
                <w:bCs/>
                <w:color w:val="auto"/>
                <w:sz w:val="22"/>
                <w:szCs w:val="22"/>
                <w:highlight w:val="none"/>
                <w:lang w:val="en-US" w:eastAsia="zh-CN"/>
              </w:rPr>
              <w:t>同时</w:t>
            </w:r>
            <w:r>
              <w:rPr>
                <w:rFonts w:hint="eastAsia" w:ascii="宋体" w:hAnsi="宋体" w:eastAsia="宋体" w:cs="宋体"/>
                <w:b/>
                <w:bCs/>
                <w:color w:val="auto"/>
                <w:sz w:val="22"/>
                <w:szCs w:val="22"/>
                <w:highlight w:val="none"/>
              </w:rPr>
              <w:t>提供合同首页、合同标的金额所在页、合同标的明细页和签字盖章页</w:t>
            </w:r>
            <w:r>
              <w:rPr>
                <w:rFonts w:hint="eastAsia" w:ascii="宋体" w:hAnsi="宋体" w:eastAsia="宋体" w:cs="宋体"/>
                <w:b/>
                <w:bCs/>
                <w:color w:val="auto"/>
                <w:sz w:val="22"/>
                <w:szCs w:val="22"/>
                <w:highlight w:val="none"/>
                <w:lang w:eastAsia="zh-CN"/>
              </w:rPr>
              <w:t>及</w:t>
            </w:r>
            <w:r>
              <w:rPr>
                <w:rFonts w:hint="eastAsia" w:ascii="宋体" w:hAnsi="宋体" w:eastAsia="宋体" w:cs="宋体"/>
                <w:color w:val="auto"/>
                <w:kern w:val="0"/>
                <w:sz w:val="22"/>
                <w:szCs w:val="22"/>
                <w:highlight w:val="none"/>
                <w:lang w:val="en-US" w:eastAsia="zh-CN" w:bidi="ar"/>
              </w:rPr>
              <w:t>有效的</w:t>
            </w:r>
            <w:r>
              <w:rPr>
                <w:rFonts w:hint="eastAsia" w:ascii="宋体" w:hAnsi="宋体" w:eastAsia="宋体" w:cs="宋体"/>
                <w:color w:val="auto"/>
                <w:kern w:val="0"/>
                <w:sz w:val="22"/>
                <w:szCs w:val="22"/>
                <w:highlight w:val="none"/>
                <w:lang w:eastAsia="zh-CN" w:bidi="ar"/>
              </w:rPr>
              <w:t>验收报告</w:t>
            </w:r>
            <w:r>
              <w:rPr>
                <w:rFonts w:hint="eastAsia" w:ascii="宋体" w:hAnsi="宋体" w:eastAsia="宋体" w:cs="宋体"/>
                <w:color w:val="auto"/>
                <w:kern w:val="0"/>
                <w:sz w:val="22"/>
                <w:szCs w:val="22"/>
                <w:highlight w:val="none"/>
                <w:lang w:val="en-US" w:eastAsia="zh-CN" w:bidi="ar"/>
              </w:rPr>
              <w:t>复印件</w:t>
            </w:r>
            <w:r>
              <w:rPr>
                <w:rFonts w:hint="eastAsia" w:ascii="宋体" w:hAnsi="宋体" w:eastAsia="宋体" w:cs="宋体"/>
                <w:b/>
                <w:bCs/>
                <w:color w:val="auto"/>
                <w:sz w:val="22"/>
                <w:szCs w:val="22"/>
                <w:highlight w:val="none"/>
              </w:rPr>
              <w:t>并加盖公章</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eastAsia="zh-CN" w:bidi="ar"/>
              </w:rPr>
              <w:t>提供合同原件备查。</w:t>
            </w:r>
          </w:p>
        </w:tc>
        <w:tc>
          <w:tcPr>
            <w:tcW w:w="680" w:type="dxa"/>
            <w:tcBorders>
              <w:top w:val="single" w:color="auto" w:sz="4" w:space="0"/>
              <w:left w:val="nil"/>
              <w:bottom w:val="single" w:color="auto" w:sz="4" w:space="0"/>
              <w:right w:val="single" w:color="auto" w:sz="4" w:space="0"/>
            </w:tcBorders>
            <w:vAlign w:val="center"/>
          </w:tcPr>
          <w:p w14:paraId="41B9EC1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r>
      <w:tr w14:paraId="51EF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07" w:type="dxa"/>
            <w:vMerge w:val="restart"/>
            <w:tcBorders>
              <w:top w:val="single" w:color="auto" w:sz="4" w:space="0"/>
              <w:left w:val="single" w:color="auto" w:sz="4" w:space="0"/>
              <w:right w:val="single" w:color="auto" w:sz="4" w:space="0"/>
            </w:tcBorders>
            <w:shd w:val="clear" w:color="auto" w:fill="auto"/>
            <w:vAlign w:val="center"/>
          </w:tcPr>
          <w:p w14:paraId="24CF44CE">
            <w:pPr>
              <w:keepNext w:val="0"/>
              <w:keepLines w:val="0"/>
              <w:widowControl/>
              <w:suppressLineNumbers w:val="0"/>
              <w:spacing w:before="0" w:beforeAutospacing="0" w:after="0" w:afterAutospacing="0" w:line="400" w:lineRule="exact"/>
              <w:ind w:left="0" w:leftChars="0" w:right="0" w:rightChars="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p>
        </w:tc>
        <w:tc>
          <w:tcPr>
            <w:tcW w:w="1494" w:type="dxa"/>
            <w:vMerge w:val="restart"/>
            <w:tcBorders>
              <w:top w:val="single" w:color="auto" w:sz="4" w:space="0"/>
              <w:left w:val="nil"/>
              <w:right w:val="single" w:color="auto" w:sz="4" w:space="0"/>
            </w:tcBorders>
            <w:vAlign w:val="center"/>
          </w:tcPr>
          <w:p w14:paraId="0789581A">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企业实力</w:t>
            </w:r>
          </w:p>
        </w:tc>
        <w:tc>
          <w:tcPr>
            <w:tcW w:w="7024" w:type="dxa"/>
            <w:tcBorders>
              <w:top w:val="single" w:color="auto" w:sz="4" w:space="0"/>
              <w:left w:val="nil"/>
              <w:bottom w:val="single" w:color="auto" w:sz="4" w:space="0"/>
              <w:right w:val="single" w:color="auto" w:sz="4" w:space="0"/>
            </w:tcBorders>
            <w:vAlign w:val="center"/>
          </w:tcPr>
          <w:p w14:paraId="57FC840E">
            <w:pPr>
              <w:keepNext w:val="0"/>
              <w:keepLines w:val="0"/>
              <w:suppressLineNumbers w:val="0"/>
              <w:tabs>
                <w:tab w:val="left" w:pos="602"/>
                <w:tab w:val="left" w:pos="4683"/>
              </w:tabs>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供应商或所投产品</w:t>
            </w:r>
            <w:r>
              <w:rPr>
                <w:rFonts w:hint="eastAsia" w:ascii="宋体" w:hAnsi="宋体" w:eastAsia="宋体" w:cs="宋体"/>
                <w:color w:val="auto"/>
                <w:sz w:val="22"/>
                <w:szCs w:val="22"/>
                <w:highlight w:val="none"/>
              </w:rPr>
              <w:t>制造商</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rPr>
              <w:t>具有消毒类卫生生产许可证</w:t>
            </w:r>
            <w:r>
              <w:rPr>
                <w:rFonts w:hint="eastAsia" w:ascii="宋体" w:hAnsi="宋体" w:eastAsia="宋体" w:cs="宋体"/>
                <w:color w:val="auto"/>
                <w:sz w:val="22"/>
                <w:szCs w:val="22"/>
                <w:highlight w:val="none"/>
                <w:lang w:val="en-US" w:eastAsia="zh-CN"/>
              </w:rPr>
              <w:t>及以下①、</w:t>
            </w:r>
            <w:r>
              <w:rPr>
                <w:rFonts w:hint="eastAsia" w:ascii="宋体" w:hAnsi="宋体" w:eastAsia="宋体" w:cs="宋体"/>
                <w:color w:val="auto"/>
                <w:sz w:val="22"/>
                <w:szCs w:val="22"/>
                <w:highlight w:val="none"/>
              </w:rPr>
              <w:t>②中任意一项</w:t>
            </w:r>
            <w:r>
              <w:rPr>
                <w:rFonts w:hint="eastAsia" w:ascii="宋体" w:hAnsi="宋体" w:eastAsia="宋体" w:cs="宋体"/>
                <w:color w:val="auto"/>
                <w:sz w:val="22"/>
                <w:szCs w:val="22"/>
                <w:highlight w:val="none"/>
                <w:lang w:val="en-US" w:eastAsia="zh-CN"/>
              </w:rPr>
              <w:t>证书</w:t>
            </w:r>
            <w:r>
              <w:rPr>
                <w:rFonts w:hint="eastAsia" w:ascii="宋体" w:hAnsi="宋体" w:eastAsia="宋体" w:cs="宋体"/>
                <w:color w:val="auto"/>
                <w:sz w:val="22"/>
                <w:szCs w:val="22"/>
                <w:highlight w:val="none"/>
              </w:rPr>
              <w:t>的得3分：</w:t>
            </w:r>
            <w:r>
              <w:rPr>
                <w:rFonts w:hint="eastAsia" w:ascii="宋体" w:hAnsi="宋体" w:eastAsia="宋体" w:cs="宋体"/>
                <w:b w:val="0"/>
                <w:i w:val="0"/>
                <w:caps w:val="0"/>
                <w:color w:val="auto"/>
                <w:spacing w:val="0"/>
                <w:w w:val="100"/>
                <w:kern w:val="0"/>
                <w:sz w:val="22"/>
                <w:szCs w:val="22"/>
                <w:highlight w:val="none"/>
              </w:rPr>
              <w:t>该项最高得</w:t>
            </w:r>
            <w:r>
              <w:rPr>
                <w:rFonts w:hint="eastAsia" w:ascii="宋体" w:hAnsi="宋体" w:eastAsia="宋体" w:cs="宋体"/>
                <w:b w:val="0"/>
                <w:i w:val="0"/>
                <w:caps w:val="0"/>
                <w:color w:val="auto"/>
                <w:spacing w:val="0"/>
                <w:w w:val="100"/>
                <w:kern w:val="0"/>
                <w:sz w:val="22"/>
                <w:szCs w:val="22"/>
                <w:highlight w:val="none"/>
                <w:lang w:val="en-US" w:eastAsia="zh-CN"/>
              </w:rPr>
              <w:t>3</w:t>
            </w:r>
            <w:r>
              <w:rPr>
                <w:rFonts w:hint="eastAsia" w:ascii="宋体" w:hAnsi="宋体" w:eastAsia="宋体" w:cs="宋体"/>
                <w:b w:val="0"/>
                <w:i w:val="0"/>
                <w:caps w:val="0"/>
                <w:color w:val="auto"/>
                <w:spacing w:val="0"/>
                <w:w w:val="100"/>
                <w:kern w:val="0"/>
                <w:sz w:val="22"/>
                <w:szCs w:val="22"/>
                <w:highlight w:val="none"/>
              </w:rPr>
              <w:t>分</w:t>
            </w:r>
            <w:r>
              <w:rPr>
                <w:rFonts w:hint="eastAsia" w:ascii="宋体" w:hAnsi="宋体" w:eastAsia="宋体" w:cs="宋体"/>
                <w:b w:val="0"/>
                <w:i w:val="0"/>
                <w:caps w:val="0"/>
                <w:color w:val="auto"/>
                <w:spacing w:val="0"/>
                <w:w w:val="100"/>
                <w:kern w:val="0"/>
                <w:sz w:val="22"/>
                <w:szCs w:val="22"/>
                <w:highlight w:val="none"/>
                <w:lang w:eastAsia="zh-CN"/>
              </w:rPr>
              <w:t>。</w:t>
            </w:r>
          </w:p>
          <w:p w14:paraId="6663A07E">
            <w:pPr>
              <w:keepNext w:val="0"/>
              <w:keepLines w:val="0"/>
              <w:suppressLineNumbers w:val="0"/>
              <w:tabs>
                <w:tab w:val="left" w:pos="602"/>
                <w:tab w:val="left" w:pos="4683"/>
              </w:tabs>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全国工业产品生产许可证</w:t>
            </w:r>
            <w:r>
              <w:rPr>
                <w:rFonts w:hint="eastAsia" w:ascii="宋体" w:hAnsi="宋体" w:eastAsia="宋体" w:cs="宋体"/>
                <w:color w:val="auto"/>
                <w:sz w:val="22"/>
                <w:szCs w:val="22"/>
                <w:highlight w:val="none"/>
                <w:lang w:val="en-US" w:eastAsia="zh-CN"/>
              </w:rPr>
              <w:t>》（产品名称：燃气灶具）和《</w:t>
            </w:r>
            <w:r>
              <w:rPr>
                <w:rFonts w:hint="eastAsia" w:ascii="宋体" w:hAnsi="宋体" w:eastAsia="宋体" w:cs="宋体"/>
                <w:color w:val="auto"/>
                <w:sz w:val="22"/>
                <w:szCs w:val="22"/>
                <w:highlight w:val="none"/>
              </w:rPr>
              <w:t>全国工业产品生产许可证</w:t>
            </w:r>
            <w:r>
              <w:rPr>
                <w:rFonts w:hint="eastAsia" w:ascii="宋体" w:hAnsi="宋体" w:eastAsia="宋体" w:cs="宋体"/>
                <w:color w:val="auto"/>
                <w:sz w:val="22"/>
                <w:szCs w:val="22"/>
                <w:highlight w:val="none"/>
                <w:lang w:val="en-US" w:eastAsia="zh-CN"/>
              </w:rPr>
              <w:t>》（产品名称：</w:t>
            </w:r>
            <w:r>
              <w:rPr>
                <w:rFonts w:hint="eastAsia" w:ascii="宋体" w:hAnsi="宋体" w:eastAsia="宋体" w:cs="宋体"/>
                <w:color w:val="auto"/>
                <w:sz w:val="22"/>
                <w:szCs w:val="22"/>
                <w:highlight w:val="none"/>
              </w:rPr>
              <w:t>电热食品加工设备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p>
          <w:p w14:paraId="6EFE4897">
            <w:pPr>
              <w:keepNext w:val="0"/>
              <w:keepLines w:val="0"/>
              <w:suppressLineNumbers w:val="0"/>
              <w:tabs>
                <w:tab w:val="left" w:pos="602"/>
                <w:tab w:val="left" w:pos="4683"/>
              </w:tabs>
              <w:spacing w:before="0" w:beforeAutospacing="0" w:after="0" w:afterAutospacing="0" w:line="400" w:lineRule="exact"/>
              <w:ind w:left="0" w:right="0" w:firstLine="440" w:firstLineChars="200"/>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rPr>
              <w:t>②《全国工业产品生产许可证》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产品名称：</w:t>
            </w:r>
            <w:r>
              <w:rPr>
                <w:rFonts w:hint="eastAsia" w:ascii="宋体" w:hAnsi="宋体" w:eastAsia="宋体" w:cs="宋体"/>
                <w:color w:val="auto"/>
                <w:sz w:val="22"/>
                <w:szCs w:val="22"/>
                <w:highlight w:val="none"/>
              </w:rPr>
              <w:t>工业和商用电热食品加工设备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680" w:type="dxa"/>
            <w:tcBorders>
              <w:top w:val="single" w:color="auto" w:sz="4" w:space="0"/>
              <w:left w:val="nil"/>
              <w:bottom w:val="single" w:color="auto" w:sz="4" w:space="0"/>
              <w:right w:val="single" w:color="auto" w:sz="4" w:space="0"/>
            </w:tcBorders>
            <w:vAlign w:val="center"/>
          </w:tcPr>
          <w:p w14:paraId="724CE8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r>
      <w:tr w14:paraId="175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07" w:type="dxa"/>
            <w:vMerge w:val="continue"/>
            <w:tcBorders>
              <w:left w:val="single" w:color="auto" w:sz="4" w:space="0"/>
              <w:bottom w:val="single" w:color="auto" w:sz="4" w:space="0"/>
              <w:right w:val="single" w:color="auto" w:sz="4" w:space="0"/>
            </w:tcBorders>
            <w:shd w:val="clear" w:color="auto" w:fill="auto"/>
            <w:vAlign w:val="center"/>
          </w:tcPr>
          <w:p w14:paraId="6AE09240">
            <w:pPr>
              <w:keepNext w:val="0"/>
              <w:keepLines w:val="0"/>
              <w:widowControl/>
              <w:suppressLineNumbers w:val="0"/>
              <w:spacing w:before="0" w:beforeAutospacing="0" w:after="0" w:afterAutospacing="0" w:line="400" w:lineRule="exact"/>
              <w:ind w:left="0" w:leftChars="0" w:right="0" w:rightChars="0"/>
              <w:jc w:val="center"/>
              <w:textAlignment w:val="top"/>
              <w:rPr>
                <w:rFonts w:hint="eastAsia" w:ascii="宋体" w:hAnsi="宋体" w:eastAsia="宋体" w:cs="宋体"/>
                <w:color w:val="auto"/>
                <w:kern w:val="0"/>
                <w:sz w:val="22"/>
                <w:szCs w:val="22"/>
                <w:highlight w:val="none"/>
                <w:lang w:val="en-US" w:eastAsia="zh-CN" w:bidi="ar"/>
              </w:rPr>
            </w:pPr>
          </w:p>
        </w:tc>
        <w:tc>
          <w:tcPr>
            <w:tcW w:w="1494" w:type="dxa"/>
            <w:vMerge w:val="continue"/>
            <w:tcBorders>
              <w:left w:val="nil"/>
              <w:bottom w:val="single" w:color="auto" w:sz="4" w:space="0"/>
              <w:right w:val="single" w:color="auto" w:sz="4" w:space="0"/>
            </w:tcBorders>
            <w:vAlign w:val="center"/>
          </w:tcPr>
          <w:p w14:paraId="2A90A24C">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p>
        </w:tc>
        <w:tc>
          <w:tcPr>
            <w:tcW w:w="7024" w:type="dxa"/>
            <w:tcBorders>
              <w:top w:val="single" w:color="auto" w:sz="4" w:space="0"/>
              <w:left w:val="nil"/>
              <w:bottom w:val="single" w:color="auto" w:sz="4" w:space="0"/>
              <w:right w:val="single" w:color="auto" w:sz="4" w:space="0"/>
            </w:tcBorders>
            <w:vAlign w:val="center"/>
          </w:tcPr>
          <w:p w14:paraId="0A91DF0D">
            <w:pPr>
              <w:keepNext w:val="0"/>
              <w:keepLines w:val="0"/>
              <w:suppressLineNumbers w:val="0"/>
              <w:tabs>
                <w:tab w:val="left" w:pos="602"/>
                <w:tab w:val="left" w:pos="4683"/>
              </w:tabs>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或所投产品制造商具有有效的ISO9001质量体系认证</w:t>
            </w:r>
            <w:r>
              <w:rPr>
                <w:rFonts w:hint="eastAsia" w:ascii="宋体" w:hAnsi="宋体" w:eastAsia="宋体" w:cs="宋体"/>
                <w:color w:val="auto"/>
                <w:sz w:val="22"/>
                <w:szCs w:val="22"/>
                <w:highlight w:val="none"/>
                <w:lang w:val="en-US" w:eastAsia="zh-CN"/>
              </w:rPr>
              <w:t>证书</w:t>
            </w:r>
            <w:r>
              <w:rPr>
                <w:rFonts w:hint="eastAsia" w:ascii="宋体" w:hAnsi="宋体" w:eastAsia="宋体" w:cs="宋体"/>
                <w:color w:val="auto"/>
                <w:sz w:val="22"/>
                <w:szCs w:val="22"/>
                <w:highlight w:val="none"/>
              </w:rPr>
              <w:t>、ISO14001环境管理体系认证</w:t>
            </w:r>
            <w:r>
              <w:rPr>
                <w:rFonts w:hint="eastAsia" w:ascii="宋体" w:hAnsi="宋体" w:eastAsia="宋体" w:cs="宋体"/>
                <w:color w:val="auto"/>
                <w:sz w:val="22"/>
                <w:szCs w:val="22"/>
                <w:highlight w:val="none"/>
                <w:lang w:val="en-US" w:eastAsia="zh-CN"/>
              </w:rPr>
              <w:t>证书</w:t>
            </w:r>
            <w:r>
              <w:rPr>
                <w:rFonts w:hint="eastAsia" w:ascii="宋体" w:hAnsi="宋体" w:eastAsia="宋体" w:cs="宋体"/>
                <w:color w:val="auto"/>
                <w:sz w:val="22"/>
                <w:szCs w:val="22"/>
                <w:highlight w:val="none"/>
              </w:rPr>
              <w:t>、ISO45001或OHSAS18001职业健康安全管理体系认证证书的，</w:t>
            </w:r>
            <w:r>
              <w:rPr>
                <w:rFonts w:hint="eastAsia" w:ascii="宋体" w:hAnsi="宋体" w:eastAsia="宋体" w:cs="宋体"/>
                <w:color w:val="auto"/>
                <w:sz w:val="22"/>
                <w:szCs w:val="22"/>
                <w:highlight w:val="none"/>
                <w:lang w:val="en-US" w:eastAsia="zh-CN"/>
              </w:rPr>
              <w:t>每提供一类证书</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最高得6分</w:t>
            </w:r>
            <w:r>
              <w:rPr>
                <w:rFonts w:hint="eastAsia" w:ascii="宋体" w:hAnsi="宋体" w:eastAsia="宋体" w:cs="宋体"/>
                <w:color w:val="auto"/>
                <w:kern w:val="0"/>
                <w:sz w:val="22"/>
                <w:szCs w:val="22"/>
                <w:highlight w:val="none"/>
                <w:lang w:bidi="ar"/>
              </w:rPr>
              <w:t>。</w:t>
            </w:r>
          </w:p>
        </w:tc>
        <w:tc>
          <w:tcPr>
            <w:tcW w:w="680" w:type="dxa"/>
            <w:tcBorders>
              <w:top w:val="single" w:color="auto" w:sz="4" w:space="0"/>
              <w:left w:val="nil"/>
              <w:bottom w:val="single" w:color="auto" w:sz="4" w:space="0"/>
              <w:right w:val="single" w:color="auto" w:sz="4" w:space="0"/>
            </w:tcBorders>
            <w:vAlign w:val="center"/>
          </w:tcPr>
          <w:p w14:paraId="56ECA01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r>
      <w:tr w14:paraId="040F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0A70462">
            <w:pPr>
              <w:keepNext w:val="0"/>
              <w:keepLines w:val="0"/>
              <w:widowControl/>
              <w:suppressLineNumbers w:val="0"/>
              <w:spacing w:before="0" w:beforeAutospacing="0" w:after="0" w:afterAutospacing="0" w:line="400" w:lineRule="exact"/>
              <w:ind w:left="0" w:leftChars="0" w:right="0" w:rightChars="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494" w:type="dxa"/>
            <w:tcBorders>
              <w:top w:val="single" w:color="auto" w:sz="4" w:space="0"/>
              <w:left w:val="nil"/>
              <w:bottom w:val="single" w:color="auto" w:sz="4" w:space="0"/>
              <w:right w:val="single" w:color="auto" w:sz="4" w:space="0"/>
            </w:tcBorders>
            <w:vAlign w:val="center"/>
          </w:tcPr>
          <w:p w14:paraId="174D244D">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产品性能</w:t>
            </w:r>
          </w:p>
        </w:tc>
        <w:tc>
          <w:tcPr>
            <w:tcW w:w="7024" w:type="dxa"/>
            <w:tcBorders>
              <w:top w:val="single" w:color="auto" w:sz="4" w:space="0"/>
              <w:left w:val="nil"/>
              <w:bottom w:val="single" w:color="auto" w:sz="4" w:space="0"/>
              <w:right w:val="single" w:color="auto" w:sz="4" w:space="0"/>
            </w:tcBorders>
            <w:vAlign w:val="center"/>
          </w:tcPr>
          <w:p w14:paraId="2AF4F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（1）根据供应商所投的产品技术参数、性能指标的响应情况进行评分。完全满足招标文件技术参数要求的得6分。提供有效的技术部分响应及偏离表。</w:t>
            </w:r>
            <w:r>
              <w:rPr>
                <w:rFonts w:hint="eastAsia" w:ascii="宋体" w:hAnsi="宋体" w:cs="宋体"/>
                <w:color w:val="auto"/>
                <w:kern w:val="0"/>
                <w:sz w:val="22"/>
                <w:szCs w:val="22"/>
                <w:highlight w:val="none"/>
                <w:lang w:val="en-US" w:eastAsia="zh-CN" w:bidi="ar"/>
              </w:rPr>
              <w:t>若偏离说明中有负偏离的作无效标处理（如为符合国家规定的负偏离，则提供有效的证明材料）。</w:t>
            </w:r>
          </w:p>
          <w:p w14:paraId="2CCDB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（2）投标产品具有质量监督检验机构出具的有效的合格检测报告，每提供1份有效检测报告的得1分，该项最高得3分。</w:t>
            </w:r>
          </w:p>
        </w:tc>
        <w:tc>
          <w:tcPr>
            <w:tcW w:w="680" w:type="dxa"/>
            <w:tcBorders>
              <w:top w:val="single" w:color="auto" w:sz="4" w:space="0"/>
              <w:left w:val="nil"/>
              <w:bottom w:val="single" w:color="auto" w:sz="4" w:space="0"/>
              <w:right w:val="single" w:color="auto" w:sz="4" w:space="0"/>
            </w:tcBorders>
            <w:vAlign w:val="center"/>
          </w:tcPr>
          <w:p w14:paraId="7D52C9C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r>
      <w:tr w14:paraId="4358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FE5EE43">
            <w:pPr>
              <w:keepNext w:val="0"/>
              <w:keepLines w:val="0"/>
              <w:widowControl/>
              <w:suppressLineNumbers w:val="0"/>
              <w:spacing w:before="0" w:beforeAutospacing="0" w:after="0" w:afterAutospacing="0" w:line="400" w:lineRule="exact"/>
              <w:ind w:left="0" w:leftChars="0" w:right="0" w:rightChars="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p>
        </w:tc>
        <w:tc>
          <w:tcPr>
            <w:tcW w:w="1494" w:type="dxa"/>
            <w:tcBorders>
              <w:top w:val="single" w:color="auto" w:sz="4" w:space="0"/>
              <w:left w:val="nil"/>
              <w:bottom w:val="single" w:color="auto" w:sz="4" w:space="0"/>
              <w:right w:val="single" w:color="auto" w:sz="4" w:space="0"/>
            </w:tcBorders>
            <w:vAlign w:val="center"/>
          </w:tcPr>
          <w:p w14:paraId="39EF22C1">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项目实施方案</w:t>
            </w:r>
          </w:p>
        </w:tc>
        <w:tc>
          <w:tcPr>
            <w:tcW w:w="7024" w:type="dxa"/>
            <w:tcBorders>
              <w:top w:val="single" w:color="auto" w:sz="4" w:space="0"/>
              <w:left w:val="nil"/>
              <w:bottom w:val="single" w:color="auto" w:sz="4" w:space="0"/>
              <w:right w:val="single" w:color="auto" w:sz="4" w:space="0"/>
            </w:tcBorders>
            <w:vAlign w:val="center"/>
          </w:tcPr>
          <w:p w14:paraId="6F3EB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包括但不限于供货组织方案、人员配置方案、产品运输与安装方案、调试方案、验收方案、针对本项目的重点难点分析及应对措施、相应的技术保证措施等内容。</w:t>
            </w:r>
          </w:p>
          <w:p w14:paraId="29D51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提供内容齐全且安排科学合理、可操作性强，完全满足项目需求的得8（不含）-12（含）分；</w:t>
            </w:r>
          </w:p>
          <w:p w14:paraId="76B1F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提供内容齐全且安排较为科学合理、可操作性较强，完全满足项目需求的得4（不含）-8（含）分；</w:t>
            </w:r>
          </w:p>
          <w:p w14:paraId="3C2F7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方案安排科学合理性一般、可操作性一般，基本满足项目需求的得0（不含）-4（含）分；其他情况不得分。</w:t>
            </w:r>
          </w:p>
        </w:tc>
        <w:tc>
          <w:tcPr>
            <w:tcW w:w="680" w:type="dxa"/>
            <w:tcBorders>
              <w:top w:val="single" w:color="auto" w:sz="4" w:space="0"/>
              <w:left w:val="nil"/>
              <w:bottom w:val="single" w:color="auto" w:sz="4" w:space="0"/>
              <w:right w:val="single" w:color="auto" w:sz="4" w:space="0"/>
            </w:tcBorders>
            <w:vAlign w:val="center"/>
          </w:tcPr>
          <w:p w14:paraId="2285FF5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r>
      <w:tr w14:paraId="48BF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8574351">
            <w:pPr>
              <w:keepNext w:val="0"/>
              <w:keepLines w:val="0"/>
              <w:widowControl/>
              <w:suppressLineNumbers w:val="0"/>
              <w:spacing w:before="0" w:beforeAutospacing="0" w:after="0" w:afterAutospacing="0" w:line="400" w:lineRule="exact"/>
              <w:ind w:left="0" w:leftChars="0" w:right="0" w:rightChars="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w:t>
            </w:r>
          </w:p>
        </w:tc>
        <w:tc>
          <w:tcPr>
            <w:tcW w:w="1494" w:type="dxa"/>
            <w:tcBorders>
              <w:top w:val="single" w:color="auto" w:sz="4" w:space="0"/>
              <w:left w:val="nil"/>
              <w:bottom w:val="single" w:color="auto" w:sz="4" w:space="0"/>
              <w:right w:val="single" w:color="auto" w:sz="4" w:space="0"/>
            </w:tcBorders>
            <w:vAlign w:val="center"/>
          </w:tcPr>
          <w:p w14:paraId="1E9C0B54">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售后服务方案</w:t>
            </w:r>
          </w:p>
        </w:tc>
        <w:tc>
          <w:tcPr>
            <w:tcW w:w="7024" w:type="dxa"/>
            <w:tcBorders>
              <w:top w:val="single" w:color="auto" w:sz="4" w:space="0"/>
              <w:left w:val="nil"/>
              <w:bottom w:val="single" w:color="auto" w:sz="4" w:space="0"/>
              <w:right w:val="single" w:color="auto" w:sz="4" w:space="0"/>
            </w:tcBorders>
            <w:vAlign w:val="center"/>
          </w:tcPr>
          <w:p w14:paraId="6007A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根据招标文件要求，提供售后服务方案，不得照抄采购需求。售后服务方案包括但不限于产品售后服务承诺、质量三包承诺，质保期时间及服务内容，质量问题的处理及赔偿方案。</w:t>
            </w:r>
          </w:p>
          <w:p w14:paraId="22849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（1）本项目承诺提供免费质保期最低为两年，在两年的基础上，每延长一年（12 个月为单位）得2分，本项最多得4分。提供有效的承诺函（</w:t>
            </w:r>
            <w:r>
              <w:rPr>
                <w:rFonts w:hint="eastAsia" w:ascii="宋体" w:hAnsi="宋体" w:cs="宋体"/>
                <w:color w:val="auto"/>
                <w:kern w:val="0"/>
                <w:sz w:val="22"/>
                <w:szCs w:val="22"/>
                <w:highlight w:val="none"/>
                <w:lang w:val="en-US" w:eastAsia="zh-CN" w:bidi="ar"/>
              </w:rPr>
              <w:t>格式自拟</w:t>
            </w:r>
            <w:r>
              <w:rPr>
                <w:rFonts w:hint="eastAsia" w:ascii="宋体" w:hAnsi="宋体" w:eastAsia="宋体" w:cs="宋体"/>
                <w:color w:val="auto"/>
                <w:kern w:val="0"/>
                <w:sz w:val="22"/>
                <w:szCs w:val="22"/>
                <w:highlight w:val="none"/>
                <w:lang w:val="en-US" w:eastAsia="zh-CN" w:bidi="ar"/>
              </w:rPr>
              <w:t>）。</w:t>
            </w:r>
          </w:p>
          <w:p w14:paraId="03788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（2）提供安装售后人员在投标单位缴纳社保证明，每提供1人得1 分，最多得3分；维修人员具备维修资质证书的，每提供一份证书的加1分，最多加3分。该项最高得6分。注：①请提供人员配备表（</w:t>
            </w:r>
            <w:r>
              <w:rPr>
                <w:rFonts w:hint="eastAsia" w:ascii="宋体" w:hAnsi="宋体" w:cs="宋体"/>
                <w:color w:val="auto"/>
                <w:kern w:val="0"/>
                <w:sz w:val="22"/>
                <w:szCs w:val="22"/>
                <w:highlight w:val="none"/>
                <w:lang w:val="en-US" w:eastAsia="zh-CN" w:bidi="ar"/>
              </w:rPr>
              <w:t>格式自拟</w:t>
            </w:r>
            <w:r>
              <w:rPr>
                <w:rFonts w:hint="eastAsia" w:ascii="宋体" w:hAnsi="宋体" w:eastAsia="宋体" w:cs="宋体"/>
                <w:color w:val="auto"/>
                <w:kern w:val="0"/>
                <w:sz w:val="22"/>
                <w:szCs w:val="22"/>
                <w:highlight w:val="none"/>
                <w:lang w:val="en-US" w:eastAsia="zh-CN" w:bidi="ar"/>
              </w:rPr>
              <w:t>），并在表中列明上述人员所任岗位，上述人员每人只计1证，不重复计分；②如为安装售后人员，须提供上述人员社保机构出具的投标供应商为对应人员缴纳的2025年5月至2025年7月中任一个月的社会保险缴费证明；如为维修人员，则须同时提供有效的维修资质证书复印件及社保机构出具的投标供应商为对应人员缴纳的2025年5月至2025年7月中任一个月的社会保险缴费证明。</w:t>
            </w:r>
          </w:p>
          <w:p w14:paraId="632A5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textAlignment w:val="top"/>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（3）依据投标供应商提供的维保响应时间、具体的保障措施、详细的维修维护方案、本地化维护服务承诺，评委综合对比在1（含）--5（含）分内评审，该项最高得5分。未提供的不得分。</w:t>
            </w:r>
          </w:p>
        </w:tc>
        <w:tc>
          <w:tcPr>
            <w:tcW w:w="680" w:type="dxa"/>
            <w:tcBorders>
              <w:top w:val="single" w:color="auto" w:sz="4" w:space="0"/>
              <w:left w:val="nil"/>
              <w:bottom w:val="single" w:color="auto" w:sz="4" w:space="0"/>
              <w:right w:val="single" w:color="auto" w:sz="4" w:space="0"/>
            </w:tcBorders>
            <w:vAlign w:val="center"/>
          </w:tcPr>
          <w:p w14:paraId="4F2C629A">
            <w:pPr>
              <w:keepNext w:val="0"/>
              <w:keepLines w:val="0"/>
              <w:widowControl/>
              <w:suppressLineNumbers w:val="0"/>
              <w:spacing w:before="0" w:beforeAutospacing="0" w:after="0" w:afterAutospacing="0" w:line="400" w:lineRule="exact"/>
              <w:ind w:left="0" w:right="0"/>
              <w:jc w:val="center"/>
              <w:textAlignment w:val="top"/>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w:t>
            </w:r>
          </w:p>
        </w:tc>
      </w:tr>
      <w:tr w14:paraId="44B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805" w:type="dxa"/>
            <w:gridSpan w:val="4"/>
            <w:tcBorders>
              <w:top w:val="single" w:color="auto" w:sz="4" w:space="0"/>
              <w:left w:val="single" w:color="auto" w:sz="4" w:space="0"/>
              <w:bottom w:val="single" w:color="auto" w:sz="4" w:space="0"/>
              <w:right w:val="single" w:color="auto" w:sz="4" w:space="0"/>
            </w:tcBorders>
            <w:vAlign w:val="center"/>
          </w:tcPr>
          <w:p w14:paraId="4CA26738">
            <w:pPr>
              <w:keepNext w:val="0"/>
              <w:keepLines w:val="0"/>
              <w:suppressLineNumbers w:val="0"/>
              <w:spacing w:before="0" w:beforeAutospacing="0" w:after="0" w:afterAutospacing="0" w:line="400" w:lineRule="exact"/>
              <w:ind w:left="0" w:righ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别提醒：商务技术标评分中所涉及相关资料等证明材料均须提供有效的原件复印件（如为网页截图的，则提供网页截图打印件）并加盖供应商单位公章，所提供的相关材料缺失、不符或不提供者，有关评分内容不得分。评标未尽事宜由评标委员会根据有关规定讨论决定。</w:t>
            </w:r>
          </w:p>
        </w:tc>
      </w:tr>
    </w:tbl>
    <w:p w14:paraId="0B1C9101">
      <w:pPr>
        <w:keepNext w:val="0"/>
        <w:keepLines w:val="0"/>
        <w:pageBreakBefore w:val="0"/>
        <w:widowControl w:val="0"/>
        <w:kinsoku/>
        <w:wordWrap/>
        <w:overflowPunct/>
        <w:topLinePunct w:val="0"/>
        <w:autoSpaceDE w:val="0"/>
        <w:autoSpaceDN w:val="0"/>
        <w:bidi w:val="0"/>
        <w:adjustRightInd w:val="0"/>
        <w:snapToGrid/>
        <w:spacing w:line="440" w:lineRule="exact"/>
        <w:ind w:firstLine="221" w:firstLineChars="100"/>
        <w:textAlignment w:val="auto"/>
        <w:rPr>
          <w:rFonts w:ascii="宋体" w:hAnsi="宋体"/>
          <w:color w:val="auto"/>
          <w:sz w:val="22"/>
          <w:szCs w:val="22"/>
          <w:highlight w:val="none"/>
        </w:rPr>
      </w:pPr>
      <w:r>
        <w:rPr>
          <w:rFonts w:ascii="宋体" w:hAnsi="宋体"/>
          <w:b/>
          <w:color w:val="auto"/>
          <w:sz w:val="22"/>
          <w:szCs w:val="22"/>
          <w:highlight w:val="none"/>
        </w:rPr>
        <w:t xml:space="preserve"> (</w:t>
      </w:r>
      <w:r>
        <w:rPr>
          <w:rFonts w:hint="eastAsia" w:ascii="宋体" w:hAnsi="宋体"/>
          <w:b/>
          <w:color w:val="auto"/>
          <w:sz w:val="22"/>
          <w:szCs w:val="22"/>
          <w:highlight w:val="none"/>
          <w:lang w:val="zh-CN"/>
        </w:rPr>
        <w:t>三</w:t>
      </w:r>
      <w:r>
        <w:rPr>
          <w:rFonts w:hint="eastAsia" w:ascii="宋体" w:hAnsi="宋体"/>
          <w:b/>
          <w:color w:val="auto"/>
          <w:sz w:val="22"/>
          <w:szCs w:val="22"/>
          <w:highlight w:val="none"/>
        </w:rPr>
        <w:t>）</w:t>
      </w:r>
      <w:r>
        <w:rPr>
          <w:rFonts w:hint="eastAsia" w:ascii="宋体" w:hAnsi="宋体"/>
          <w:b/>
          <w:color w:val="auto"/>
          <w:sz w:val="22"/>
          <w:szCs w:val="22"/>
          <w:highlight w:val="none"/>
          <w:lang w:val="en-US" w:eastAsia="zh-CN"/>
        </w:rPr>
        <w:t>报价</w:t>
      </w:r>
      <w:r>
        <w:rPr>
          <w:rFonts w:hint="eastAsia" w:ascii="宋体" w:hAnsi="宋体"/>
          <w:b/>
          <w:color w:val="auto"/>
          <w:sz w:val="22"/>
          <w:szCs w:val="22"/>
          <w:highlight w:val="none"/>
          <w:lang w:val="zh-CN"/>
        </w:rPr>
        <w:t>分</w:t>
      </w:r>
      <w:r>
        <w:rPr>
          <w:rFonts w:hint="eastAsia" w:ascii="宋体" w:hAnsi="宋体"/>
          <w:b/>
          <w:color w:val="auto"/>
          <w:sz w:val="22"/>
          <w:szCs w:val="22"/>
          <w:highlight w:val="none"/>
        </w:rPr>
        <w:t>：</w:t>
      </w:r>
      <w:r>
        <w:rPr>
          <w:rFonts w:hint="eastAsia" w:ascii="宋体" w:hAnsi="宋体"/>
          <w:b/>
          <w:bCs/>
          <w:color w:val="auto"/>
          <w:sz w:val="22"/>
          <w:szCs w:val="22"/>
          <w:highlight w:val="none"/>
          <w:u w:val="single"/>
          <w:lang w:val="en-US" w:eastAsia="zh-CN"/>
        </w:rPr>
        <w:t>40</w:t>
      </w:r>
      <w:r>
        <w:rPr>
          <w:rFonts w:hint="eastAsia" w:ascii="宋体" w:hAnsi="宋体"/>
          <w:b/>
          <w:bCs/>
          <w:color w:val="auto"/>
          <w:sz w:val="22"/>
          <w:szCs w:val="22"/>
          <w:highlight w:val="none"/>
          <w:u w:val="single"/>
          <w:lang w:val="zh-CN"/>
        </w:rPr>
        <w:t>分</w:t>
      </w:r>
    </w:p>
    <w:p w14:paraId="17077D59">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确定有效报价</w:t>
      </w:r>
    </w:p>
    <w:p w14:paraId="2CB067DD">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投标报价不高于最高限价的为有效投标报价，高于最高限价的视为无效报价。无效报价、被宣布为无效标的投标报价均不参与评标基准价的计算。</w:t>
      </w:r>
    </w:p>
    <w:p w14:paraId="7E57B77A">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2.报价响应得分统一采用低价优先法计算，即满足招标文件要求且投标总价最低的报价为评标基准价，其报价标得分为价格分满分。</w:t>
      </w:r>
    </w:p>
    <w:p w14:paraId="7A97BC1C">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3.其他投标供应商的报价响应得分分别按照下列公式计算：</w:t>
      </w:r>
    </w:p>
    <w:p w14:paraId="66295E8A">
      <w:pPr>
        <w:keepNext w:val="0"/>
        <w:keepLines w:val="0"/>
        <w:pageBreakBefore w:val="0"/>
        <w:widowControl w:val="0"/>
        <w:kinsoku/>
        <w:wordWrap/>
        <w:overflowPunct/>
        <w:topLinePunct w:val="0"/>
        <w:bidi w:val="0"/>
        <w:snapToGrid/>
        <w:spacing w:line="440" w:lineRule="exact"/>
        <w:ind w:firstLine="44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报价响应得分 =（评标基准价/最终投标总价）×40</w:t>
      </w:r>
    </w:p>
    <w:p w14:paraId="6E42FCBB">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bCs/>
          <w:color w:val="auto"/>
          <w:sz w:val="22"/>
          <w:szCs w:val="22"/>
          <w:highlight w:val="none"/>
        </w:rPr>
      </w:pPr>
      <w:r>
        <w:rPr>
          <w:rFonts w:hint="eastAsia" w:ascii="宋体" w:hAnsi="宋体"/>
          <w:b/>
          <w:color w:val="auto"/>
          <w:sz w:val="22"/>
          <w:szCs w:val="22"/>
          <w:highlight w:val="none"/>
        </w:rPr>
        <w:t>八、</w:t>
      </w:r>
      <w:r>
        <w:rPr>
          <w:rFonts w:hint="eastAsia" w:ascii="宋体" w:hAnsi="宋体"/>
          <w:b/>
          <w:color w:val="auto"/>
          <w:sz w:val="22"/>
          <w:szCs w:val="22"/>
          <w:highlight w:val="none"/>
          <w:lang w:eastAsia="zh-CN"/>
        </w:rPr>
        <w:t>成交供应商</w:t>
      </w:r>
      <w:r>
        <w:rPr>
          <w:rFonts w:hint="eastAsia" w:ascii="宋体" w:hAnsi="宋体"/>
          <w:b/>
          <w:color w:val="auto"/>
          <w:sz w:val="22"/>
          <w:szCs w:val="22"/>
          <w:highlight w:val="none"/>
        </w:rPr>
        <w:t>的确定</w:t>
      </w:r>
    </w:p>
    <w:p w14:paraId="33BBD860">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评委会认为</w:t>
      </w:r>
      <w:r>
        <w:rPr>
          <w:rFonts w:hint="eastAsia" w:ascii="宋体" w:hAnsi="宋体"/>
          <w:bCs/>
          <w:color w:val="auto"/>
          <w:sz w:val="22"/>
          <w:szCs w:val="22"/>
          <w:highlight w:val="none"/>
          <w:lang w:eastAsia="zh-CN"/>
        </w:rPr>
        <w:t>投标供应商</w:t>
      </w:r>
      <w:r>
        <w:rPr>
          <w:rFonts w:hint="eastAsia" w:ascii="宋体" w:hAnsi="宋体"/>
          <w:bCs/>
          <w:color w:val="auto"/>
          <w:sz w:val="22"/>
          <w:szCs w:val="22"/>
          <w:highlight w:val="none"/>
        </w:rPr>
        <w:t>的报价明显低于其他通过符合性审查</w:t>
      </w:r>
      <w:r>
        <w:rPr>
          <w:rFonts w:hint="eastAsia" w:ascii="宋体" w:hAnsi="宋体"/>
          <w:bCs/>
          <w:color w:val="auto"/>
          <w:sz w:val="22"/>
          <w:szCs w:val="22"/>
          <w:highlight w:val="none"/>
          <w:lang w:eastAsia="zh-CN"/>
        </w:rPr>
        <w:t>投标供应商</w:t>
      </w:r>
      <w:r>
        <w:rPr>
          <w:rFonts w:hint="eastAsia" w:ascii="宋体" w:hAnsi="宋体"/>
          <w:bCs/>
          <w:color w:val="auto"/>
          <w:sz w:val="22"/>
          <w:szCs w:val="22"/>
          <w:highlight w:val="none"/>
        </w:rPr>
        <w:t>的报价，有可能影响产品质量或者不能诚信履约的，应当要求其在合理的时间内提供书面说明，必要时提交相关证明材料；</w:t>
      </w:r>
      <w:r>
        <w:rPr>
          <w:rFonts w:hint="eastAsia" w:ascii="宋体" w:hAnsi="宋体"/>
          <w:bCs/>
          <w:color w:val="auto"/>
          <w:sz w:val="22"/>
          <w:szCs w:val="22"/>
          <w:highlight w:val="none"/>
          <w:lang w:eastAsia="zh-CN"/>
        </w:rPr>
        <w:t>投标供应商</w:t>
      </w:r>
      <w:r>
        <w:rPr>
          <w:rFonts w:hint="eastAsia" w:ascii="宋体" w:hAnsi="宋体"/>
          <w:bCs/>
          <w:color w:val="auto"/>
          <w:sz w:val="22"/>
          <w:szCs w:val="22"/>
          <w:highlight w:val="none"/>
        </w:rPr>
        <w:t>不能证明其报价合理性的，评委会应当将其作为无效投标处理。</w:t>
      </w:r>
    </w:p>
    <w:p w14:paraId="1C0978F7">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评委对</w:t>
      </w:r>
      <w:r>
        <w:rPr>
          <w:rFonts w:hint="eastAsia" w:ascii="宋体" w:hAnsi="宋体"/>
          <w:bCs/>
          <w:color w:val="auto"/>
          <w:sz w:val="22"/>
          <w:szCs w:val="22"/>
          <w:highlight w:val="none"/>
          <w:lang w:eastAsia="zh-CN"/>
        </w:rPr>
        <w:t>成交</w:t>
      </w:r>
      <w:r>
        <w:rPr>
          <w:rFonts w:hint="eastAsia" w:ascii="宋体" w:hAnsi="宋体"/>
          <w:bCs/>
          <w:color w:val="auto"/>
          <w:sz w:val="22"/>
          <w:szCs w:val="22"/>
          <w:highlight w:val="none"/>
        </w:rPr>
        <w:t>候选人报价总表和明细表进行审核，应审核</w:t>
      </w:r>
      <w:r>
        <w:rPr>
          <w:rFonts w:hint="eastAsia" w:ascii="宋体" w:hAnsi="宋体"/>
          <w:bCs/>
          <w:color w:val="auto"/>
          <w:sz w:val="22"/>
          <w:szCs w:val="22"/>
          <w:highlight w:val="none"/>
          <w:lang w:eastAsia="zh-CN"/>
        </w:rPr>
        <w:t>人</w:t>
      </w:r>
      <w:r>
        <w:rPr>
          <w:rFonts w:hint="eastAsia" w:ascii="宋体" w:hAnsi="宋体"/>
          <w:bCs/>
          <w:color w:val="auto"/>
          <w:sz w:val="22"/>
          <w:szCs w:val="22"/>
          <w:highlight w:val="none"/>
        </w:rPr>
        <w:t>投标报价是否前后一致、大小写金额是否一致、总价金额与单价汇总金额是否一致。对过高过低报价的并作为</w:t>
      </w:r>
      <w:r>
        <w:rPr>
          <w:rFonts w:hint="eastAsia" w:ascii="宋体" w:hAnsi="宋体"/>
          <w:bCs/>
          <w:color w:val="auto"/>
          <w:sz w:val="22"/>
          <w:szCs w:val="22"/>
          <w:highlight w:val="none"/>
          <w:lang w:eastAsia="zh-CN"/>
        </w:rPr>
        <w:t>成交</w:t>
      </w:r>
      <w:r>
        <w:rPr>
          <w:rFonts w:hint="eastAsia" w:ascii="宋体" w:hAnsi="宋体"/>
          <w:bCs/>
          <w:color w:val="auto"/>
          <w:sz w:val="22"/>
          <w:szCs w:val="22"/>
          <w:highlight w:val="none"/>
        </w:rPr>
        <w:t>候选人的，应重点审核报价明细表有否重大重复报价或漏项报价等情况，一经发现，现场请</w:t>
      </w:r>
      <w:r>
        <w:rPr>
          <w:rFonts w:hint="eastAsia" w:ascii="宋体" w:hAnsi="宋体"/>
          <w:bCs/>
          <w:color w:val="auto"/>
          <w:sz w:val="22"/>
          <w:szCs w:val="22"/>
          <w:highlight w:val="none"/>
          <w:lang w:eastAsia="zh-CN"/>
        </w:rPr>
        <w:t>成交</w:t>
      </w:r>
      <w:r>
        <w:rPr>
          <w:rFonts w:hint="eastAsia" w:ascii="宋体" w:hAnsi="宋体"/>
          <w:bCs/>
          <w:color w:val="auto"/>
          <w:sz w:val="22"/>
          <w:szCs w:val="22"/>
          <w:highlight w:val="none"/>
        </w:rPr>
        <w:t>候选人予以澄清，明显过错或不能澄清的，经超半数以上评委认定，有权取消</w:t>
      </w:r>
      <w:r>
        <w:rPr>
          <w:rFonts w:hint="eastAsia" w:ascii="宋体" w:hAnsi="宋体" w:cs="宋体"/>
          <w:color w:val="auto"/>
          <w:sz w:val="22"/>
          <w:szCs w:val="22"/>
          <w:highlight w:val="none"/>
          <w:lang w:val="en-US" w:eastAsia="zh-CN"/>
        </w:rPr>
        <w:t>投标供应商</w:t>
      </w:r>
      <w:r>
        <w:rPr>
          <w:rFonts w:hint="eastAsia" w:ascii="宋体" w:hAnsi="宋体"/>
          <w:bCs/>
          <w:color w:val="auto"/>
          <w:sz w:val="22"/>
          <w:szCs w:val="22"/>
          <w:highlight w:val="none"/>
          <w:lang w:eastAsia="zh-CN"/>
        </w:rPr>
        <w:t>成交</w:t>
      </w:r>
      <w:r>
        <w:rPr>
          <w:rFonts w:hint="eastAsia" w:ascii="宋体" w:hAnsi="宋体"/>
          <w:bCs/>
          <w:color w:val="auto"/>
          <w:sz w:val="22"/>
          <w:szCs w:val="22"/>
          <w:highlight w:val="none"/>
        </w:rPr>
        <w:t>候选人资格。</w:t>
      </w:r>
    </w:p>
    <w:p w14:paraId="5B087DE0">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评委会根据全体评标成员签字的原始评标记录和评标结果编写评标报告。</w:t>
      </w:r>
      <w:r>
        <w:rPr>
          <w:rFonts w:hint="eastAsia" w:ascii="宋体" w:hAnsi="宋体"/>
          <w:color w:val="auto"/>
          <w:sz w:val="22"/>
          <w:szCs w:val="22"/>
          <w:highlight w:val="none"/>
        </w:rPr>
        <w:t>评委会汇总各评委评分后，评审后</w:t>
      </w:r>
      <w:r>
        <w:rPr>
          <w:rFonts w:hint="eastAsia" w:ascii="宋体" w:hAnsi="宋体"/>
          <w:color w:val="auto"/>
          <w:sz w:val="22"/>
          <w:szCs w:val="22"/>
          <w:highlight w:val="none"/>
          <w:lang w:val="en-US" w:eastAsia="zh-CN"/>
        </w:rPr>
        <w:t>总</w:t>
      </w:r>
      <w:r>
        <w:rPr>
          <w:rFonts w:hint="eastAsia" w:ascii="宋体" w:hAnsi="宋体"/>
          <w:color w:val="auto"/>
          <w:sz w:val="22"/>
          <w:szCs w:val="22"/>
          <w:highlight w:val="none"/>
        </w:rPr>
        <w:t>得分（</w:t>
      </w:r>
      <w:r>
        <w:rPr>
          <w:rFonts w:hint="eastAsia" w:ascii="宋体" w:hAnsi="宋体"/>
          <w:color w:val="auto"/>
          <w:sz w:val="22"/>
          <w:szCs w:val="22"/>
          <w:highlight w:val="none"/>
          <w:lang w:val="en-US" w:eastAsia="zh-CN"/>
        </w:rPr>
        <w:t>商务</w:t>
      </w:r>
      <w:r>
        <w:rPr>
          <w:rFonts w:hint="eastAsia" w:ascii="宋体" w:hAnsi="宋体"/>
          <w:color w:val="auto"/>
          <w:sz w:val="22"/>
          <w:szCs w:val="22"/>
          <w:highlight w:val="none"/>
        </w:rPr>
        <w:t>技术得分+</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得分）由高到低顺序排列，排名前三名的依次为第一、第二、第三</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候选人。得分相同的，按投标报价由低到高顺</w:t>
      </w:r>
      <w:r>
        <w:rPr>
          <w:rFonts w:hint="eastAsia" w:ascii="宋体" w:hAnsi="宋体"/>
          <w:bCs/>
          <w:color w:val="auto"/>
          <w:sz w:val="22"/>
          <w:szCs w:val="22"/>
          <w:highlight w:val="none"/>
        </w:rPr>
        <w:t>序排列，得分且投标报价相同的，现场抽签决定</w:t>
      </w:r>
      <w:r>
        <w:rPr>
          <w:rFonts w:hint="eastAsia" w:ascii="宋体" w:hAnsi="宋体"/>
          <w:bCs/>
          <w:color w:val="auto"/>
          <w:sz w:val="22"/>
          <w:szCs w:val="22"/>
          <w:highlight w:val="none"/>
          <w:lang w:eastAsia="zh-CN"/>
        </w:rPr>
        <w:t>成交</w:t>
      </w:r>
      <w:r>
        <w:rPr>
          <w:rFonts w:hint="eastAsia" w:ascii="宋体" w:hAnsi="宋体"/>
          <w:bCs/>
          <w:color w:val="auto"/>
          <w:sz w:val="22"/>
          <w:szCs w:val="22"/>
          <w:highlight w:val="none"/>
        </w:rPr>
        <w:t>候选人排名顺序。</w:t>
      </w:r>
    </w:p>
    <w:p w14:paraId="049441A9">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bCs/>
          <w:color w:val="auto"/>
          <w:sz w:val="22"/>
          <w:szCs w:val="22"/>
          <w:highlight w:val="none"/>
        </w:rPr>
      </w:pPr>
      <w:r>
        <w:rPr>
          <w:rFonts w:hint="eastAsia" w:ascii="宋体" w:hAnsi="宋体"/>
          <w:b/>
          <w:color w:val="auto"/>
          <w:sz w:val="22"/>
          <w:szCs w:val="22"/>
          <w:highlight w:val="none"/>
        </w:rPr>
        <w:t>项目第一</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候选人原则上为</w:t>
      </w:r>
      <w:r>
        <w:rPr>
          <w:rFonts w:hint="eastAsia" w:ascii="宋体" w:hAnsi="宋体"/>
          <w:b/>
          <w:color w:val="auto"/>
          <w:sz w:val="22"/>
          <w:szCs w:val="22"/>
          <w:highlight w:val="none"/>
          <w:lang w:eastAsia="zh-CN"/>
        </w:rPr>
        <w:t>成交供应商</w:t>
      </w:r>
      <w:r>
        <w:rPr>
          <w:rFonts w:hint="eastAsia" w:ascii="宋体" w:hAnsi="宋体"/>
          <w:b/>
          <w:color w:val="auto"/>
          <w:sz w:val="22"/>
          <w:szCs w:val="22"/>
          <w:highlight w:val="none"/>
        </w:rPr>
        <w:t>，</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价为其投标报价。当排名第一的</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候选人放弃</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、因不可抗力不能履行合同、不按照招标文件要求提交履约保证金，或者被查实存在影响</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结果的违法行为等情形，不符合</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条件的，</w:t>
      </w:r>
      <w:r>
        <w:rPr>
          <w:rFonts w:hint="eastAsia" w:ascii="宋体" w:hAnsi="宋体"/>
          <w:b/>
          <w:color w:val="auto"/>
          <w:sz w:val="22"/>
          <w:szCs w:val="22"/>
          <w:highlight w:val="none"/>
          <w:lang w:eastAsia="zh-CN"/>
        </w:rPr>
        <w:t>采购人</w:t>
      </w:r>
      <w:r>
        <w:rPr>
          <w:rFonts w:hint="eastAsia" w:ascii="宋体" w:hAnsi="宋体"/>
          <w:b/>
          <w:color w:val="auto"/>
          <w:sz w:val="22"/>
          <w:szCs w:val="22"/>
          <w:highlight w:val="none"/>
        </w:rPr>
        <w:t>可以按照评标委员会提出的</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候选人名单排序依次确定其他</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候选人为</w:t>
      </w:r>
      <w:r>
        <w:rPr>
          <w:rFonts w:hint="eastAsia" w:ascii="宋体" w:hAnsi="宋体"/>
          <w:b/>
          <w:color w:val="auto"/>
          <w:sz w:val="22"/>
          <w:szCs w:val="22"/>
          <w:highlight w:val="none"/>
          <w:lang w:eastAsia="zh-CN"/>
        </w:rPr>
        <w:t>成交供应商</w:t>
      </w:r>
      <w:r>
        <w:rPr>
          <w:rFonts w:hint="eastAsia" w:ascii="宋体" w:hAnsi="宋体"/>
          <w:b/>
          <w:color w:val="auto"/>
          <w:sz w:val="22"/>
          <w:szCs w:val="22"/>
          <w:highlight w:val="none"/>
        </w:rPr>
        <w:t>，也可以重新招标。</w:t>
      </w:r>
    </w:p>
    <w:p w14:paraId="4B5BB8B0">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rPr>
        <w:t>代理机构宣布评标结果。</w:t>
      </w:r>
    </w:p>
    <w:p w14:paraId="51596C97">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rPr>
        <w:t>九、其他注意事项</w:t>
      </w:r>
    </w:p>
    <w:p w14:paraId="566B3B7B">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1、在投标、开标时间，</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不得向评委询问情况，不得进行旨在影响评标结果的活动。</w:t>
      </w:r>
    </w:p>
    <w:p w14:paraId="261EC0CA">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2、评委会不得向</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解释落标原因。</w:t>
      </w:r>
    </w:p>
    <w:p w14:paraId="16C47705">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3、在投标、评标过程中，如果</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联合故意抬高报价或出现其他不正当行为，采购人有权中止投标或评标。</w:t>
      </w:r>
    </w:p>
    <w:p w14:paraId="7ADD9CE7">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4、凡在投标、开标过程中，已提示是否异议的事项，</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当时没有提出异议的，事后不得针对上述事项提出质疑。</w:t>
      </w:r>
    </w:p>
    <w:p w14:paraId="7E8A669C">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rPr>
        <w:t>十、</w:t>
      </w:r>
      <w:r>
        <w:rPr>
          <w:rFonts w:hint="eastAsia" w:ascii="宋体" w:hAnsi="宋体"/>
          <w:b/>
          <w:color w:val="auto"/>
          <w:sz w:val="22"/>
          <w:szCs w:val="22"/>
          <w:highlight w:val="none"/>
          <w:lang w:eastAsia="zh-CN"/>
        </w:rPr>
        <w:t>成交</w:t>
      </w:r>
      <w:r>
        <w:rPr>
          <w:rFonts w:hint="eastAsia" w:ascii="宋体" w:hAnsi="宋体"/>
          <w:b/>
          <w:color w:val="auto"/>
          <w:sz w:val="22"/>
          <w:szCs w:val="22"/>
          <w:highlight w:val="none"/>
        </w:rPr>
        <w:t>通知</w:t>
      </w:r>
    </w:p>
    <w:p w14:paraId="68103256">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结果在</w:t>
      </w:r>
      <w:r>
        <w:rPr>
          <w:rFonts w:hint="eastAsia"/>
          <w:color w:val="auto"/>
          <w:sz w:val="22"/>
          <w:szCs w:val="22"/>
          <w:highlight w:val="none"/>
          <w:lang w:eastAsia="zh-CN"/>
        </w:rPr>
        <w:t>崇川区人民政府网—公示公告栏</w:t>
      </w:r>
      <w:r>
        <w:rPr>
          <w:rFonts w:hint="eastAsia"/>
          <w:color w:val="auto"/>
          <w:sz w:val="22"/>
          <w:szCs w:val="22"/>
          <w:highlight w:val="none"/>
        </w:rPr>
        <w:t>公告</w:t>
      </w:r>
      <w:r>
        <w:rPr>
          <w:rFonts w:hint="eastAsia" w:ascii="宋体" w:hAnsi="宋体"/>
          <w:color w:val="auto"/>
          <w:sz w:val="22"/>
          <w:szCs w:val="22"/>
          <w:highlight w:val="none"/>
        </w:rPr>
        <w:t>，公告期限为1个工作日。《</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通知书》一经发出，如采购人改变</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结果，或者</w:t>
      </w:r>
      <w:r>
        <w:rPr>
          <w:rFonts w:hint="eastAsia" w:ascii="宋体" w:hAnsi="宋体"/>
          <w:color w:val="auto"/>
          <w:sz w:val="22"/>
          <w:szCs w:val="22"/>
          <w:highlight w:val="none"/>
          <w:lang w:eastAsia="zh-CN"/>
        </w:rPr>
        <w:t>成交供应商</w:t>
      </w:r>
      <w:r>
        <w:rPr>
          <w:rFonts w:hint="eastAsia" w:ascii="宋体" w:hAnsi="宋体"/>
          <w:color w:val="auto"/>
          <w:sz w:val="22"/>
          <w:szCs w:val="22"/>
          <w:highlight w:val="none"/>
        </w:rPr>
        <w:t>放弃</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的，各自承担相应的法律责任。《</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通知书》是采购合同的组成部分。</w:t>
      </w:r>
    </w:p>
    <w:p w14:paraId="5D056061">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十一、</w:t>
      </w:r>
      <w:r>
        <w:rPr>
          <w:rFonts w:hint="eastAsia" w:ascii="宋体" w:hAnsi="宋体" w:cs="宋体"/>
          <w:b/>
          <w:bCs/>
          <w:color w:val="auto"/>
          <w:sz w:val="22"/>
          <w:szCs w:val="22"/>
          <w:highlight w:val="none"/>
          <w:lang w:eastAsia="zh-CN"/>
        </w:rPr>
        <w:t>成交</w:t>
      </w:r>
      <w:r>
        <w:rPr>
          <w:rFonts w:hint="eastAsia" w:ascii="宋体" w:hAnsi="宋体" w:cs="宋体"/>
          <w:b/>
          <w:bCs/>
          <w:color w:val="auto"/>
          <w:sz w:val="22"/>
          <w:szCs w:val="22"/>
          <w:highlight w:val="none"/>
        </w:rPr>
        <w:t>通知书的发放</w:t>
      </w:r>
    </w:p>
    <w:p w14:paraId="01F78C7B">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color w:val="auto"/>
          <w:sz w:val="22"/>
          <w:szCs w:val="22"/>
          <w:highlight w:val="none"/>
          <w:u w:val="single"/>
        </w:rPr>
      </w:pP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通知书发放条件和途径：</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结果公告公示期结束后，</w:t>
      </w:r>
      <w:r>
        <w:rPr>
          <w:rFonts w:hint="eastAsia" w:ascii="宋体" w:hAnsi="宋体" w:cs="宋体"/>
          <w:color w:val="auto"/>
          <w:sz w:val="22"/>
          <w:szCs w:val="22"/>
          <w:highlight w:val="none"/>
          <w:lang w:val="en-US" w:eastAsia="zh-CN"/>
        </w:rPr>
        <w:t>投标供应商</w:t>
      </w:r>
      <w:r>
        <w:rPr>
          <w:rFonts w:hint="eastAsia" w:ascii="宋体" w:hAnsi="宋体"/>
          <w:color w:val="auto"/>
          <w:sz w:val="22"/>
          <w:szCs w:val="22"/>
          <w:highlight w:val="none"/>
        </w:rPr>
        <w:t>可至代理单位领取</w:t>
      </w:r>
      <w:r>
        <w:rPr>
          <w:rFonts w:hint="eastAsia" w:ascii="宋体" w:hAnsi="宋体"/>
          <w:color w:val="auto"/>
          <w:sz w:val="22"/>
          <w:szCs w:val="22"/>
          <w:highlight w:val="none"/>
          <w:lang w:eastAsia="zh-CN"/>
        </w:rPr>
        <w:t>成交</w:t>
      </w:r>
      <w:r>
        <w:rPr>
          <w:rFonts w:hint="eastAsia" w:ascii="宋体" w:hAnsi="宋体"/>
          <w:color w:val="auto"/>
          <w:sz w:val="22"/>
          <w:szCs w:val="22"/>
          <w:highlight w:val="none"/>
        </w:rPr>
        <w:t>通知书。领取地址：</w:t>
      </w:r>
      <w:r>
        <w:rPr>
          <w:rFonts w:hint="eastAsia" w:ascii="宋体" w:hAnsi="宋体"/>
          <w:color w:val="auto"/>
          <w:sz w:val="22"/>
          <w:szCs w:val="22"/>
          <w:highlight w:val="none"/>
          <w:u w:val="single"/>
        </w:rPr>
        <w:t xml:space="preserve"> 南通市崇川区星城路299号（创源科技园3号楼501室） </w:t>
      </w:r>
      <w:r>
        <w:rPr>
          <w:rFonts w:hint="eastAsia" w:ascii="宋体" w:hAnsi="宋体"/>
          <w:color w:val="auto"/>
          <w:sz w:val="22"/>
          <w:szCs w:val="22"/>
          <w:highlight w:val="none"/>
        </w:rPr>
        <w:t>，电话：</w:t>
      </w:r>
      <w:r>
        <w:rPr>
          <w:rFonts w:hint="eastAsia" w:ascii="宋体" w:hAnsi="宋体"/>
          <w:color w:val="auto"/>
          <w:sz w:val="22"/>
          <w:szCs w:val="22"/>
          <w:highlight w:val="none"/>
          <w:u w:val="single"/>
          <w:lang w:val="en-US" w:eastAsia="zh-CN"/>
        </w:rPr>
        <w:t>18752932069</w:t>
      </w:r>
      <w:r>
        <w:rPr>
          <w:rFonts w:hint="eastAsia" w:ascii="宋体" w:hAnsi="宋体"/>
          <w:color w:val="auto"/>
          <w:sz w:val="22"/>
          <w:szCs w:val="22"/>
          <w:highlight w:val="none"/>
          <w:u w:val="single"/>
        </w:rPr>
        <w:t>。</w:t>
      </w:r>
    </w:p>
    <w:p w14:paraId="5FD621AC">
      <w:pPr>
        <w:rPr>
          <w:rFonts w:hint="eastAsia" w:ascii="宋体" w:hAnsi="宋体"/>
          <w:color w:val="auto"/>
          <w:sz w:val="21"/>
          <w:szCs w:val="21"/>
          <w:highlight w:val="none"/>
          <w:u w:val="single"/>
        </w:rPr>
      </w:pPr>
      <w:r>
        <w:rPr>
          <w:rFonts w:hint="eastAsia" w:ascii="宋体" w:hAnsi="宋体"/>
          <w:color w:val="auto"/>
          <w:sz w:val="21"/>
          <w:szCs w:val="21"/>
          <w:highlight w:val="none"/>
          <w:u w:val="single"/>
        </w:rPr>
        <w:br w:type="page"/>
      </w:r>
    </w:p>
    <w:p w14:paraId="36DF5587">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71762F4D">
      <w:pPr>
        <w:snapToGrid w:val="0"/>
        <w:spacing w:line="300" w:lineRule="auto"/>
        <w:jc w:val="center"/>
        <w:rPr>
          <w:rFonts w:hint="eastAsia" w:ascii="宋体" w:hAnsi="宋体"/>
          <w:color w:val="auto"/>
          <w:sz w:val="28"/>
          <w:szCs w:val="28"/>
          <w:highlight w:val="none"/>
        </w:rPr>
      </w:pPr>
    </w:p>
    <w:p w14:paraId="239B49A4">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和采购人需在《</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通知书》发出之日起</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日内签订合同。合同签订后</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方可履约，否则引起的一切后果由</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自行承担。</w:t>
      </w:r>
      <w:r>
        <w:rPr>
          <w:rFonts w:hint="eastAsia" w:ascii="宋体" w:hAnsi="宋体" w:eastAsia="宋体" w:cs="宋体"/>
          <w:color w:val="auto"/>
          <w:sz w:val="22"/>
          <w:szCs w:val="22"/>
          <w:highlight w:val="none"/>
          <w:lang w:val="zh-CN"/>
        </w:rPr>
        <w:t>所签合同不得对采购</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lang w:val="zh-CN"/>
        </w:rPr>
        <w:t>文件作实质性修改</w:t>
      </w:r>
      <w:r>
        <w:rPr>
          <w:rFonts w:hint="eastAsia" w:ascii="宋体" w:hAnsi="宋体" w:eastAsia="宋体" w:cs="宋体"/>
          <w:color w:val="auto"/>
          <w:sz w:val="22"/>
          <w:szCs w:val="22"/>
          <w:highlight w:val="none"/>
        </w:rPr>
        <w:t>。采购人不得向</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提出不合理的要求作为签订合同的条件，不得与</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私下订立背离采购</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文件实质性内容的协议。</w:t>
      </w:r>
    </w:p>
    <w:p w14:paraId="071DB928">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二</w:t>
      </w:r>
      <w:r>
        <w:rPr>
          <w:rFonts w:hint="eastAsia" w:ascii="宋体" w:hAnsi="宋体" w:eastAsia="宋体" w:cs="宋体"/>
          <w:color w:val="auto"/>
          <w:sz w:val="22"/>
          <w:szCs w:val="22"/>
          <w:highlight w:val="none"/>
        </w:rPr>
        <w:t>、</w:t>
      </w:r>
      <w:bookmarkStart w:id="4" w:name="OLE_LINK2"/>
      <w:bookmarkStart w:id="5" w:name="OLE_LINK1"/>
      <w:r>
        <w:rPr>
          <w:rFonts w:hint="eastAsia" w:ascii="宋体" w:hAnsi="宋体" w:eastAsia="宋体" w:cs="宋体"/>
          <w:color w:val="auto"/>
          <w:sz w:val="22"/>
          <w:szCs w:val="22"/>
          <w:highlight w:val="none"/>
        </w:rPr>
        <w:t>采购人按合同约定积极配合</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履约，</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履约到位后，请以书面形式向采购人提出验收申请，采购人接到申请后及时组织相关专业技术人员，必要时邀请专家、质检等部门共同参与验收，并出具验收报告，验收合格的支付相应款项。</w:t>
      </w:r>
    </w:p>
    <w:p w14:paraId="5C835709">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三、采购人故意推迟项目验收时间的，与</w:t>
      </w:r>
      <w:r>
        <w:rPr>
          <w:rFonts w:hint="eastAsia" w:ascii="宋体" w:hAnsi="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串通或要求</w:t>
      </w:r>
      <w:r>
        <w:rPr>
          <w:rFonts w:hint="eastAsia" w:ascii="宋体" w:hAnsi="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通过减少货物数量或降低服务标准的，在履行合同中采取更改配置、调换物品等手段的，要求</w:t>
      </w:r>
      <w:r>
        <w:rPr>
          <w:rFonts w:hint="eastAsia" w:ascii="宋体" w:hAnsi="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出具虚假发票或任意更改销售发票的，谋取不正当利益的，承担相应的法律责任。</w:t>
      </w:r>
    </w:p>
    <w:p w14:paraId="3D9995B7">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出现违约情形，应当及时纠正或补偿；造成损失的，按合同约定追究违约责任；发现有假冒、伪劣、走私产品、商业贿赂等违法情形的，应由采购人移交工商、质监、公安等行政执法部门依法查处。</w:t>
      </w:r>
    </w:p>
    <w:p w14:paraId="35DFE56D">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zh-CN" w:eastAsia="zh-CN"/>
        </w:rPr>
        <w:t>五、</w:t>
      </w:r>
      <w:r>
        <w:rPr>
          <w:rFonts w:hint="eastAsia" w:ascii="宋体" w:hAnsi="宋体" w:eastAsia="宋体" w:cs="宋体"/>
          <w:b/>
          <w:bCs/>
          <w:color w:val="auto"/>
          <w:sz w:val="22"/>
          <w:szCs w:val="22"/>
          <w:highlight w:val="none"/>
          <w:lang w:val="en-US" w:eastAsia="zh-CN"/>
        </w:rPr>
        <w:t>不响应付款方式的，视同无效投标处理。实际付款方式以最终签订采购合同为准。</w:t>
      </w:r>
    </w:p>
    <w:p w14:paraId="36E947BA">
      <w:pPr>
        <w:pStyle w:val="2"/>
        <w:keepNext w:val="0"/>
        <w:keepLines w:val="0"/>
        <w:pageBreakBefore w:val="0"/>
        <w:widowControl w:val="0"/>
        <w:kinsoku w:val="0"/>
        <w:wordWrap/>
        <w:overflowPunct/>
        <w:topLinePunct/>
        <w:autoSpaceDE w:val="0"/>
        <w:autoSpaceDN w:val="0"/>
        <w:bidi w:val="0"/>
        <w:adjustRightInd/>
        <w:snapToGrid w:val="0"/>
        <w:spacing w:line="440" w:lineRule="exact"/>
        <w:ind w:right="21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款项由采购人按相关财务支付规定办理支付手续。不得故意拖延支付时间</w:t>
      </w:r>
      <w:bookmarkEnd w:id="4"/>
      <w:bookmarkEnd w:id="5"/>
      <w:r>
        <w:rPr>
          <w:rFonts w:hint="eastAsia" w:ascii="宋体" w:hAnsi="宋体" w:eastAsia="宋体" w:cs="宋体"/>
          <w:color w:val="auto"/>
          <w:sz w:val="22"/>
          <w:szCs w:val="22"/>
          <w:highlight w:val="none"/>
        </w:rPr>
        <w:t>。</w:t>
      </w:r>
    </w:p>
    <w:p w14:paraId="424D445A">
      <w:pPr>
        <w:pStyle w:val="6"/>
        <w:keepNext w:val="0"/>
        <w:keepLines w:val="0"/>
        <w:pageBreakBefore w:val="0"/>
        <w:widowControl w:val="0"/>
        <w:wordWrap/>
        <w:overflowPunct/>
        <w:bidi w:val="0"/>
        <w:adjustRightInd/>
        <w:spacing w:line="44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六、合同主要条款</w:t>
      </w:r>
    </w:p>
    <w:p w14:paraId="73A83F9B">
      <w:pPr>
        <w:tabs>
          <w:tab w:val="left" w:pos="1050"/>
          <w:tab w:val="right" w:leader="dot" w:pos="9402"/>
        </w:tabs>
        <w:spacing w:line="520" w:lineRule="exact"/>
        <w:jc w:val="center"/>
        <w:outlineLvl w:val="0"/>
        <w:rPr>
          <w:rFonts w:ascii="宋体" w:cs="宋体"/>
          <w:b/>
          <w:color w:val="auto"/>
          <w:w w:val="80"/>
          <w:sz w:val="44"/>
          <w:szCs w:val="44"/>
          <w:highlight w:val="none"/>
        </w:rPr>
      </w:pPr>
      <w:r>
        <w:rPr>
          <w:rFonts w:hint="eastAsia"/>
          <w:color w:val="auto"/>
          <w:sz w:val="22"/>
          <w:szCs w:val="22"/>
          <w:highlight w:val="none"/>
        </w:rPr>
        <w:br w:type="page"/>
      </w:r>
      <w:r>
        <w:rPr>
          <w:rFonts w:hint="eastAsia" w:ascii="宋体" w:hAnsi="宋体" w:cs="宋体"/>
          <w:b/>
          <w:color w:val="auto"/>
          <w:w w:val="80"/>
          <w:sz w:val="44"/>
          <w:szCs w:val="44"/>
          <w:highlight w:val="none"/>
        </w:rPr>
        <w:t>合同主要条款</w:t>
      </w:r>
    </w:p>
    <w:p w14:paraId="05764D40">
      <w:pPr>
        <w:rPr>
          <w:rFonts w:hint="eastAsia"/>
          <w:color w:val="auto"/>
          <w:sz w:val="22"/>
          <w:szCs w:val="22"/>
          <w:highlight w:val="none"/>
        </w:rPr>
      </w:pPr>
    </w:p>
    <w:p w14:paraId="10D14C35">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color w:val="auto"/>
          <w:sz w:val="22"/>
          <w:szCs w:val="22"/>
          <w:highlight w:val="none"/>
          <w:u w:val="single"/>
        </w:rPr>
      </w:pPr>
      <w:r>
        <w:rPr>
          <w:rFonts w:hint="default" w:ascii="Times New Roman" w:hAnsi="Times New Roman" w:cs="Times New Roman"/>
          <w:color w:val="auto"/>
          <w:sz w:val="22"/>
          <w:szCs w:val="22"/>
          <w:highlight w:val="none"/>
        </w:rPr>
        <w:t>采购人（或称甲方）：</w:t>
      </w:r>
      <w:r>
        <w:rPr>
          <w:rFonts w:hint="default" w:ascii="Times New Roman" w:hAnsi="Times New Roman" w:cs="Times New Roman"/>
          <w:color w:val="auto"/>
          <w:sz w:val="22"/>
          <w:szCs w:val="22"/>
          <w:highlight w:val="none"/>
          <w:u w:val="single"/>
        </w:rPr>
        <w:t xml:space="preserve">                             </w:t>
      </w:r>
    </w:p>
    <w:p w14:paraId="5CAD4ADE">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color w:val="auto"/>
          <w:sz w:val="22"/>
          <w:szCs w:val="22"/>
          <w:highlight w:val="none"/>
          <w:u w:val="single"/>
        </w:rPr>
      </w:pPr>
      <w:r>
        <w:rPr>
          <w:rFonts w:hint="eastAsia" w:cs="Times New Roman"/>
          <w:color w:val="auto"/>
          <w:sz w:val="22"/>
          <w:szCs w:val="22"/>
          <w:highlight w:val="none"/>
          <w:lang w:eastAsia="zh-CN"/>
        </w:rPr>
        <w:t>成交供应商</w:t>
      </w:r>
      <w:r>
        <w:rPr>
          <w:rFonts w:hint="default" w:ascii="Times New Roman" w:hAnsi="Times New Roman" w:cs="Times New Roman"/>
          <w:color w:val="auto"/>
          <w:sz w:val="22"/>
          <w:szCs w:val="22"/>
          <w:highlight w:val="none"/>
        </w:rPr>
        <w:t>（或称乙方）：</w:t>
      </w:r>
      <w:r>
        <w:rPr>
          <w:rFonts w:hint="default" w:ascii="Times New Roman" w:hAnsi="Times New Roman" w:cs="Times New Roman"/>
          <w:color w:val="auto"/>
          <w:sz w:val="22"/>
          <w:szCs w:val="22"/>
          <w:highlight w:val="none"/>
          <w:u w:val="single"/>
        </w:rPr>
        <w:t xml:space="preserve">                              </w:t>
      </w:r>
    </w:p>
    <w:p w14:paraId="2A252BC8">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甲乙双方根据《中华人民共和国民法典》、《中华人民共和国招标投标法》、</w:t>
      </w:r>
      <w:r>
        <w:rPr>
          <w:rFonts w:hint="eastAsia" w:ascii="Times New Roman" w:hAnsi="Times New Roman" w:cs="Times New Roman"/>
          <w:color w:val="auto"/>
          <w:sz w:val="22"/>
          <w:szCs w:val="22"/>
          <w:highlight w:val="none"/>
          <w:lang w:val="en-US" w:eastAsia="zh-CN"/>
        </w:rPr>
        <w:t>招标</w:t>
      </w:r>
      <w:r>
        <w:rPr>
          <w:rFonts w:hint="default" w:ascii="Times New Roman" w:hAnsi="Times New Roman" w:cs="Times New Roman"/>
          <w:color w:val="auto"/>
          <w:sz w:val="22"/>
          <w:szCs w:val="22"/>
          <w:highlight w:val="none"/>
          <w:lang w:eastAsia="zh-CN"/>
        </w:rPr>
        <w:t>文件</w:t>
      </w:r>
      <w:r>
        <w:rPr>
          <w:rFonts w:hint="default" w:ascii="Times New Roman" w:hAnsi="Times New Roman" w:cs="Times New Roman"/>
          <w:color w:val="auto"/>
          <w:sz w:val="22"/>
          <w:szCs w:val="22"/>
          <w:highlight w:val="none"/>
        </w:rPr>
        <w:t>及相关法律法规的要求，双方经过平等协商，在真实、充分地表达各自意愿的基础上，达成如下书面协议（技术说明及其他有关合同项目的特定信息由合同附件予以说明，合同附件及</w:t>
      </w:r>
      <w:r>
        <w:rPr>
          <w:rFonts w:hint="eastAsia" w:ascii="Times New Roman" w:hAnsi="Times New Roman" w:cs="Times New Roman"/>
          <w:color w:val="auto"/>
          <w:sz w:val="22"/>
          <w:szCs w:val="22"/>
          <w:highlight w:val="none"/>
          <w:lang w:val="en-US" w:eastAsia="zh-CN"/>
        </w:rPr>
        <w:t>招标</w:t>
      </w:r>
      <w:r>
        <w:rPr>
          <w:rFonts w:hint="default" w:ascii="Times New Roman" w:hAnsi="Times New Roman" w:cs="Times New Roman"/>
          <w:color w:val="auto"/>
          <w:sz w:val="22"/>
          <w:szCs w:val="22"/>
          <w:highlight w:val="none"/>
          <w:lang w:eastAsia="zh-CN"/>
        </w:rPr>
        <w:t>文件</w:t>
      </w:r>
      <w:r>
        <w:rPr>
          <w:rFonts w:hint="default" w:ascii="Times New Roman" w:hAnsi="Times New Roman" w:cs="Times New Roman"/>
          <w:color w:val="auto"/>
          <w:sz w:val="22"/>
          <w:szCs w:val="22"/>
          <w:highlight w:val="none"/>
        </w:rPr>
        <w:t>、</w:t>
      </w:r>
      <w:r>
        <w:rPr>
          <w:rFonts w:hint="eastAsia" w:ascii="Times New Roman" w:hAnsi="Times New Roman" w:cs="Times New Roman"/>
          <w:color w:val="auto"/>
          <w:sz w:val="22"/>
          <w:szCs w:val="22"/>
          <w:highlight w:val="none"/>
          <w:lang w:val="en-US" w:eastAsia="zh-CN"/>
        </w:rPr>
        <w:t>投标</w:t>
      </w:r>
      <w:r>
        <w:rPr>
          <w:rFonts w:hint="default" w:ascii="Times New Roman" w:hAnsi="Times New Roman" w:cs="Times New Roman"/>
          <w:color w:val="auto"/>
          <w:sz w:val="22"/>
          <w:szCs w:val="22"/>
          <w:highlight w:val="none"/>
          <w:lang w:eastAsia="zh-CN"/>
        </w:rPr>
        <w:t>文件</w:t>
      </w:r>
      <w:r>
        <w:rPr>
          <w:rFonts w:hint="default" w:ascii="Times New Roman" w:hAnsi="Times New Roman" w:cs="Times New Roman"/>
          <w:color w:val="auto"/>
          <w:sz w:val="22"/>
          <w:szCs w:val="22"/>
          <w:highlight w:val="none"/>
        </w:rPr>
        <w:t>等均为本合同不可分割之一部分），以明确双方权利义务，供双方共同恪守。</w:t>
      </w:r>
    </w:p>
    <w:p w14:paraId="758D5CC3">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一、项目概况</w:t>
      </w:r>
    </w:p>
    <w:p w14:paraId="0FF2052F">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（一）项目名称：</w:t>
      </w:r>
      <w:r>
        <w:rPr>
          <w:rFonts w:hint="default" w:ascii="Times New Roman" w:hAnsi="Times New Roman" w:cs="Times New Roman"/>
          <w:color w:val="auto"/>
          <w:sz w:val="22"/>
          <w:szCs w:val="22"/>
          <w:highlight w:val="none"/>
          <w:u w:val="single"/>
        </w:rPr>
        <w:t xml:space="preserve">  </w:t>
      </w:r>
      <w:r>
        <w:rPr>
          <w:rFonts w:hint="eastAsia"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w:t>
      </w:r>
    </w:p>
    <w:p w14:paraId="3F56A03A">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（二）本项目合同金额为人民币（大写）</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元整 （</w:t>
      </w:r>
      <w:r>
        <w:rPr>
          <w:rFonts w:hint="default" w:ascii="Times New Roman" w:hAnsi="Times New Roman" w:cs="Times New Roman"/>
          <w:color w:val="auto"/>
          <w:sz w:val="22"/>
          <w:szCs w:val="22"/>
          <w:highlight w:val="none"/>
          <w:lang w:val="en-US" w:eastAsia="zh-CN"/>
        </w:rPr>
        <w:t>¥</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元），该费用为固定综合单价包干，包括但不限于：所提供货物的费用（含安装部件、备品备件费）、增值税、运输费、包装费、劳务费、保险、利润、税金、装卸、安装（含配件等）、质保、售后服务费用、政策性文件规定及合同包含的所有风险、责任等各项应有费用，即项目履行到项目执行结束的过程中所发生的一切费用及询价文件要求的所有费用。</w:t>
      </w:r>
    </w:p>
    <w:p w14:paraId="557155BA">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（三）合同履行期限：</w:t>
      </w:r>
      <w:r>
        <w:rPr>
          <w:rFonts w:hint="default" w:ascii="Times New Roman" w:hAnsi="Times New Roman" w:cs="Times New Roman"/>
          <w:color w:val="auto"/>
          <w:sz w:val="22"/>
          <w:szCs w:val="22"/>
          <w:highlight w:val="none"/>
          <w:u w:val="single"/>
        </w:rPr>
        <w:t xml:space="preserve">      年   月  日至     年  月  日</w:t>
      </w:r>
      <w:r>
        <w:rPr>
          <w:rFonts w:hint="default" w:ascii="Times New Roman" w:hAnsi="Times New Roman" w:cs="Times New Roman"/>
          <w:color w:val="auto"/>
          <w:sz w:val="22"/>
          <w:szCs w:val="22"/>
          <w:highlight w:val="none"/>
        </w:rPr>
        <w:t>。</w:t>
      </w:r>
    </w:p>
    <w:p w14:paraId="5AC737B9">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color w:val="auto"/>
          <w:sz w:val="22"/>
          <w:szCs w:val="22"/>
          <w:highlight w:val="none"/>
        </w:rPr>
        <w:t>（四）交货地点：</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 xml:space="preserve"> 。</w:t>
      </w:r>
    </w:p>
    <w:p w14:paraId="2BA274A7">
      <w:pPr>
        <w:keepNext w:val="0"/>
        <w:keepLines w:val="0"/>
        <w:pageBreakBefore w:val="0"/>
        <w:widowControl w:val="0"/>
        <w:kinsoku/>
        <w:wordWrap/>
        <w:overflowPunct/>
        <w:topLinePunct w:val="0"/>
        <w:autoSpaceDE/>
        <w:autoSpaceDN/>
        <w:bidi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二、合同的标的物</w:t>
      </w:r>
    </w:p>
    <w:p w14:paraId="335C0844">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乙方根据甲方要求提供以下货物：</w:t>
      </w:r>
    </w:p>
    <w:tbl>
      <w:tblPr>
        <w:tblStyle w:val="19"/>
        <w:tblW w:w="90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2"/>
        <w:gridCol w:w="1554"/>
        <w:gridCol w:w="1772"/>
        <w:gridCol w:w="959"/>
        <w:gridCol w:w="918"/>
        <w:gridCol w:w="1037"/>
        <w:gridCol w:w="1033"/>
      </w:tblGrid>
      <w:tr w14:paraId="2A6C0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0422B0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货物名称</w:t>
            </w: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6194318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商标</w:t>
            </w: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105D4E7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w w:val="95"/>
                <w:kern w:val="0"/>
                <w:sz w:val="22"/>
                <w:szCs w:val="22"/>
                <w:highlight w:val="none"/>
                <w:lang w:eastAsia="en-US"/>
              </w:rPr>
            </w:pPr>
            <w:r>
              <w:rPr>
                <w:rFonts w:hint="default" w:ascii="Times New Roman" w:hAnsi="Times New Roman" w:cs="Times New Roman"/>
                <w:b/>
                <w:color w:val="auto"/>
                <w:w w:val="95"/>
                <w:kern w:val="0"/>
                <w:sz w:val="22"/>
                <w:szCs w:val="22"/>
                <w:highlight w:val="none"/>
                <w:lang w:eastAsia="en-US"/>
              </w:rPr>
              <w:t>规格型号</w:t>
            </w: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67260A4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单位</w:t>
            </w: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1210501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数量</w:t>
            </w: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55286EB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单价</w:t>
            </w: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6342AD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r>
              <w:rPr>
                <w:rFonts w:hint="default" w:ascii="Times New Roman" w:hAnsi="Times New Roman" w:cs="Times New Roman"/>
                <w:b/>
                <w:color w:val="auto"/>
                <w:kern w:val="0"/>
                <w:sz w:val="22"/>
                <w:szCs w:val="22"/>
                <w:highlight w:val="none"/>
                <w:lang w:eastAsia="en-US"/>
              </w:rPr>
              <w:t>总价</w:t>
            </w:r>
          </w:p>
        </w:tc>
      </w:tr>
      <w:tr w14:paraId="3F9B5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4D20BBA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b/>
                <w:color w:val="auto"/>
                <w:kern w:val="0"/>
                <w:sz w:val="22"/>
                <w:szCs w:val="22"/>
                <w:highlight w:val="none"/>
                <w:lang w:eastAsia="en-US"/>
              </w:rPr>
            </w:pP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6230ADC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7E01DC8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5ECED75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48EA8D8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67F30DA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32D4F15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r>
      <w:tr w14:paraId="0BEEE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4FC78DC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16AC59D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101E8C6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6DBCD55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636C159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115570E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254657D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r>
      <w:tr w14:paraId="3B7EE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06524EF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16752E2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2C0A040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4F974CE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31AFC67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2AF6A46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582DBFC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r>
      <w:tr w14:paraId="54165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1B4FE5E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099C1E0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659EE78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5EC50FC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26CEE41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5005CA4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78079DA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r>
      <w:tr w14:paraId="2FF9F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jc w:val="center"/>
        </w:trPr>
        <w:tc>
          <w:tcPr>
            <w:tcW w:w="1763" w:type="dxa"/>
            <w:tcBorders>
              <w:top w:val="single" w:color="000000" w:sz="8" w:space="0"/>
              <w:left w:val="single" w:color="000000" w:sz="8" w:space="0"/>
              <w:bottom w:val="single" w:color="000000" w:sz="8" w:space="0"/>
              <w:right w:val="single" w:color="000000" w:sz="8" w:space="0"/>
            </w:tcBorders>
            <w:noWrap w:val="0"/>
            <w:vAlign w:val="center"/>
          </w:tcPr>
          <w:p w14:paraId="00C20C0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520" w:type="dxa"/>
            <w:tcBorders>
              <w:top w:val="single" w:color="000000" w:sz="8" w:space="0"/>
              <w:left w:val="single" w:color="000000" w:sz="8" w:space="0"/>
              <w:bottom w:val="single" w:color="000000" w:sz="8" w:space="0"/>
              <w:right w:val="single" w:color="auto" w:sz="4" w:space="0"/>
            </w:tcBorders>
            <w:noWrap w:val="0"/>
            <w:vAlign w:val="center"/>
          </w:tcPr>
          <w:p w14:paraId="73D538B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733" w:type="dxa"/>
            <w:tcBorders>
              <w:top w:val="single" w:color="000000" w:sz="8" w:space="0"/>
              <w:left w:val="single" w:color="auto" w:sz="4" w:space="0"/>
              <w:bottom w:val="single" w:color="000000" w:sz="8" w:space="0"/>
              <w:right w:val="single" w:color="000000" w:sz="8" w:space="0"/>
            </w:tcBorders>
            <w:noWrap w:val="0"/>
            <w:vAlign w:val="center"/>
          </w:tcPr>
          <w:p w14:paraId="2A37000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6C3F391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898" w:type="dxa"/>
            <w:tcBorders>
              <w:top w:val="single" w:color="000000" w:sz="8" w:space="0"/>
              <w:left w:val="single" w:color="000000" w:sz="8" w:space="0"/>
              <w:bottom w:val="single" w:color="000000" w:sz="8" w:space="0"/>
              <w:right w:val="single" w:color="000000" w:sz="8" w:space="0"/>
            </w:tcBorders>
            <w:noWrap w:val="0"/>
            <w:vAlign w:val="center"/>
          </w:tcPr>
          <w:p w14:paraId="00CAA75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4" w:type="dxa"/>
            <w:tcBorders>
              <w:top w:val="single" w:color="000000" w:sz="8" w:space="0"/>
              <w:left w:val="single" w:color="000000" w:sz="8" w:space="0"/>
              <w:bottom w:val="single" w:color="000000" w:sz="8" w:space="0"/>
              <w:right w:val="single" w:color="000000" w:sz="8" w:space="0"/>
            </w:tcBorders>
            <w:noWrap w:val="0"/>
            <w:vAlign w:val="center"/>
          </w:tcPr>
          <w:p w14:paraId="0B60F2C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c>
          <w:tcPr>
            <w:tcW w:w="1010" w:type="dxa"/>
            <w:tcBorders>
              <w:top w:val="single" w:color="000000" w:sz="8" w:space="0"/>
              <w:left w:val="single" w:color="000000" w:sz="8" w:space="0"/>
              <w:bottom w:val="single" w:color="000000" w:sz="8" w:space="0"/>
              <w:right w:val="single" w:color="000000" w:sz="8" w:space="0"/>
            </w:tcBorders>
            <w:noWrap w:val="0"/>
            <w:vAlign w:val="center"/>
          </w:tcPr>
          <w:p w14:paraId="736867D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60" w:lineRule="exact"/>
              <w:ind w:left="0" w:leftChars="0" w:right="0"/>
              <w:jc w:val="center"/>
              <w:rPr>
                <w:rFonts w:hint="default" w:ascii="Times New Roman" w:hAnsi="Times New Roman" w:cs="Times New Roman"/>
                <w:color w:val="auto"/>
                <w:kern w:val="0"/>
                <w:sz w:val="22"/>
                <w:szCs w:val="22"/>
                <w:highlight w:val="none"/>
                <w:lang w:eastAsia="en-US"/>
              </w:rPr>
            </w:pPr>
          </w:p>
        </w:tc>
      </w:tr>
    </w:tbl>
    <w:p w14:paraId="5BCE4C2B">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三、政策要求</w:t>
      </w:r>
    </w:p>
    <w:p w14:paraId="6BDF3B9F">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乙方</w:t>
      </w:r>
      <w:r>
        <w:rPr>
          <w:rFonts w:hint="default" w:ascii="Times New Roman" w:hAnsi="Times New Roman" w:cs="Times New Roman"/>
          <w:color w:val="auto"/>
          <w:sz w:val="22"/>
          <w:szCs w:val="22"/>
          <w:highlight w:val="none"/>
        </w:rPr>
        <w:t>提供的所有产品（包括设计、制造、调试以及节能、环保等）技术标准按国家标准执行，无国家标准的，按行业标准执行；无国家和行业标准的，按企业标准执行；但在招标文件中有特别要求的，按招标文件中规定的要求执行，并且符合相关法律、法规规定的要求。</w:t>
      </w:r>
    </w:p>
    <w:p w14:paraId="15B3F9E7">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四、质量要求</w:t>
      </w:r>
    </w:p>
    <w:p w14:paraId="4CB28F97">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（一）乙方应提供的货物各项技术指标完全符合国家、行业有关质量检测、环保标准及产品出厂标准，以较为严格的标准为准。</w:t>
      </w:r>
    </w:p>
    <w:p w14:paraId="00E63BA0">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eastAsia"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rPr>
        <w:t>（二）项目提供的技术要求(规格)只是对产品的一些原则性要求，并不是最详尽的描述和要求，</w:t>
      </w:r>
      <w:r>
        <w:rPr>
          <w:rFonts w:hint="eastAsia" w:cs="Times New Roman"/>
          <w:color w:val="auto"/>
          <w:sz w:val="22"/>
          <w:szCs w:val="22"/>
          <w:highlight w:val="none"/>
          <w:lang w:eastAsia="zh-CN"/>
        </w:rPr>
        <w:t>供应商</w:t>
      </w:r>
      <w:r>
        <w:rPr>
          <w:rFonts w:hint="default" w:ascii="Times New Roman" w:hAnsi="Times New Roman" w:cs="Times New Roman"/>
          <w:color w:val="auto"/>
          <w:sz w:val="22"/>
          <w:szCs w:val="22"/>
          <w:highlight w:val="none"/>
        </w:rPr>
        <w:t>有责任依据相关设计技术规范和有关行业国家标准执行，无国家标准的，按行业标准执行；无国家和行业标准的，按企业标准执行；但在招标文件中有特别要求的，按招标文件中规定的要求执行，并且符合相关法律、法规规定的要求。</w:t>
      </w:r>
    </w:p>
    <w:p w14:paraId="7BF9731E">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五、售后服务要求</w:t>
      </w:r>
    </w:p>
    <w:p w14:paraId="2B7302B9">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（一）质保期为</w:t>
      </w:r>
      <w:r>
        <w:rPr>
          <w:rFonts w:hint="default" w:ascii="Times New Roman" w:hAnsi="Times New Roman" w:cs="Times New Roman"/>
          <w:color w:val="auto"/>
          <w:sz w:val="22"/>
          <w:szCs w:val="22"/>
          <w:highlight w:val="none"/>
          <w:u w:val="single"/>
        </w:rPr>
        <w:t xml:space="preserve"> </w:t>
      </w:r>
      <w:r>
        <w:rPr>
          <w:rFonts w:hint="eastAsia"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年，时间自最终项目验收合格并交付使用之日起计算。</w:t>
      </w:r>
    </w:p>
    <w:p w14:paraId="48C1F2AE">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（二）质保期内乙方必须进行质量“三包”。在质保期内因乙方责任而产生的质量问题，由其负责无偿返修。不能维修的，整件免费更换。人为原因造成的损坏只收配件费不收人工费。</w:t>
      </w:r>
    </w:p>
    <w:p w14:paraId="753EC199">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（三）乙方必须保证在接到故障电话后</w:t>
      </w:r>
      <w:r>
        <w:rPr>
          <w:rFonts w:hint="default" w:ascii="Times New Roman" w:hAnsi="Times New Roman" w:cs="Times New Roman"/>
          <w:color w:val="auto"/>
          <w:sz w:val="22"/>
          <w:szCs w:val="22"/>
          <w:highlight w:val="none"/>
          <w:u w:val="single"/>
        </w:rPr>
        <w:t xml:space="preserve"> 4 </w:t>
      </w:r>
      <w:r>
        <w:rPr>
          <w:rFonts w:hint="default" w:ascii="Times New Roman" w:hAnsi="Times New Roman" w:cs="Times New Roman"/>
          <w:color w:val="auto"/>
          <w:sz w:val="22"/>
          <w:szCs w:val="22"/>
          <w:highlight w:val="none"/>
        </w:rPr>
        <w:t>小时到场，并在</w:t>
      </w:r>
      <w:r>
        <w:rPr>
          <w:rFonts w:hint="default" w:ascii="Times New Roman" w:hAnsi="Times New Roman" w:cs="Times New Roman"/>
          <w:color w:val="auto"/>
          <w:sz w:val="22"/>
          <w:szCs w:val="22"/>
          <w:highlight w:val="none"/>
          <w:u w:val="single"/>
        </w:rPr>
        <w:t xml:space="preserve"> 24 </w:t>
      </w:r>
      <w:r>
        <w:rPr>
          <w:rFonts w:hint="default" w:ascii="Times New Roman" w:hAnsi="Times New Roman" w:cs="Times New Roman"/>
          <w:color w:val="auto"/>
          <w:sz w:val="22"/>
          <w:szCs w:val="22"/>
          <w:highlight w:val="none"/>
        </w:rPr>
        <w:t>小时内修复。如乙方未在约定时间内到场，则乙方需承担由此给甲方造成的损失，包括但不限于甲方另行安排其他人员或机构维修产生的费用、因乙方未及时到场而拖慢工程进度或造成甲方对第三方违约等损失。在质保期内，如</w:t>
      </w:r>
      <w:r>
        <w:rPr>
          <w:rFonts w:hint="default" w:ascii="Times New Roman" w:hAnsi="Times New Roman" w:cs="Times New Roman"/>
          <w:color w:val="auto"/>
          <w:sz w:val="22"/>
          <w:szCs w:val="22"/>
          <w:highlight w:val="none"/>
          <w:u w:val="single"/>
        </w:rPr>
        <w:t xml:space="preserve"> 24 </w:t>
      </w:r>
      <w:r>
        <w:rPr>
          <w:rFonts w:hint="default" w:ascii="Times New Roman" w:hAnsi="Times New Roman" w:cs="Times New Roman"/>
          <w:color w:val="auto"/>
          <w:sz w:val="22"/>
          <w:szCs w:val="22"/>
          <w:highlight w:val="none"/>
        </w:rPr>
        <w:t>小时内无法修复设备，乙方必须提供符合本合同要求的替代设备给甲方使用，直到故障设备修复为止，且不得另外收取其他费用。</w:t>
      </w:r>
    </w:p>
    <w:p w14:paraId="2128383D">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（四）在质保期内，乙方须对所提供的设备做定期检查和保养。</w:t>
      </w:r>
    </w:p>
    <w:p w14:paraId="6409D618">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六、验收标准要求</w:t>
      </w:r>
    </w:p>
    <w:p w14:paraId="5D07A477">
      <w:pPr>
        <w:pStyle w:val="5"/>
        <w:snapToGrid/>
        <w:spacing w:line="460" w:lineRule="exact"/>
        <w:ind w:firstLine="440" w:firstLineChars="200"/>
        <w:rPr>
          <w:rFonts w:hint="eastAsia"/>
          <w:color w:val="auto"/>
          <w:sz w:val="22"/>
          <w:szCs w:val="22"/>
          <w:highlight w:val="none"/>
        </w:rPr>
      </w:pPr>
      <w:r>
        <w:rPr>
          <w:rFonts w:hint="eastAsia"/>
          <w:color w:val="auto"/>
          <w:sz w:val="22"/>
          <w:szCs w:val="22"/>
          <w:highlight w:val="none"/>
        </w:rPr>
        <w:t>本项目技术要求详见采购清单，并符合国家标准及行业标准。本次采购的货物必须符合相关标准。项目涉及到的货物由</w:t>
      </w:r>
      <w:r>
        <w:rPr>
          <w:rFonts w:hint="eastAsia"/>
          <w:color w:val="auto"/>
          <w:sz w:val="22"/>
          <w:szCs w:val="22"/>
          <w:highlight w:val="none"/>
          <w:lang w:val="en-US" w:eastAsia="zh-CN"/>
        </w:rPr>
        <w:t>甲方</w:t>
      </w:r>
      <w:r>
        <w:rPr>
          <w:rFonts w:hint="eastAsia"/>
          <w:color w:val="auto"/>
          <w:sz w:val="22"/>
          <w:szCs w:val="22"/>
          <w:highlight w:val="none"/>
        </w:rPr>
        <w:t>组织有关部门进行专项验收；</w:t>
      </w:r>
      <w:r>
        <w:rPr>
          <w:rFonts w:hint="eastAsia"/>
          <w:color w:val="auto"/>
          <w:sz w:val="22"/>
          <w:szCs w:val="22"/>
          <w:highlight w:val="none"/>
          <w:lang w:val="en-US" w:eastAsia="zh-CN"/>
        </w:rPr>
        <w:t>甲方</w:t>
      </w:r>
      <w:r>
        <w:rPr>
          <w:rFonts w:hint="eastAsia"/>
          <w:color w:val="auto"/>
          <w:sz w:val="22"/>
          <w:szCs w:val="22"/>
          <w:highlight w:val="none"/>
        </w:rPr>
        <w:t>有权对所有货物进行随机抽检，如抽检不合格所有货物全部退回，</w:t>
      </w:r>
      <w:r>
        <w:rPr>
          <w:rFonts w:hint="eastAsia"/>
          <w:color w:val="auto"/>
          <w:sz w:val="22"/>
          <w:szCs w:val="22"/>
          <w:highlight w:val="none"/>
          <w:lang w:val="en-US" w:eastAsia="zh-CN"/>
        </w:rPr>
        <w:t>乙方</w:t>
      </w:r>
      <w:r>
        <w:rPr>
          <w:rFonts w:hint="eastAsia"/>
          <w:color w:val="auto"/>
          <w:sz w:val="22"/>
          <w:szCs w:val="22"/>
          <w:highlight w:val="none"/>
        </w:rPr>
        <w:t>承担由此引起的一切后果，情节严重者</w:t>
      </w:r>
      <w:r>
        <w:rPr>
          <w:rFonts w:hint="eastAsia"/>
          <w:color w:val="auto"/>
          <w:sz w:val="22"/>
          <w:szCs w:val="22"/>
          <w:highlight w:val="none"/>
          <w:lang w:val="en-US" w:eastAsia="zh-CN"/>
        </w:rPr>
        <w:t>甲方</w:t>
      </w:r>
      <w:r>
        <w:rPr>
          <w:rFonts w:hint="eastAsia"/>
          <w:color w:val="auto"/>
          <w:sz w:val="22"/>
          <w:szCs w:val="22"/>
          <w:highlight w:val="none"/>
        </w:rPr>
        <w:t>有权解除供货合同；</w:t>
      </w:r>
    </w:p>
    <w:p w14:paraId="2FBCBAB2">
      <w:pPr>
        <w:pStyle w:val="5"/>
        <w:snapToGrid/>
        <w:spacing w:line="460" w:lineRule="exact"/>
        <w:ind w:firstLine="440" w:firstLineChars="200"/>
        <w:rPr>
          <w:rFonts w:ascii="Times New Roman" w:hAnsi="Times New Roman"/>
          <w:color w:val="auto"/>
          <w:kern w:val="2"/>
          <w:sz w:val="22"/>
          <w:szCs w:val="22"/>
          <w:highlight w:val="none"/>
        </w:rPr>
      </w:pPr>
      <w:r>
        <w:rPr>
          <w:rFonts w:hint="eastAsia"/>
          <w:color w:val="auto"/>
          <w:sz w:val="22"/>
          <w:szCs w:val="22"/>
          <w:highlight w:val="none"/>
          <w:lang w:val="en-US" w:eastAsia="zh-CN"/>
        </w:rPr>
        <w:t>货到现场安装完毕后开始验收，所供应的全部货物应符合乙方的验收标准</w:t>
      </w:r>
      <w:r>
        <w:rPr>
          <w:rFonts w:hint="eastAsia" w:ascii="宋体" w:hAnsi="宋体" w:cs="宋体"/>
          <w:color w:val="auto"/>
          <w:sz w:val="22"/>
          <w:szCs w:val="22"/>
          <w:highlight w:val="none"/>
          <w:lang w:val="en-US" w:eastAsia="zh-CN"/>
        </w:rPr>
        <w:t>。</w:t>
      </w:r>
    </w:p>
    <w:p w14:paraId="1325FAD7">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七、资料交付</w:t>
      </w:r>
    </w:p>
    <w:p w14:paraId="57B759B1">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（一）乙方须向甲方提供有关设备的安装、调试、使用、维修和保养所需的足够的中文技术文件（图纸、手册和技术资料等）。</w:t>
      </w:r>
    </w:p>
    <w:p w14:paraId="6963C627">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（二）乙方免费提供具备专业知识、技能和证书的人员为甲方进行设备合理使用的培训，保证培训的操作人员快速掌握相应的操作知识。具体培训时间由甲方另行通知。</w:t>
      </w:r>
    </w:p>
    <w:p w14:paraId="4E108C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default" w:ascii="宋体" w:hAnsi="宋体" w:eastAsia="宋体" w:cs="宋体"/>
          <w:b/>
          <w:bCs/>
          <w:color w:val="auto"/>
          <w:sz w:val="22"/>
          <w:szCs w:val="22"/>
          <w:highlight w:val="none"/>
          <w:lang w:val="en-US" w:eastAsia="zh-CN"/>
        </w:rPr>
      </w:pPr>
      <w:r>
        <w:rPr>
          <w:rFonts w:hint="eastAsia" w:ascii="Times New Roman" w:hAnsi="Times New Roman" w:cs="Times New Roman"/>
          <w:b/>
          <w:bCs/>
          <w:color w:val="auto"/>
          <w:sz w:val="22"/>
          <w:szCs w:val="22"/>
          <w:highlight w:val="none"/>
          <w:lang w:eastAsia="zh-CN"/>
        </w:rPr>
        <w:t>八</w:t>
      </w:r>
      <w:r>
        <w:rPr>
          <w:rFonts w:hint="default" w:ascii="Times New Roman" w:hAnsi="Times New Roman" w:cs="Times New Roman"/>
          <w:b/>
          <w:bCs/>
          <w:color w:val="auto"/>
          <w:sz w:val="22"/>
          <w:szCs w:val="22"/>
          <w:highlight w:val="none"/>
        </w:rPr>
        <w:t>、</w:t>
      </w:r>
      <w:r>
        <w:rPr>
          <w:rFonts w:hint="eastAsia" w:ascii="宋体" w:hAnsi="宋体" w:cs="宋体"/>
          <w:b/>
          <w:bCs/>
          <w:color w:val="auto"/>
          <w:sz w:val="22"/>
          <w:szCs w:val="22"/>
          <w:highlight w:val="none"/>
          <w:lang w:val="en-US" w:eastAsia="zh-CN"/>
        </w:rPr>
        <w:t>包装、运送及保管等要求</w:t>
      </w:r>
    </w:p>
    <w:p w14:paraId="270661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供应商应采取必要的安全措施保证货物的运输及安装的安全，并承担货物的运输及安装过程中产生的风险。</w:t>
      </w:r>
    </w:p>
    <w:p w14:paraId="77CB6B2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、货物材料的包装必须是制造商原厂包装，其包装均应有良好的防湿、防锈、防潮、防雨、防腐及防碰撞的措施。凡由于包装不良造成的损失和由此产生的费用均由成交供应商承担。</w:t>
      </w:r>
    </w:p>
    <w:p w14:paraId="66AE208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供应商负责将货物材料运到现场过程中的全部运输，包括装卸车、货物现场的搬运。</w:t>
      </w:r>
    </w:p>
    <w:p w14:paraId="5521018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各种货物必须提供装箱清单，按装箱清单验收货物。</w:t>
      </w:r>
    </w:p>
    <w:p w14:paraId="1C5BC97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货物在现场的保管由</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供应商负责，直至项目安装、验收完毕。</w:t>
      </w:r>
    </w:p>
    <w:p w14:paraId="5D76BB5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货物在安装调试验收合格前的保险由</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w:t>
      </w:r>
      <w:r>
        <w:rPr>
          <w:rFonts w:hint="eastAsia" w:ascii="宋体" w:hAnsi="宋体" w:cs="宋体"/>
          <w:color w:val="auto"/>
          <w:sz w:val="22"/>
          <w:szCs w:val="22"/>
          <w:highlight w:val="none"/>
          <w:lang w:eastAsia="zh-CN"/>
        </w:rPr>
        <w:t>成交</w:t>
      </w:r>
      <w:r>
        <w:rPr>
          <w:rFonts w:hint="eastAsia" w:ascii="宋体" w:hAnsi="宋体" w:cs="宋体"/>
          <w:color w:val="auto"/>
          <w:sz w:val="22"/>
          <w:szCs w:val="22"/>
          <w:highlight w:val="none"/>
        </w:rPr>
        <w:t>供应商负责其派出的现场服务人员人身意外保险</w:t>
      </w:r>
      <w:r>
        <w:rPr>
          <w:rFonts w:hint="eastAsia" w:ascii="宋体" w:hAnsi="宋体" w:cs="宋体"/>
          <w:color w:val="auto"/>
          <w:sz w:val="22"/>
          <w:szCs w:val="22"/>
          <w:highlight w:val="none"/>
          <w:lang w:eastAsia="zh-CN"/>
        </w:rPr>
        <w:t>。</w:t>
      </w:r>
    </w:p>
    <w:p w14:paraId="77294D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对于技术人员为采购人服务期间因工作原因引起的各种工伤、安全事件和事故，采购人免负一切责任。</w:t>
      </w:r>
    </w:p>
    <w:p w14:paraId="38A7AF4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供应商须向采购人提供有关设备的安装、调试、使用、维修和保养所需的足够的中文技术文件（图纸、手册和技术资料等）。</w:t>
      </w:r>
    </w:p>
    <w:p w14:paraId="64D7B868">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供应商免费提供具备专业知识、技能和证书的人员为采购人进行设备合理使用的培训，保证培训的操作人员快速掌握相应的操作知识。具体培训时间由采购人另行通知。</w:t>
      </w:r>
    </w:p>
    <w:p w14:paraId="14A2BD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rPr>
          <w:rFonts w:hint="eastAsia" w:ascii="宋体" w:hAnsi="宋体" w:cs="宋体"/>
          <w:b/>
          <w:bCs/>
          <w:color w:val="auto"/>
          <w:sz w:val="22"/>
          <w:szCs w:val="22"/>
          <w:highlight w:val="none"/>
          <w:lang w:val="en-US" w:eastAsia="zh-CN"/>
        </w:rPr>
      </w:pPr>
      <w:r>
        <w:rPr>
          <w:rFonts w:hint="eastAsia" w:ascii="Times New Roman" w:hAnsi="Times New Roman" w:cs="Times New Roman"/>
          <w:b/>
          <w:bCs/>
          <w:color w:val="auto"/>
          <w:sz w:val="22"/>
          <w:szCs w:val="22"/>
          <w:highlight w:val="none"/>
          <w:lang w:eastAsia="zh-CN"/>
        </w:rPr>
        <w:t>九</w:t>
      </w:r>
      <w:r>
        <w:rPr>
          <w:rFonts w:hint="default" w:ascii="Times New Roman" w:hAnsi="Times New Roman" w:cs="Times New Roman"/>
          <w:b/>
          <w:bCs/>
          <w:color w:val="auto"/>
          <w:sz w:val="22"/>
          <w:szCs w:val="22"/>
          <w:highlight w:val="none"/>
        </w:rPr>
        <w:t>、</w:t>
      </w:r>
      <w:r>
        <w:rPr>
          <w:rFonts w:hint="eastAsia" w:ascii="宋体" w:hAnsi="宋体" w:cs="宋体"/>
          <w:b/>
          <w:bCs/>
          <w:color w:val="auto"/>
          <w:sz w:val="22"/>
          <w:szCs w:val="22"/>
          <w:highlight w:val="none"/>
          <w:lang w:val="en-US" w:eastAsia="zh-CN"/>
        </w:rPr>
        <w:t>交货要求</w:t>
      </w:r>
    </w:p>
    <w:p w14:paraId="2959559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成交供应商在货物生产或货物采购前，与采购人再次核对书面确认所采购的全部货物的颜色、尺寸、材质、数量等要素，双方确认作为日后验收标准之一。合同双方确认完成后，成交供应商才能进行生产或采购。若成交供应商在货物生产或采购前，未与采购人再次书面确认所采购的全部货物的相关要素而提前生产或采购的，采购人有权不予验收，因此造成双方的一切损失由成交供应商独自承担。</w:t>
      </w:r>
    </w:p>
    <w:p w14:paraId="7CE6F6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2、确保货物及所有配套件的完整性和可靠性。对于文件虽没有列出而对该货物的正常使用和维护必不可少的部件、配件等，成交供应商有责任给予完善补充、安装配置，且总报价已包含此部分内容。</w:t>
      </w:r>
    </w:p>
    <w:p w14:paraId="301B3B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由成交供应商负责按国家相关标准进行货物包装，货物的包装均做好良好的防湿、防锈、防潮、防雨、防腐及防碰撞的措施，并适宜本项目实施地点的气候条件。凡由于包装不良造成的损失和由此产生的费用均由成交供应商承担。</w:t>
      </w:r>
    </w:p>
    <w:p w14:paraId="33182B9C">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eastAsia" w:ascii="宋体" w:hAnsi="宋体" w:cs="宋体"/>
          <w:color w:val="auto"/>
          <w:sz w:val="22"/>
          <w:szCs w:val="22"/>
          <w:highlight w:val="none"/>
          <w:lang w:val="en-US" w:eastAsia="zh-CN"/>
        </w:rPr>
        <w:t>4、成交供应商交货时还应提供产品的合格证书、质检报告、质量保证书等相关资料，否则采购人有权拒收</w:t>
      </w:r>
    </w:p>
    <w:p w14:paraId="22216163">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十、其他要求</w:t>
      </w:r>
    </w:p>
    <w:p w14:paraId="3D048C1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1、本项目采购人不接受任何负偏离应标（符合国家规定的负偏离除外）。</w:t>
      </w:r>
    </w:p>
    <w:p w14:paraId="1D08801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项目提供的技术要求(规格)只是对产品的一些原则性要求，并不是最详尽的描述和要求，</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有责任依据相关设计技术规范和有关行业国家标准执行，无国家标准的，按行业标准执行；无国家和行业标准的，按企业标准执行；但在招标文件中有特别要求的，按招标文件中规定的要求执行，并且符合相关法律、法规规定的要求。</w:t>
      </w:r>
    </w:p>
    <w:p w14:paraId="3A420F2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投标产品的技术标准按国家标准执行，无国家标准的，按行业标准执行；无国家和行业标准的，按企业标准执行；但在招标文件中有特别要求的，按招标文件中规定的要求执行，并且符合相关法律、法规规定的要求。</w:t>
      </w:r>
    </w:p>
    <w:p w14:paraId="21506F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zh-CN"/>
        </w:rPr>
        <w:t>供应商应保证提供的产品不得侵犯第三方专利权、商标权和设计权、版权等。否则，供应商应负全部责任，并承担由此引起的一切后果。</w:t>
      </w:r>
    </w:p>
    <w:p w14:paraId="475D02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供应商应保证其货物在正确安装、正常使用下，在其使用寿命期内应具有满意的性能。</w:t>
      </w:r>
    </w:p>
    <w:p w14:paraId="5AAB317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、因产品的质量问题发生争议，送至国家认可的第三方检测机构进行质量鉴定。采购人与</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供应商认为有需要，可以共同提出或分别提出质量鉴定。产品符合质量标准的，鉴定费由采购人承担；产品不符合质量标准的，鉴定费由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供应商承担。</w:t>
      </w:r>
    </w:p>
    <w:p w14:paraId="160E761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供应商应积极配合采购人时间及管理，不得与采购人产生任何冲突，如若在合作过程中出现矛盾、冲突等情况，由</w:t>
      </w:r>
      <w:r>
        <w:rPr>
          <w:rFonts w:hint="eastAsia" w:ascii="宋体" w:hAnsi="宋体" w:cs="宋体"/>
          <w:color w:val="auto"/>
          <w:sz w:val="22"/>
          <w:szCs w:val="22"/>
          <w:highlight w:val="none"/>
          <w:lang w:eastAsia="zh-CN"/>
        </w:rPr>
        <w:t>成交</w:t>
      </w:r>
      <w:r>
        <w:rPr>
          <w:rFonts w:hint="eastAsia" w:ascii="宋体" w:hAnsi="宋体" w:eastAsia="宋体" w:cs="宋体"/>
          <w:color w:val="auto"/>
          <w:sz w:val="22"/>
          <w:szCs w:val="22"/>
          <w:highlight w:val="none"/>
        </w:rPr>
        <w:t>供应商负责并承担相应的法律责任。</w:t>
      </w:r>
    </w:p>
    <w:p w14:paraId="38EA77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必须按国家标准，为</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提供优质产品，保证所提供的产品符合国家环保标准，安全、无菌、无异味、无毒。由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供应商负责按国家相关标准进行货物包装，设备的包装均应有良好的防湿、防锈、防潮、防雨、防腐及防碰撞的措施，并适宜本项目实施地点的气候条件。凡由于包装不良造成的损失和由此产生的费用均由</w:t>
      </w:r>
      <w:r>
        <w:rPr>
          <w:rFonts w:hint="eastAsia" w:ascii="宋体" w:hAnsi="宋体" w:cs="宋体"/>
          <w:color w:val="auto"/>
          <w:sz w:val="22"/>
          <w:szCs w:val="22"/>
          <w:highlight w:val="none"/>
          <w:lang w:val="en-US" w:eastAsia="zh-CN"/>
        </w:rPr>
        <w:t>成交</w:t>
      </w:r>
      <w:r>
        <w:rPr>
          <w:rFonts w:hint="eastAsia" w:ascii="宋体" w:hAnsi="宋体" w:eastAsia="宋体" w:cs="宋体"/>
          <w:color w:val="auto"/>
          <w:sz w:val="22"/>
          <w:szCs w:val="22"/>
          <w:highlight w:val="none"/>
          <w:lang w:val="en-US" w:eastAsia="zh-CN"/>
        </w:rPr>
        <w:t>供应商承担。</w:t>
      </w:r>
    </w:p>
    <w:p w14:paraId="157E91A1">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一</w:t>
      </w:r>
      <w:r>
        <w:rPr>
          <w:rFonts w:hint="default" w:ascii="Times New Roman" w:hAnsi="Times New Roman" w:cs="Times New Roman"/>
          <w:b/>
          <w:bCs/>
          <w:color w:val="auto"/>
          <w:sz w:val="22"/>
          <w:szCs w:val="22"/>
          <w:highlight w:val="none"/>
        </w:rPr>
        <w:t>、交货要求</w:t>
      </w:r>
    </w:p>
    <w:p w14:paraId="7939046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成交供应商在货物生产或货物采购前，与采购人再次核对书面确认所采购的全部货物的颜色、尺寸、材质、数量等要素，双方确认作为日后验收标准之一。合同双方确认完成后，成交供应商才能进行生产或采购。若成交供应商在货物生产或采购前，未与采购人再次书面确认所采购的全部货物的相关要素而提前生产或采购的，采购人有权不予验收，因此造成双方的一切损失由成交供应商独自承担。</w:t>
      </w:r>
    </w:p>
    <w:p w14:paraId="1CA2392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2、确保货物及所有配套件的完整性和可靠性。对于文件虽没有列出而对该货物的正常使用和维护必不可少的部件、配件等，成交供应商有责任给予完善补充、安装配置，且总报价已包含此部分内容。</w:t>
      </w:r>
    </w:p>
    <w:p w14:paraId="31661BE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由成交供应商负责按国家相关标准进行货物包装，货物的包装均做好良好的防湿、防锈、防潮、防雨、防腐及防碰撞的措施，并适宜本项目实施地点的气候条件。凡由于包装不良造成的损失和由此产生的费用均由成交供应商承担。</w:t>
      </w:r>
    </w:p>
    <w:p w14:paraId="594F9CCC">
      <w:pPr>
        <w:snapToGrid w:val="0"/>
        <w:spacing w:line="460" w:lineRule="exact"/>
        <w:ind w:firstLine="440" w:firstLineChars="200"/>
        <w:rPr>
          <w:color w:val="auto"/>
          <w:sz w:val="22"/>
          <w:szCs w:val="22"/>
          <w:highlight w:val="none"/>
        </w:rPr>
      </w:pPr>
      <w:r>
        <w:rPr>
          <w:rFonts w:hint="eastAsia" w:ascii="宋体" w:hAnsi="宋体" w:cs="宋体"/>
          <w:color w:val="auto"/>
          <w:sz w:val="22"/>
          <w:szCs w:val="22"/>
          <w:highlight w:val="none"/>
          <w:lang w:val="en-US" w:eastAsia="zh-CN"/>
        </w:rPr>
        <w:t>4、成交供应商交货时还应提供产品的合格证书、质检报告、质量保证书等相关资料，否则采购人有权拒收。</w:t>
      </w:r>
    </w:p>
    <w:p w14:paraId="00C46A18">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二</w:t>
      </w:r>
      <w:r>
        <w:rPr>
          <w:rFonts w:hint="default" w:ascii="Times New Roman" w:hAnsi="Times New Roman" w:cs="Times New Roman"/>
          <w:b/>
          <w:bCs/>
          <w:color w:val="auto"/>
          <w:sz w:val="22"/>
          <w:szCs w:val="22"/>
          <w:highlight w:val="none"/>
        </w:rPr>
        <w:t>、支付方式</w:t>
      </w:r>
    </w:p>
    <w:p w14:paraId="10CD30C6">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（一）结算方式</w:t>
      </w:r>
    </w:p>
    <w:p w14:paraId="1F95C108">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在合同签订完成后，7个工作日内，甲方支付合同总价的10%；乙方按本合同约定供货，货物全部完成安装、调试并经最终验收合格，甲方支付至合同总价的80%；审计完成后，支付至审定价的97%，剩余3%留作质保金。保修期满且货物质量无问题，甲方在质保期满后20个工作日内向乙方退还质保金。</w:t>
      </w:r>
    </w:p>
    <w:p w14:paraId="33E368E3">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乙方</w:t>
      </w:r>
      <w:r>
        <w:rPr>
          <w:rFonts w:hint="eastAsia" w:ascii="Times New Roman" w:hAnsi="Times New Roman" w:eastAsia="宋体" w:cs="Times New Roman"/>
          <w:color w:val="auto"/>
          <w:sz w:val="22"/>
          <w:szCs w:val="22"/>
          <w:highlight w:val="none"/>
          <w:lang w:val="en-US" w:eastAsia="zh-CN"/>
        </w:rPr>
        <w:t>凭以下有效文件与</w:t>
      </w:r>
      <w:r>
        <w:rPr>
          <w:rFonts w:hint="eastAsia" w:cs="Times New Roman"/>
          <w:color w:val="auto"/>
          <w:sz w:val="22"/>
          <w:szCs w:val="22"/>
          <w:highlight w:val="none"/>
          <w:lang w:val="en-US" w:eastAsia="zh-CN"/>
        </w:rPr>
        <w:t>甲方</w:t>
      </w:r>
      <w:r>
        <w:rPr>
          <w:rFonts w:hint="eastAsia" w:ascii="Times New Roman" w:hAnsi="Times New Roman" w:eastAsia="宋体" w:cs="Times New Roman"/>
          <w:color w:val="auto"/>
          <w:sz w:val="22"/>
          <w:szCs w:val="22"/>
          <w:highlight w:val="none"/>
          <w:lang w:val="en-US" w:eastAsia="zh-CN"/>
        </w:rPr>
        <w:t>结算：①采购合同；②供应商开具的正式增值税发票；③验收调试报告（加盖甲方公章）；</w:t>
      </w:r>
    </w:p>
    <w:p w14:paraId="3ADC90F5">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（二）履约保证金</w:t>
      </w:r>
    </w:p>
    <w:p w14:paraId="58309BB4">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（1）本项目</w:t>
      </w:r>
      <w:r>
        <w:rPr>
          <w:rFonts w:hint="eastAsia" w:cs="Times New Roman"/>
          <w:color w:val="auto"/>
          <w:sz w:val="22"/>
          <w:szCs w:val="22"/>
          <w:highlight w:val="none"/>
          <w:lang w:eastAsia="zh-CN"/>
        </w:rPr>
        <w:t>成交</w:t>
      </w:r>
      <w:r>
        <w:rPr>
          <w:rFonts w:hint="default" w:ascii="Times New Roman" w:hAnsi="Times New Roman" w:cs="Times New Roman"/>
          <w:color w:val="auto"/>
          <w:sz w:val="22"/>
          <w:szCs w:val="22"/>
          <w:highlight w:val="none"/>
        </w:rPr>
        <w:t>后乙方须向甲方缴纳的履约保证金为项目</w:t>
      </w:r>
      <w:r>
        <w:rPr>
          <w:rFonts w:hint="eastAsia" w:cs="Times New Roman"/>
          <w:color w:val="auto"/>
          <w:sz w:val="22"/>
          <w:szCs w:val="22"/>
          <w:highlight w:val="none"/>
          <w:lang w:eastAsia="zh-CN"/>
        </w:rPr>
        <w:t>成交</w:t>
      </w:r>
      <w:r>
        <w:rPr>
          <w:rFonts w:hint="eastAsia" w:ascii="Times New Roman" w:hAnsi="Times New Roman" w:eastAsia="宋体" w:cs="Times New Roman"/>
          <w:color w:val="auto"/>
          <w:sz w:val="22"/>
          <w:szCs w:val="22"/>
          <w:highlight w:val="none"/>
          <w:lang w:eastAsia="zh-CN"/>
        </w:rPr>
        <w:t>价</w:t>
      </w:r>
      <w:r>
        <w:rPr>
          <w:rFonts w:hint="default" w:ascii="Times New Roman" w:hAnsi="Times New Roman" w:eastAsia="宋体" w:cs="Times New Roman"/>
          <w:color w:val="auto"/>
          <w:sz w:val="22"/>
          <w:szCs w:val="22"/>
          <w:highlight w:val="none"/>
        </w:rPr>
        <w:t>的</w:t>
      </w:r>
      <w:r>
        <w:rPr>
          <w:rFonts w:hint="eastAsia" w:cs="Times New Roman"/>
          <w:color w:val="auto"/>
          <w:sz w:val="22"/>
          <w:szCs w:val="22"/>
          <w:highlight w:val="none"/>
          <w:lang w:val="en-US" w:eastAsia="zh-CN"/>
        </w:rPr>
        <w:t>10</w:t>
      </w:r>
      <w:r>
        <w:rPr>
          <w:rFonts w:hint="default" w:ascii="Times New Roman" w:hAnsi="Times New Roman" w:eastAsia="宋体" w:cs="Times New Roman"/>
          <w:color w:val="auto"/>
          <w:sz w:val="22"/>
          <w:szCs w:val="22"/>
          <w:highlight w:val="none"/>
        </w:rPr>
        <w:t xml:space="preserve"> %，</w:t>
      </w:r>
      <w:r>
        <w:rPr>
          <w:rFonts w:hint="default" w:ascii="Times New Roman" w:hAnsi="Times New Roman" w:cs="Times New Roman"/>
          <w:color w:val="auto"/>
          <w:sz w:val="22"/>
          <w:szCs w:val="22"/>
          <w:highlight w:val="none"/>
        </w:rPr>
        <w:t>即人民币</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rPr>
        <w:t>元。</w:t>
      </w:r>
    </w:p>
    <w:p w14:paraId="0E01A6FF">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（2）乙方在按要求</w:t>
      </w:r>
      <w:r>
        <w:rPr>
          <w:rFonts w:hint="eastAsia" w:ascii="Times New Roman" w:hAnsi="Times New Roman" w:cs="Times New Roman"/>
          <w:color w:val="auto"/>
          <w:sz w:val="22"/>
          <w:szCs w:val="22"/>
          <w:highlight w:val="none"/>
          <w:lang w:eastAsia="zh-CN"/>
        </w:rPr>
        <w:t>保质保量地完成</w:t>
      </w:r>
      <w:r>
        <w:rPr>
          <w:rFonts w:hint="default" w:ascii="Times New Roman" w:hAnsi="Times New Roman" w:cs="Times New Roman"/>
          <w:color w:val="auto"/>
          <w:sz w:val="22"/>
          <w:szCs w:val="22"/>
          <w:highlight w:val="none"/>
        </w:rPr>
        <w:t>该项目合同并通过验收后，甲方凭</w:t>
      </w:r>
      <w:r>
        <w:rPr>
          <w:rFonts w:hint="eastAsia" w:cs="Times New Roman"/>
          <w:color w:val="auto"/>
          <w:sz w:val="22"/>
          <w:szCs w:val="22"/>
          <w:highlight w:val="none"/>
          <w:lang w:eastAsia="zh-CN"/>
        </w:rPr>
        <w:t>成交</w:t>
      </w:r>
      <w:r>
        <w:rPr>
          <w:rFonts w:hint="default" w:ascii="Times New Roman" w:hAnsi="Times New Roman" w:cs="Times New Roman"/>
          <w:color w:val="auto"/>
          <w:sz w:val="22"/>
          <w:szCs w:val="22"/>
          <w:highlight w:val="none"/>
          <w:lang w:eastAsia="zh-CN"/>
        </w:rPr>
        <w:t>供应商</w:t>
      </w:r>
      <w:r>
        <w:rPr>
          <w:rFonts w:hint="default" w:ascii="Times New Roman" w:hAnsi="Times New Roman" w:cs="Times New Roman"/>
          <w:color w:val="auto"/>
          <w:sz w:val="22"/>
          <w:szCs w:val="22"/>
          <w:highlight w:val="none"/>
        </w:rPr>
        <w:t>提交的申请，一次性退还该合同项目的履约保证金。</w:t>
      </w:r>
    </w:p>
    <w:p w14:paraId="5F5D4B7C">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（3）履约保证金不予退还的情形：由于乙方原因，在签订合同后出现不按合同履行的情况，甲方有权将履约保证金作为违约金，全额不予退还，同时甲方亦有权终止合同，乙方还须承担相应的法律赔偿责任。</w:t>
      </w:r>
    </w:p>
    <w:p w14:paraId="5CB9200C">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三</w:t>
      </w:r>
      <w:r>
        <w:rPr>
          <w:rFonts w:hint="default" w:ascii="Times New Roman" w:hAnsi="Times New Roman" w:cs="Times New Roman"/>
          <w:b/>
          <w:bCs/>
          <w:color w:val="auto"/>
          <w:sz w:val="22"/>
          <w:szCs w:val="22"/>
          <w:highlight w:val="none"/>
        </w:rPr>
        <w:t>、合同履约及纠纷解决</w:t>
      </w:r>
    </w:p>
    <w:p w14:paraId="1ADBD3DD">
      <w:pPr>
        <w:snapToGrid w:val="0"/>
        <w:spacing w:line="460" w:lineRule="exact"/>
        <w:ind w:firstLine="440" w:firstLineChars="200"/>
        <w:rPr>
          <w:color w:val="auto"/>
          <w:sz w:val="22"/>
          <w:szCs w:val="22"/>
          <w:highlight w:val="none"/>
        </w:rPr>
      </w:pPr>
      <w:r>
        <w:rPr>
          <w:color w:val="auto"/>
          <w:sz w:val="22"/>
          <w:szCs w:val="22"/>
          <w:highlight w:val="none"/>
        </w:rPr>
        <w:t>（一）乙方应当按照本合同约定履行义务，完成甲方下达的任务，乙方不得向他人转包甲方下达项目。一经发现，甲方有权立即终止本合同，并酌情扣除部分合同款，由此产生的法律责任和经济损失由乙方承担。</w:t>
      </w:r>
    </w:p>
    <w:p w14:paraId="26B37594">
      <w:pPr>
        <w:snapToGrid w:val="0"/>
        <w:spacing w:line="460" w:lineRule="exact"/>
        <w:ind w:firstLine="440" w:firstLineChars="200"/>
        <w:rPr>
          <w:color w:val="auto"/>
          <w:sz w:val="22"/>
          <w:szCs w:val="22"/>
          <w:highlight w:val="none"/>
        </w:rPr>
      </w:pPr>
      <w:r>
        <w:rPr>
          <w:color w:val="auto"/>
          <w:sz w:val="22"/>
          <w:szCs w:val="22"/>
          <w:highlight w:val="none"/>
        </w:rPr>
        <w:t>（二）合同期间，由于乙方完成任务不善受到处罚，或者由于乙方安全措施不力，违反安全操作规程而导致工伤事故，所发生的损失均由乙方自负，甲方保留延迟支付经费及追究责任的权力。</w:t>
      </w:r>
    </w:p>
    <w:p w14:paraId="01811BA0">
      <w:pPr>
        <w:snapToGrid w:val="0"/>
        <w:spacing w:line="460" w:lineRule="exact"/>
        <w:ind w:firstLine="440" w:firstLineChars="200"/>
        <w:rPr>
          <w:rFonts w:hint="eastAsia" w:eastAsia="宋体"/>
          <w:color w:val="auto"/>
          <w:sz w:val="22"/>
          <w:szCs w:val="22"/>
          <w:highlight w:val="none"/>
          <w:lang w:eastAsia="zh-CN"/>
        </w:rPr>
      </w:pPr>
      <w:r>
        <w:rPr>
          <w:color w:val="auto"/>
          <w:sz w:val="22"/>
          <w:szCs w:val="22"/>
          <w:highlight w:val="none"/>
        </w:rPr>
        <w:t>（三）双方均应当全面履行本合同确定的权</w:t>
      </w:r>
      <w:r>
        <w:rPr>
          <w:rFonts w:hint="eastAsia"/>
          <w:color w:val="auto"/>
          <w:sz w:val="22"/>
          <w:szCs w:val="22"/>
          <w:highlight w:val="none"/>
        </w:rPr>
        <w:t>利</w:t>
      </w:r>
      <w:r>
        <w:rPr>
          <w:color w:val="auto"/>
          <w:sz w:val="22"/>
          <w:szCs w:val="22"/>
          <w:highlight w:val="none"/>
        </w:rPr>
        <w:t>与义务，在合同履约过程中，双方如发生争议，应当协商解决。如双方不能通过友好协商解决，任何一方可向甲方所在地人民法院提起诉讼，法院审理期间，除提起诉讼的事项外，合同其余事项照常执行。</w:t>
      </w:r>
    </w:p>
    <w:p w14:paraId="68F24FDF">
      <w:pPr>
        <w:snapToGrid w:val="0"/>
        <w:spacing w:line="460" w:lineRule="exact"/>
        <w:ind w:firstLine="440" w:firstLineChars="200"/>
        <w:rPr>
          <w:color w:val="auto"/>
          <w:sz w:val="22"/>
          <w:szCs w:val="22"/>
          <w:highlight w:val="none"/>
        </w:rPr>
      </w:pPr>
      <w:r>
        <w:rPr>
          <w:color w:val="auto"/>
          <w:sz w:val="22"/>
          <w:szCs w:val="22"/>
          <w:highlight w:val="none"/>
        </w:rPr>
        <w:t>（四）本合同自双方法定代表人签字，加盖单位公章后生效，合同期满，双方款项结清后自动失效。</w:t>
      </w:r>
    </w:p>
    <w:p w14:paraId="0CB4A9E3">
      <w:pPr>
        <w:snapToGrid w:val="0"/>
        <w:spacing w:line="460" w:lineRule="exact"/>
        <w:ind w:firstLine="440" w:firstLineChars="200"/>
        <w:rPr>
          <w:color w:val="auto"/>
          <w:sz w:val="22"/>
          <w:szCs w:val="22"/>
          <w:highlight w:val="none"/>
        </w:rPr>
      </w:pPr>
      <w:r>
        <w:rPr>
          <w:color w:val="auto"/>
          <w:sz w:val="22"/>
          <w:szCs w:val="22"/>
          <w:highlight w:val="none"/>
        </w:rPr>
        <w:t>（五）违约责任：</w:t>
      </w:r>
    </w:p>
    <w:p w14:paraId="3BA1B9DD">
      <w:pPr>
        <w:snapToGrid w:val="0"/>
        <w:spacing w:line="460" w:lineRule="exact"/>
        <w:ind w:firstLine="440" w:firstLineChars="200"/>
        <w:rPr>
          <w:color w:val="auto"/>
          <w:sz w:val="22"/>
          <w:szCs w:val="22"/>
          <w:highlight w:val="none"/>
        </w:rPr>
      </w:pPr>
      <w:r>
        <w:rPr>
          <w:color w:val="auto"/>
          <w:sz w:val="22"/>
          <w:szCs w:val="22"/>
          <w:highlight w:val="none"/>
        </w:rPr>
        <w:t>1、甲方逾期支付费用的，每逾期一日，应按未支付金额的万分之四的标准支付违约金，违约金累计不超过合同总金额的5%。如甲方按约定已向财政部门办理付款申请手续的，则视为甲方已按约定依时付款。如因财政审批或拨款导致的延期支付，甲方不承担逾期付款的违约责任，乙方不能因此向甲方追究违约责任。</w:t>
      </w:r>
    </w:p>
    <w:p w14:paraId="4E9C4F70">
      <w:pPr>
        <w:snapToGrid w:val="0"/>
        <w:spacing w:line="460" w:lineRule="exact"/>
        <w:ind w:firstLine="442" w:firstLineChars="200"/>
        <w:rPr>
          <w:b/>
          <w:bCs/>
          <w:color w:val="auto"/>
          <w:sz w:val="22"/>
          <w:szCs w:val="22"/>
          <w:highlight w:val="none"/>
        </w:rPr>
      </w:pPr>
      <w:r>
        <w:rPr>
          <w:b/>
          <w:bCs/>
          <w:color w:val="auto"/>
          <w:sz w:val="22"/>
          <w:szCs w:val="22"/>
          <w:highlight w:val="none"/>
        </w:rPr>
        <w:t>2、乙方逾期提供货物或相应服务的，每逾期一日，</w:t>
      </w:r>
      <w:r>
        <w:rPr>
          <w:rFonts w:hint="eastAsia"/>
          <w:b/>
          <w:bCs/>
          <w:color w:val="auto"/>
          <w:sz w:val="22"/>
          <w:szCs w:val="22"/>
          <w:highlight w:val="none"/>
        </w:rPr>
        <w:t>需按本合同约定总金额的千分之四向甲方支付违约金，</w:t>
      </w:r>
      <w:r>
        <w:rPr>
          <w:b/>
          <w:bCs/>
          <w:color w:val="auto"/>
          <w:sz w:val="22"/>
          <w:szCs w:val="22"/>
          <w:highlight w:val="none"/>
        </w:rPr>
        <w:t>如乙方拒绝履行或逾期3日仍不履行的，甲方有权解除合同，乙方需退还已支付的费用，且乙方另需按本合同约定总金额的10%向甲方支付违约金。</w:t>
      </w:r>
    </w:p>
    <w:p w14:paraId="4327F37C">
      <w:pPr>
        <w:snapToGrid w:val="0"/>
        <w:spacing w:line="460" w:lineRule="exact"/>
        <w:ind w:firstLine="440" w:firstLineChars="200"/>
        <w:rPr>
          <w:color w:val="auto"/>
          <w:sz w:val="22"/>
          <w:szCs w:val="22"/>
          <w:highlight w:val="none"/>
        </w:rPr>
      </w:pPr>
      <w:r>
        <w:rPr>
          <w:color w:val="auto"/>
          <w:sz w:val="22"/>
          <w:szCs w:val="22"/>
          <w:highlight w:val="none"/>
        </w:rPr>
        <w:t>3、如乙方提供的货物或服务数量、规格、性能、质量等不合格的，乙方应在甲方指定的期限内无条件重新更换货品或重新提供相应的服务，如乙方拒绝履行或逾期3日仍不履行的，甲方有权解除合同，乙方需退还已支付的相应费用，且乙方另需按本合同约定总金额的10%向甲方支付违约金。</w:t>
      </w:r>
    </w:p>
    <w:p w14:paraId="55906E61">
      <w:pPr>
        <w:snapToGrid w:val="0"/>
        <w:spacing w:line="460" w:lineRule="exact"/>
        <w:ind w:firstLine="440" w:firstLineChars="200"/>
        <w:rPr>
          <w:color w:val="auto"/>
          <w:sz w:val="22"/>
          <w:szCs w:val="22"/>
          <w:highlight w:val="none"/>
        </w:rPr>
      </w:pPr>
      <w:r>
        <w:rPr>
          <w:color w:val="auto"/>
          <w:sz w:val="22"/>
          <w:szCs w:val="22"/>
          <w:highlight w:val="none"/>
        </w:rPr>
        <w:t>4、在合同履行期间，乙方必须按本合同或招询价响应文件的规定购买相关责任保险。如因非甲方原因发生安全事故或侵权事件的，乙方需赔偿由此给甲方造成的一切损失（包括但不限于直接经济损失、间接经济损失、律师费、调查费、公证费、诉讼费、保全费等）。</w:t>
      </w:r>
    </w:p>
    <w:p w14:paraId="57A58CEB">
      <w:pPr>
        <w:snapToGrid w:val="0"/>
        <w:spacing w:line="460" w:lineRule="exact"/>
        <w:ind w:firstLine="440" w:firstLineChars="200"/>
        <w:rPr>
          <w:color w:val="auto"/>
          <w:sz w:val="22"/>
          <w:szCs w:val="22"/>
          <w:highlight w:val="none"/>
        </w:rPr>
      </w:pPr>
      <w:r>
        <w:rPr>
          <w:color w:val="auto"/>
          <w:sz w:val="22"/>
          <w:szCs w:val="22"/>
          <w:highlight w:val="none"/>
        </w:rPr>
        <w:t>5、乙方为实施本项目所聘请的相关人员，如乙方违反本合同约定的，导致该等人员向甲方主张劳动权益，乙方应向甲方赔偿由此给甲方造</w:t>
      </w:r>
      <w:r>
        <w:rPr>
          <w:rFonts w:hint="eastAsia"/>
          <w:color w:val="auto"/>
          <w:sz w:val="22"/>
          <w:szCs w:val="22"/>
          <w:highlight w:val="none"/>
        </w:rPr>
        <w:t>成的</w:t>
      </w:r>
      <w:r>
        <w:rPr>
          <w:color w:val="auto"/>
          <w:sz w:val="22"/>
          <w:szCs w:val="22"/>
          <w:highlight w:val="none"/>
        </w:rPr>
        <w:t>一切损失。如经济损失无法计算的，乙方需按本合同约定的总金额的20%向甲方支付违约金。</w:t>
      </w:r>
    </w:p>
    <w:p w14:paraId="054EAADA">
      <w:pPr>
        <w:snapToGrid w:val="0"/>
        <w:spacing w:line="460" w:lineRule="exact"/>
        <w:ind w:firstLine="440" w:firstLineChars="200"/>
        <w:rPr>
          <w:color w:val="auto"/>
          <w:sz w:val="22"/>
          <w:szCs w:val="22"/>
          <w:highlight w:val="none"/>
        </w:rPr>
      </w:pPr>
      <w:r>
        <w:rPr>
          <w:color w:val="auto"/>
          <w:sz w:val="22"/>
          <w:szCs w:val="22"/>
          <w:highlight w:val="none"/>
        </w:rPr>
        <w:t>6、乙方所提供的设备应当不存在侵害第三方专利权、商标权等侵权，如因上述原因甲方使用设备所构成侵权的，由乙方承担全部责任。</w:t>
      </w:r>
    </w:p>
    <w:p w14:paraId="1C1B66F6">
      <w:pPr>
        <w:snapToGrid w:val="0"/>
        <w:spacing w:line="460" w:lineRule="exact"/>
        <w:ind w:firstLine="440" w:firstLineChars="200"/>
        <w:rPr>
          <w:color w:val="auto"/>
          <w:sz w:val="22"/>
          <w:szCs w:val="22"/>
          <w:highlight w:val="none"/>
        </w:rPr>
      </w:pPr>
      <w:r>
        <w:rPr>
          <w:color w:val="auto"/>
          <w:sz w:val="22"/>
          <w:szCs w:val="22"/>
          <w:highlight w:val="none"/>
        </w:rPr>
        <w:t>7、除非获得甲方书面同意，乙方不得向第三方透露对于在合作过程中知悉的甲方的商业秘密亦相互负有保密的义务，乙方应向甲方赔偿由此给甲方造</w:t>
      </w:r>
      <w:r>
        <w:rPr>
          <w:rFonts w:hint="eastAsia"/>
          <w:color w:val="auto"/>
          <w:sz w:val="22"/>
          <w:szCs w:val="22"/>
          <w:highlight w:val="none"/>
        </w:rPr>
        <w:t>成的</w:t>
      </w:r>
      <w:r>
        <w:rPr>
          <w:color w:val="auto"/>
          <w:sz w:val="22"/>
          <w:szCs w:val="22"/>
          <w:highlight w:val="none"/>
        </w:rPr>
        <w:t>一切损失。</w:t>
      </w:r>
    </w:p>
    <w:p w14:paraId="1D6F2BD1">
      <w:pPr>
        <w:snapToGrid w:val="0"/>
        <w:spacing w:line="460" w:lineRule="exact"/>
        <w:ind w:firstLine="440" w:firstLineChars="200"/>
        <w:rPr>
          <w:color w:val="auto"/>
          <w:sz w:val="22"/>
          <w:szCs w:val="22"/>
          <w:highlight w:val="none"/>
        </w:rPr>
      </w:pPr>
      <w:r>
        <w:rPr>
          <w:color w:val="auto"/>
          <w:sz w:val="22"/>
          <w:szCs w:val="22"/>
          <w:highlight w:val="none"/>
        </w:rPr>
        <w:t>8、乙方违反合同其他义务的，应按合同总金额5%的标准支付违约金，违约金不足以弥补实际损失的，甲方有权继续请求赔偿不足部分。</w:t>
      </w:r>
    </w:p>
    <w:p w14:paraId="028025BB">
      <w:pPr>
        <w:snapToGrid w:val="0"/>
        <w:spacing w:line="460" w:lineRule="exact"/>
        <w:ind w:firstLine="440" w:firstLineChars="200"/>
        <w:rPr>
          <w:color w:val="auto"/>
          <w:sz w:val="22"/>
          <w:szCs w:val="22"/>
          <w:highlight w:val="none"/>
        </w:rPr>
      </w:pPr>
      <w:r>
        <w:rPr>
          <w:color w:val="auto"/>
          <w:sz w:val="22"/>
          <w:szCs w:val="22"/>
          <w:highlight w:val="none"/>
        </w:rPr>
        <w:t>9、在合同期内，如因非甲方原因提前解除合同的，乙方除返还甲方已付费用外，还需按本合同约定总金额的20%向乙方支付违约金。</w:t>
      </w:r>
    </w:p>
    <w:p w14:paraId="2AAC31C1">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eastAsia="仿宋_GB2312"/>
          <w:color w:val="auto"/>
          <w:sz w:val="22"/>
          <w:szCs w:val="22"/>
          <w:highlight w:val="none"/>
          <w:lang w:val="en-US" w:eastAsia="zh-CN"/>
        </w:rPr>
      </w:pPr>
      <w:r>
        <w:rPr>
          <w:color w:val="auto"/>
          <w:sz w:val="22"/>
          <w:szCs w:val="22"/>
          <w:highlight w:val="none"/>
        </w:rPr>
        <w:t>10、乙方违约或乙方任何其他原因造成甲方损失及/或甲方被追索的及/或承担责任的，甲方有权直接从合同款中扣除乙方应支付甲方的违约金、赔偿金。</w:t>
      </w:r>
    </w:p>
    <w:p w14:paraId="1CC505B9">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四</w:t>
      </w:r>
      <w:r>
        <w:rPr>
          <w:rFonts w:hint="default" w:ascii="Times New Roman" w:hAnsi="Times New Roman" w:cs="Times New Roman"/>
          <w:b/>
          <w:bCs/>
          <w:color w:val="auto"/>
          <w:sz w:val="22"/>
          <w:szCs w:val="22"/>
          <w:highlight w:val="none"/>
        </w:rPr>
        <w:t>、不可抗力</w:t>
      </w:r>
    </w:p>
    <w:p w14:paraId="036A0880">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任何一方由于不可</w:t>
      </w:r>
      <w:r>
        <w:rPr>
          <w:rFonts w:hint="default" w:ascii="宋体" w:hAnsi="宋体" w:eastAsia="宋体" w:cs="宋体"/>
          <w:color w:val="auto"/>
          <w:kern w:val="2"/>
          <w:sz w:val="22"/>
          <w:szCs w:val="22"/>
          <w:highlight w:val="none"/>
          <w:lang w:val="en-US" w:eastAsia="zh-CN" w:bidi="ar-SA"/>
        </w:rPr>
        <w:t>抗力原因，例如战争、罢工、台风、泥石流、地震、重大疫情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9B0D3DF">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五</w:t>
      </w:r>
      <w:r>
        <w:rPr>
          <w:rFonts w:hint="default" w:ascii="Times New Roman" w:hAnsi="Times New Roman" w:cs="Times New Roman"/>
          <w:b/>
          <w:bCs/>
          <w:color w:val="auto"/>
          <w:sz w:val="22"/>
          <w:szCs w:val="22"/>
          <w:highlight w:val="none"/>
        </w:rPr>
        <w:t>、税费</w:t>
      </w:r>
    </w:p>
    <w:p w14:paraId="49B41A71">
      <w:pPr>
        <w:keepNext w:val="0"/>
        <w:keepLines w:val="0"/>
        <w:pageBreakBefore w:val="0"/>
        <w:widowControl w:val="0"/>
        <w:kinsoku/>
        <w:wordWrap/>
        <w:overflowPunct/>
        <w:topLinePunct w:val="0"/>
        <w:autoSpaceDE/>
        <w:autoSpaceDN/>
        <w:bidi w:val="0"/>
        <w:snapToGrid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在中国境内、外发生的与本合同执行有关的一切税费均由乙方负担。</w:t>
      </w:r>
    </w:p>
    <w:p w14:paraId="3352B958">
      <w:pPr>
        <w:keepNext w:val="0"/>
        <w:keepLines w:val="0"/>
        <w:pageBreakBefore w:val="0"/>
        <w:widowControl w:val="0"/>
        <w:kinsoku/>
        <w:wordWrap/>
        <w:overflowPunct/>
        <w:topLinePunct w:val="0"/>
        <w:autoSpaceDE/>
        <w:autoSpaceDN/>
        <w:bidi w:val="0"/>
        <w:snapToGrid w:val="0"/>
        <w:spacing w:line="460" w:lineRule="exact"/>
        <w:ind w:left="0" w:leftChars="0" w:firstLine="442"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十</w:t>
      </w:r>
      <w:r>
        <w:rPr>
          <w:rFonts w:hint="eastAsia" w:ascii="Times New Roman" w:hAnsi="Times New Roman" w:cs="Times New Roman"/>
          <w:b/>
          <w:bCs/>
          <w:color w:val="auto"/>
          <w:sz w:val="22"/>
          <w:szCs w:val="22"/>
          <w:highlight w:val="none"/>
          <w:lang w:eastAsia="zh-CN"/>
        </w:rPr>
        <w:t>六</w:t>
      </w:r>
      <w:r>
        <w:rPr>
          <w:rFonts w:hint="default" w:ascii="Times New Roman" w:hAnsi="Times New Roman" w:cs="Times New Roman"/>
          <w:b/>
          <w:bCs/>
          <w:color w:val="auto"/>
          <w:sz w:val="22"/>
          <w:szCs w:val="22"/>
          <w:highlight w:val="none"/>
        </w:rPr>
        <w:t>、其他</w:t>
      </w:r>
    </w:p>
    <w:p w14:paraId="132EF71D">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lang w:bidi="ar"/>
        </w:rPr>
      </w:pPr>
      <w:r>
        <w:rPr>
          <w:rFonts w:hint="default" w:ascii="Times New Roman" w:hAnsi="Times New Roman" w:cs="Times New Roman"/>
          <w:color w:val="auto"/>
          <w:sz w:val="22"/>
          <w:szCs w:val="22"/>
          <w:highlight w:val="none"/>
          <w:lang w:bidi="ar"/>
        </w:rPr>
        <w:t>1、本合同所有附件、</w:t>
      </w:r>
      <w:r>
        <w:rPr>
          <w:rFonts w:hint="default" w:ascii="Times New Roman" w:hAnsi="Times New Roman" w:cs="Times New Roman"/>
          <w:color w:val="auto"/>
          <w:sz w:val="22"/>
          <w:szCs w:val="22"/>
          <w:highlight w:val="none"/>
          <w:lang w:eastAsia="zh-CN" w:bidi="ar"/>
        </w:rPr>
        <w:t>询价文件</w:t>
      </w:r>
      <w:r>
        <w:rPr>
          <w:rFonts w:hint="default" w:ascii="Times New Roman" w:hAnsi="Times New Roman" w:cs="Times New Roman"/>
          <w:color w:val="auto"/>
          <w:sz w:val="22"/>
          <w:szCs w:val="22"/>
          <w:highlight w:val="none"/>
          <w:lang w:bidi="ar"/>
        </w:rPr>
        <w:t>、</w:t>
      </w:r>
      <w:r>
        <w:rPr>
          <w:rFonts w:hint="default" w:ascii="Times New Roman" w:hAnsi="Times New Roman" w:cs="Times New Roman"/>
          <w:color w:val="auto"/>
          <w:sz w:val="22"/>
          <w:szCs w:val="22"/>
          <w:highlight w:val="none"/>
          <w:lang w:eastAsia="zh-CN" w:bidi="ar"/>
        </w:rPr>
        <w:t>询价响应文件</w:t>
      </w:r>
      <w:r>
        <w:rPr>
          <w:rFonts w:hint="default" w:ascii="Times New Roman" w:hAnsi="Times New Roman" w:cs="Times New Roman"/>
          <w:color w:val="auto"/>
          <w:sz w:val="22"/>
          <w:szCs w:val="22"/>
          <w:highlight w:val="none"/>
          <w:lang w:bidi="ar"/>
        </w:rPr>
        <w:t>、</w:t>
      </w:r>
      <w:r>
        <w:rPr>
          <w:rFonts w:hint="eastAsia" w:cs="Times New Roman"/>
          <w:color w:val="auto"/>
          <w:sz w:val="22"/>
          <w:szCs w:val="22"/>
          <w:highlight w:val="none"/>
          <w:lang w:eastAsia="zh-CN" w:bidi="ar"/>
        </w:rPr>
        <w:t>成交</w:t>
      </w:r>
      <w:r>
        <w:rPr>
          <w:rFonts w:hint="default" w:ascii="Times New Roman" w:hAnsi="Times New Roman" w:cs="Times New Roman"/>
          <w:color w:val="auto"/>
          <w:sz w:val="22"/>
          <w:szCs w:val="22"/>
          <w:highlight w:val="none"/>
          <w:lang w:eastAsia="zh-CN" w:bidi="ar"/>
        </w:rPr>
        <w:t>通知书</w:t>
      </w:r>
      <w:r>
        <w:rPr>
          <w:rFonts w:hint="default" w:ascii="Times New Roman" w:hAnsi="Times New Roman" w:cs="Times New Roman"/>
          <w:color w:val="auto"/>
          <w:sz w:val="22"/>
          <w:szCs w:val="22"/>
          <w:highlight w:val="none"/>
          <w:lang w:bidi="ar"/>
        </w:rPr>
        <w:t>均为合同的有效组成部分，与本合同具有同等法律效力。</w:t>
      </w:r>
    </w:p>
    <w:p w14:paraId="26B930B5">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lang w:bidi="ar"/>
        </w:rPr>
      </w:pPr>
      <w:r>
        <w:rPr>
          <w:rFonts w:hint="default" w:ascii="Times New Roman" w:hAnsi="Times New Roman" w:cs="Times New Roman"/>
          <w:color w:val="auto"/>
          <w:sz w:val="22"/>
          <w:szCs w:val="22"/>
          <w:highlight w:val="none"/>
          <w:lang w:bidi="ar"/>
        </w:rPr>
        <w:t>2、在执行本合同的过程中，所有经双方签署确认的文件（包括会议纪要、补充协议、往来信函）即成为本合同的有效组成部分。</w:t>
      </w:r>
    </w:p>
    <w:p w14:paraId="49EAB9D5">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lang w:bidi="ar"/>
        </w:rPr>
      </w:pPr>
      <w:r>
        <w:rPr>
          <w:rFonts w:hint="default" w:ascii="Times New Roman" w:hAnsi="Times New Roman" w:cs="Times New Roman"/>
          <w:color w:val="auto"/>
          <w:sz w:val="22"/>
          <w:szCs w:val="22"/>
          <w:highlight w:val="none"/>
          <w:lang w:bidi="ar"/>
        </w:rPr>
        <w:t>3、如一方地址、电话、传真号码有变更，应在变更当日内书面通知对方，否则，应承担相应责任。</w:t>
      </w:r>
    </w:p>
    <w:p w14:paraId="79978251">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bidi="ar"/>
        </w:rPr>
        <w:t>4、除甲方事先书面同意外，乙方不得部分或全部转让其应履行的合同项下的义务。</w:t>
      </w:r>
    </w:p>
    <w:p w14:paraId="7314368D">
      <w:pPr>
        <w:keepNext w:val="0"/>
        <w:keepLines w:val="0"/>
        <w:pageBreakBefore w:val="0"/>
        <w:widowControl w:val="0"/>
        <w:kinsoku/>
        <w:wordWrap/>
        <w:overflowPunct/>
        <w:topLinePunct w:val="0"/>
        <w:autoSpaceDE/>
        <w:autoSpaceDN/>
        <w:bidi w:val="0"/>
        <w:spacing w:line="460" w:lineRule="exact"/>
        <w:ind w:left="0" w:leftChars="0" w:firstLine="442" w:firstLineChars="200"/>
        <w:rPr>
          <w:rFonts w:hint="default" w:ascii="Times New Roman" w:hAnsi="Times New Roman" w:cs="Times New Roman"/>
          <w:b/>
          <w:color w:val="auto"/>
          <w:sz w:val="22"/>
          <w:szCs w:val="22"/>
          <w:highlight w:val="none"/>
        </w:rPr>
      </w:pPr>
      <w:r>
        <w:rPr>
          <w:rFonts w:hint="default" w:ascii="Times New Roman" w:hAnsi="Times New Roman" w:cs="Times New Roman"/>
          <w:b/>
          <w:color w:val="auto"/>
          <w:kern w:val="0"/>
          <w:sz w:val="22"/>
          <w:szCs w:val="22"/>
          <w:highlight w:val="none"/>
        </w:rPr>
        <w:t>十</w:t>
      </w:r>
      <w:r>
        <w:rPr>
          <w:rFonts w:hint="eastAsia" w:ascii="Times New Roman" w:hAnsi="Times New Roman" w:cs="Times New Roman"/>
          <w:b/>
          <w:color w:val="auto"/>
          <w:kern w:val="0"/>
          <w:sz w:val="22"/>
          <w:szCs w:val="22"/>
          <w:highlight w:val="none"/>
          <w:lang w:eastAsia="zh-CN"/>
        </w:rPr>
        <w:t>七</w:t>
      </w:r>
      <w:r>
        <w:rPr>
          <w:rFonts w:hint="default" w:ascii="Times New Roman" w:hAnsi="Times New Roman" w:cs="Times New Roman"/>
          <w:b/>
          <w:color w:val="auto"/>
          <w:kern w:val="0"/>
          <w:sz w:val="22"/>
          <w:szCs w:val="22"/>
          <w:highlight w:val="none"/>
        </w:rPr>
        <w:t>、</w:t>
      </w:r>
      <w:r>
        <w:rPr>
          <w:rFonts w:hint="default" w:ascii="Times New Roman" w:hAnsi="Times New Roman" w:cs="Times New Roman"/>
          <w:b/>
          <w:color w:val="auto"/>
          <w:sz w:val="22"/>
          <w:szCs w:val="22"/>
          <w:highlight w:val="none"/>
        </w:rPr>
        <w:t>政策变动要求</w:t>
      </w:r>
    </w:p>
    <w:p w14:paraId="03676DA8">
      <w:pPr>
        <w:keepNext w:val="0"/>
        <w:keepLines w:val="0"/>
        <w:pageBreakBefore w:val="0"/>
        <w:widowControl w:val="0"/>
        <w:tabs>
          <w:tab w:val="left" w:pos="540"/>
          <w:tab w:val="left" w:pos="574"/>
          <w:tab w:val="left" w:pos="1680"/>
        </w:tabs>
        <w:kinsoku/>
        <w:wordWrap/>
        <w:overflowPunct/>
        <w:topLinePunct w:val="0"/>
        <w:autoSpaceDE/>
        <w:autoSpaceDN/>
        <w:bidi w:val="0"/>
        <w:adjustRightInd w:val="0"/>
        <w:snapToGrid w:val="0"/>
        <w:spacing w:line="460" w:lineRule="exact"/>
        <w:ind w:left="0" w:leftChars="0" w:firstLine="440" w:firstLineChars="200"/>
        <w:rPr>
          <w:rFonts w:hint="default" w:ascii="Times New Roman" w:hAnsi="Times New Roman" w:cs="Times New Roman"/>
          <w:color w:val="auto"/>
          <w:sz w:val="22"/>
          <w:szCs w:val="22"/>
          <w:highlight w:val="none"/>
        </w:rPr>
      </w:pPr>
      <w:bookmarkStart w:id="6" w:name="_Toc2088"/>
      <w:r>
        <w:rPr>
          <w:rFonts w:hint="default" w:ascii="Times New Roman" w:hAnsi="Times New Roman" w:cs="Times New Roman"/>
          <w:color w:val="auto"/>
          <w:sz w:val="22"/>
          <w:szCs w:val="22"/>
          <w:highlight w:val="none"/>
        </w:rPr>
        <w:t>在项目实施过程中，若涉及国家或地方政策变动，按国家或地方最新政策执行。</w:t>
      </w:r>
      <w:bookmarkEnd w:id="6"/>
    </w:p>
    <w:p w14:paraId="6A4F1DA4">
      <w:pPr>
        <w:keepNext w:val="0"/>
        <w:keepLines w:val="0"/>
        <w:pageBreakBefore w:val="0"/>
        <w:widowControl w:val="0"/>
        <w:kinsoku/>
        <w:wordWrap/>
        <w:overflowPunct/>
        <w:topLinePunct w:val="0"/>
        <w:autoSpaceDE/>
        <w:autoSpaceDN/>
        <w:bidi w:val="0"/>
        <w:spacing w:line="460" w:lineRule="exact"/>
        <w:ind w:left="0" w:leftChars="0" w:firstLine="442" w:firstLineChars="200"/>
        <w:rPr>
          <w:rFonts w:hint="default" w:ascii="Times New Roman" w:hAnsi="Times New Roman" w:cs="Times New Roman"/>
          <w:b/>
          <w:color w:val="auto"/>
          <w:kern w:val="0"/>
          <w:sz w:val="22"/>
          <w:szCs w:val="22"/>
          <w:highlight w:val="none"/>
        </w:rPr>
      </w:pPr>
      <w:r>
        <w:rPr>
          <w:rFonts w:hint="default" w:ascii="Times New Roman" w:hAnsi="Times New Roman" w:cs="Times New Roman"/>
          <w:b/>
          <w:color w:val="auto"/>
          <w:kern w:val="0"/>
          <w:sz w:val="22"/>
          <w:szCs w:val="22"/>
          <w:highlight w:val="none"/>
        </w:rPr>
        <w:t>十</w:t>
      </w:r>
      <w:r>
        <w:rPr>
          <w:rFonts w:hint="eastAsia" w:ascii="Times New Roman" w:hAnsi="Times New Roman" w:cs="Times New Roman"/>
          <w:b/>
          <w:color w:val="auto"/>
          <w:kern w:val="0"/>
          <w:sz w:val="22"/>
          <w:szCs w:val="22"/>
          <w:highlight w:val="none"/>
          <w:lang w:eastAsia="zh-CN"/>
        </w:rPr>
        <w:t>八</w:t>
      </w:r>
      <w:r>
        <w:rPr>
          <w:rFonts w:hint="default" w:ascii="Times New Roman" w:hAnsi="Times New Roman" w:cs="Times New Roman"/>
          <w:b/>
          <w:color w:val="auto"/>
          <w:kern w:val="0"/>
          <w:sz w:val="22"/>
          <w:szCs w:val="22"/>
          <w:highlight w:val="none"/>
        </w:rPr>
        <w:t>、合同生效</w:t>
      </w:r>
    </w:p>
    <w:p w14:paraId="70434C2A">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bCs/>
          <w:color w:val="auto"/>
          <w:sz w:val="22"/>
          <w:szCs w:val="22"/>
          <w:highlight w:val="none"/>
        </w:rPr>
      </w:pPr>
      <w:r>
        <w:rPr>
          <w:rFonts w:hint="default" w:ascii="Times New Roman" w:hAnsi="Times New Roman" w:cs="Times New Roman"/>
          <w:color w:val="auto"/>
          <w:sz w:val="22"/>
          <w:szCs w:val="22"/>
          <w:highlight w:val="none"/>
        </w:rPr>
        <w:t>本合同一式</w:t>
      </w:r>
      <w:r>
        <w:rPr>
          <w:rFonts w:hint="default" w:ascii="Times New Roman" w:hAnsi="Times New Roman" w:cs="Times New Roman"/>
          <w:color w:val="auto"/>
          <w:sz w:val="22"/>
          <w:szCs w:val="22"/>
          <w:highlight w:val="none"/>
          <w:u w:val="single"/>
        </w:rPr>
        <w:t xml:space="preserve"> </w:t>
      </w:r>
      <w:r>
        <w:rPr>
          <w:rFonts w:hint="eastAsia" w:ascii="Times New Roman" w:hAnsi="Times New Roman" w:cs="Times New Roman"/>
          <w:b/>
          <w:bCs/>
          <w:color w:val="auto"/>
          <w:sz w:val="22"/>
          <w:szCs w:val="22"/>
          <w:highlight w:val="none"/>
          <w:u w:val="single"/>
          <w:lang w:val="en-US" w:eastAsia="zh-CN"/>
        </w:rPr>
        <w:t>陆</w:t>
      </w:r>
      <w:r>
        <w:rPr>
          <w:rFonts w:hint="default" w:ascii="Times New Roman" w:hAnsi="Times New Roman" w:cs="Times New Roman"/>
          <w:b/>
          <w:bCs/>
          <w:color w:val="auto"/>
          <w:sz w:val="22"/>
          <w:szCs w:val="22"/>
          <w:highlight w:val="none"/>
          <w:u w:val="single"/>
        </w:rPr>
        <w:t xml:space="preserve"> </w:t>
      </w:r>
      <w:r>
        <w:rPr>
          <w:rFonts w:hint="default" w:ascii="Times New Roman" w:hAnsi="Times New Roman" w:cs="Times New Roman"/>
          <w:color w:val="auto"/>
          <w:sz w:val="22"/>
          <w:szCs w:val="22"/>
          <w:highlight w:val="none"/>
        </w:rPr>
        <w:t>份，具有同等法律效力，</w:t>
      </w:r>
      <w:r>
        <w:rPr>
          <w:rFonts w:hint="default" w:ascii="Times New Roman" w:hAnsi="Times New Roman" w:cs="Times New Roman"/>
          <w:bCs/>
          <w:color w:val="auto"/>
          <w:sz w:val="22"/>
          <w:szCs w:val="22"/>
          <w:highlight w:val="none"/>
        </w:rPr>
        <w:t>甲、乙双方各</w:t>
      </w:r>
      <w:r>
        <w:rPr>
          <w:rFonts w:hint="default" w:ascii="Times New Roman" w:hAnsi="Times New Roman" w:cs="Times New Roman"/>
          <w:bCs/>
          <w:color w:val="auto"/>
          <w:sz w:val="22"/>
          <w:szCs w:val="22"/>
          <w:highlight w:val="none"/>
          <w:u w:val="single"/>
        </w:rPr>
        <w:t xml:space="preserve"> </w:t>
      </w:r>
      <w:r>
        <w:rPr>
          <w:rFonts w:hint="default" w:ascii="Times New Roman" w:hAnsi="Times New Roman" w:cs="Times New Roman"/>
          <w:b/>
          <w:color w:val="auto"/>
          <w:sz w:val="22"/>
          <w:szCs w:val="22"/>
          <w:highlight w:val="none"/>
          <w:u w:val="single"/>
        </w:rPr>
        <w:t>叁</w:t>
      </w:r>
      <w:r>
        <w:rPr>
          <w:rFonts w:hint="default" w:ascii="Times New Roman" w:hAnsi="Times New Roman" w:cs="Times New Roman"/>
          <w:bCs/>
          <w:color w:val="auto"/>
          <w:sz w:val="22"/>
          <w:szCs w:val="22"/>
          <w:highlight w:val="none"/>
          <w:u w:val="single"/>
        </w:rPr>
        <w:t xml:space="preserve"> </w:t>
      </w:r>
      <w:r>
        <w:rPr>
          <w:rFonts w:hint="default" w:ascii="Times New Roman" w:hAnsi="Times New Roman" w:cs="Times New Roman"/>
          <w:bCs/>
          <w:color w:val="auto"/>
          <w:sz w:val="22"/>
          <w:szCs w:val="22"/>
          <w:highlight w:val="none"/>
        </w:rPr>
        <w:t>份。</w:t>
      </w:r>
    </w:p>
    <w:p w14:paraId="79542246">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合同自甲乙双方签字盖章之日起生效。</w:t>
      </w:r>
    </w:p>
    <w:p w14:paraId="6D4FE021">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本合同未尽事宜，由双方协商处理。</w:t>
      </w:r>
    </w:p>
    <w:p w14:paraId="347E16C1">
      <w:pPr>
        <w:keepNext w:val="0"/>
        <w:keepLines w:val="0"/>
        <w:pageBreakBefore w:val="0"/>
        <w:widowControl w:val="0"/>
        <w:kinsoku/>
        <w:wordWrap/>
        <w:overflowPunct/>
        <w:topLinePunct w:val="0"/>
        <w:autoSpaceDE/>
        <w:autoSpaceDN/>
        <w:bidi w:val="0"/>
        <w:spacing w:line="460" w:lineRule="exact"/>
        <w:ind w:left="0" w:leftChars="0" w:firstLine="440" w:firstLineChars="20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（以下无正文）</w:t>
      </w:r>
    </w:p>
    <w:p w14:paraId="22A9402B">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p>
    <w:p w14:paraId="14540E0F">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甲方：                               乙方：</w:t>
      </w:r>
    </w:p>
    <w:p w14:paraId="192F9244">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法定代表人：                         法定代表人：</w:t>
      </w:r>
    </w:p>
    <w:p w14:paraId="6C218BFA">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签约代表：</w:t>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 xml:space="preserve">     签约代表：</w:t>
      </w:r>
    </w:p>
    <w:p w14:paraId="058AE37D">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地址：                               地址：</w:t>
      </w:r>
    </w:p>
    <w:p w14:paraId="447E10E1">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电话：　　                         　电话：</w:t>
      </w:r>
    </w:p>
    <w:p w14:paraId="13A61250">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传真：　　                         　传真：</w:t>
      </w:r>
    </w:p>
    <w:p w14:paraId="6D22E2C3">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开户银行：</w:t>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 xml:space="preserve">     开户银行：</w:t>
      </w:r>
    </w:p>
    <w:p w14:paraId="4147EA54">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开户名称：</w:t>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 xml:space="preserve">     开户名称：</w:t>
      </w:r>
    </w:p>
    <w:p w14:paraId="6D730AE8">
      <w:pPr>
        <w:keepNext w:val="0"/>
        <w:keepLines w:val="0"/>
        <w:pageBreakBefore w:val="0"/>
        <w:widowControl w:val="0"/>
        <w:kinsoku/>
        <w:wordWrap/>
        <w:overflowPunct/>
        <w:topLinePunct w:val="0"/>
        <w:autoSpaceDE/>
        <w:autoSpaceDN/>
        <w:bidi w:val="0"/>
        <w:spacing w:line="460" w:lineRule="exact"/>
        <w:ind w:left="0" w:leftChars="0"/>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银行账号：</w:t>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ab/>
      </w:r>
      <w:r>
        <w:rPr>
          <w:rFonts w:hint="default" w:ascii="Times New Roman" w:hAnsi="Times New Roman" w:cs="Times New Roman"/>
          <w:bCs/>
          <w:color w:val="auto"/>
          <w:sz w:val="22"/>
          <w:szCs w:val="22"/>
          <w:highlight w:val="none"/>
        </w:rPr>
        <w:t xml:space="preserve">     银行账号：</w:t>
      </w:r>
    </w:p>
    <w:p w14:paraId="4763633B">
      <w:pPr>
        <w:keepNext w:val="0"/>
        <w:keepLines w:val="0"/>
        <w:pageBreakBefore w:val="0"/>
        <w:widowControl w:val="0"/>
        <w:kinsoku/>
        <w:wordWrap/>
        <w:overflowPunct/>
        <w:topLinePunct w:val="0"/>
        <w:autoSpaceDE/>
        <w:autoSpaceDN/>
        <w:bidi w:val="0"/>
        <w:spacing w:line="460" w:lineRule="exact"/>
        <w:rPr>
          <w:rFonts w:hint="default" w:ascii="Times New Roman" w:hAnsi="Times New Roman" w:cs="Times New Roman"/>
          <w:color w:val="auto"/>
          <w:kern w:val="0"/>
          <w:sz w:val="22"/>
          <w:szCs w:val="22"/>
          <w:highlight w:val="none"/>
        </w:rPr>
      </w:pPr>
      <w:r>
        <w:rPr>
          <w:rFonts w:hint="default" w:ascii="Times New Roman" w:hAnsi="Times New Roman" w:cs="Times New Roman"/>
          <w:bCs/>
          <w:color w:val="auto"/>
          <w:sz w:val="22"/>
          <w:szCs w:val="22"/>
          <w:highlight w:val="none"/>
        </w:rPr>
        <w:t>签约日期：    年  月  日</w:t>
      </w:r>
    </w:p>
    <w:p w14:paraId="08AAEBFA">
      <w:pPr>
        <w:rPr>
          <w:rFonts w:hint="eastAsia" w:ascii="仿宋_GB2312" w:hAnsi="宋体" w:eastAsia="仿宋_GB2312"/>
          <w:b/>
          <w:color w:val="auto"/>
          <w:sz w:val="36"/>
          <w:szCs w:val="36"/>
          <w:highlight w:val="none"/>
        </w:rPr>
      </w:pPr>
    </w:p>
    <w:p w14:paraId="59045125">
      <w:pP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75165B3E">
      <w:pPr>
        <w:pStyle w:val="31"/>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6CD469F3">
      <w:pPr>
        <w:pStyle w:val="8"/>
        <w:snapToGrid w:val="0"/>
        <w:spacing w:line="400" w:lineRule="atLeast"/>
        <w:ind w:left="0" w:firstLine="640" w:firstLineChars="200"/>
        <w:contextualSpacing/>
        <w:rPr>
          <w:rFonts w:hAnsi="宋体"/>
          <w:color w:val="auto"/>
          <w:sz w:val="32"/>
          <w:szCs w:val="32"/>
          <w:highlight w:val="none"/>
        </w:rPr>
      </w:pPr>
    </w:p>
    <w:p w14:paraId="66642744">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一、质疑的提出</w:t>
      </w:r>
    </w:p>
    <w:p w14:paraId="15BD92F8">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(一)质疑人的身份要求      </w:t>
      </w:r>
    </w:p>
    <w:p w14:paraId="35BB18FF">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1.提出质疑的</w:t>
      </w:r>
      <w:r>
        <w:rPr>
          <w:rFonts w:hint="eastAsia" w:ascii="宋体" w:hAnsi="宋体" w:eastAsia="宋体" w:cs="宋体"/>
          <w:color w:val="auto"/>
          <w:kern w:val="2"/>
          <w:sz w:val="22"/>
          <w:szCs w:val="22"/>
          <w:highlight w:val="none"/>
          <w:lang w:val="en-US" w:eastAsia="zh-CN"/>
        </w:rPr>
        <w:t>投标供应商</w:t>
      </w:r>
      <w:r>
        <w:rPr>
          <w:rFonts w:hint="eastAsia" w:ascii="宋体" w:hAnsi="宋体" w:eastAsia="宋体" w:cs="宋体"/>
          <w:color w:val="auto"/>
          <w:kern w:val="2"/>
          <w:sz w:val="22"/>
          <w:szCs w:val="22"/>
          <w:highlight w:val="none"/>
        </w:rPr>
        <w:t>应当是参与所质疑项目采购活动的</w:t>
      </w:r>
      <w:r>
        <w:rPr>
          <w:rFonts w:hint="eastAsia" w:ascii="宋体" w:hAnsi="宋体" w:eastAsia="宋体" w:cs="宋体"/>
          <w:color w:val="auto"/>
          <w:kern w:val="2"/>
          <w:sz w:val="22"/>
          <w:szCs w:val="22"/>
          <w:highlight w:val="none"/>
          <w:lang w:val="en-US" w:eastAsia="zh-CN"/>
        </w:rPr>
        <w:t>投标供应商</w:t>
      </w:r>
      <w:r>
        <w:rPr>
          <w:rFonts w:hint="eastAsia" w:ascii="宋体" w:hAnsi="宋体" w:eastAsia="宋体" w:cs="宋体"/>
          <w:color w:val="auto"/>
          <w:kern w:val="2"/>
          <w:sz w:val="22"/>
          <w:szCs w:val="22"/>
          <w:highlight w:val="none"/>
        </w:rPr>
        <w:t>。</w:t>
      </w:r>
    </w:p>
    <w:p w14:paraId="7CC7A81E">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2.潜在</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已依法获取其可质疑的采购文件的，可以对该文件提出质疑。对采购文件提出质疑的，应当在获取采购文件或者采购文件公告期限届满之日起7个工作日内提出。</w:t>
      </w:r>
    </w:p>
    <w:p w14:paraId="6E976A41">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(二)质疑提出的格式要求   </w:t>
      </w:r>
    </w:p>
    <w:p w14:paraId="0906A1FF">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1.质疑参照相关规定提交，质疑实行实名制，不得进行虚假、恶意质疑，未按上述要求提交的质疑函，采购人和采购代理机构有权不予受理。</w:t>
      </w:r>
    </w:p>
    <w:p w14:paraId="03887336">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2.质疑函应包括：    </w:t>
      </w:r>
    </w:p>
    <w:p w14:paraId="29B0A852">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的名称、地址、邮编、联系人及联系电话；</w:t>
      </w:r>
    </w:p>
    <w:p w14:paraId="26013328">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（2）质疑项目的名称、编号；</w:t>
      </w:r>
    </w:p>
    <w:p w14:paraId="61C3D2D4">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（3）具体、明确的质疑事项和与质疑事项相关的请求；</w:t>
      </w:r>
    </w:p>
    <w:p w14:paraId="5EEB4C15">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（4）事实依据；</w:t>
      </w:r>
    </w:p>
    <w:p w14:paraId="6DD88470">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（5）必要的法律依据；                          </w:t>
      </w:r>
    </w:p>
    <w:p w14:paraId="2F29D022">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（6）提出质疑的日期。</w:t>
      </w:r>
    </w:p>
    <w:p w14:paraId="04E68D39">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3195845E">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3.质疑函需遵循的原则：</w:t>
      </w:r>
    </w:p>
    <w:p w14:paraId="43D5ADCC">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FD27CDB">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（三）质疑提出的时效要求</w:t>
      </w:r>
    </w:p>
    <w:p w14:paraId="16346D17">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 xml:space="preserve">认为采购文件、采购过程和采购结果使自己的权益受到损害的，可以在知道或应知其权益受到损害之日起七个工作日内，以书面形式向采购代理机构或采购人提出质疑。上述应知其权益受到损害之日，是指：                       </w:t>
      </w:r>
    </w:p>
    <w:p w14:paraId="4A1B8F19">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（1）对可以质疑的采购文件提出质疑的，为收到采购文件之日或者采购文件公告期限届满之日；</w:t>
      </w:r>
    </w:p>
    <w:p w14:paraId="50E4084B">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（2）对采购过程提出质疑的，为各采购程序环节结束之日；</w:t>
      </w:r>
    </w:p>
    <w:p w14:paraId="6E6DE367">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或者</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rPr>
        <w:t>结果提出质疑的，为</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或者</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rPr>
        <w:t>结果公告期限届满之日。</w:t>
      </w:r>
    </w:p>
    <w:p w14:paraId="3AE45D5E">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认为采购文件使自己的权益受到损害的，可以向采购代理机构或采购人提出质疑；</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认为采购过程和采购结果使自己的权益受到损害的，可以以书面形式向采购代理机构或采购人提出质疑。</w:t>
      </w:r>
    </w:p>
    <w:p w14:paraId="3F4E96A3">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 xml:space="preserve">应在法定质疑期一次性提出针对同一采购程序环节的质疑。                         </w:t>
      </w:r>
    </w:p>
    <w:p w14:paraId="32B74609">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二、《质疑函》的受理和答复</w:t>
      </w:r>
    </w:p>
    <w:p w14:paraId="3ECFE7C4">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采购代理机构或采购人收到质疑函后，将对质疑的形式和内容进行审查，如质疑函内容、格式不符合规定，采购代理机构需告知质疑人进行补正。</w:t>
      </w:r>
    </w:p>
    <w:p w14:paraId="17BABE5B">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 质疑人应当在法定质疑期限内进行补正并重新提交质疑函，拒不补正或者在法定期限内未重新提交质疑函的，为无效质疑，不予受理。</w:t>
      </w:r>
    </w:p>
    <w:p w14:paraId="628C59CE">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3.采购人或采购代理机构答复</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质疑应当采用书面方式并依法送达，质疑</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或其委托代理人拒绝签收的视为已经送达。</w:t>
      </w:r>
    </w:p>
    <w:p w14:paraId="40B6734F">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三、质疑处理</w:t>
      </w:r>
    </w:p>
    <w:p w14:paraId="48EBEEB3">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质疑成立的处理</w:t>
      </w:r>
    </w:p>
    <w:p w14:paraId="548CD28F">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（1）对于内容、格式符合规定的质疑函，采购代理机构或采购人在收到</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 xml:space="preserve">的书面质疑后七个工作日内作出书面答复，但答复的内容不得涉及商业秘密。                       </w:t>
      </w:r>
    </w:p>
    <w:p w14:paraId="3C292754">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（2）对采购文件提出的质疑，依法通过澄清或者修改可以继续开展采购活动的，澄清或者修改采购文件后继续开展采购活动；否则应当修改采购文件后重新开展采购活动。</w:t>
      </w:r>
    </w:p>
    <w:p w14:paraId="434623E6">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（3）对采购过程、</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或者</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rPr>
        <w:t>结果提出的质疑，合格</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符合法定数量时，可以从合格的候选人中另行确定</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的，应当依法另行确定</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；否则应当重新开展采购活动。</w:t>
      </w:r>
    </w:p>
    <w:p w14:paraId="3F92776F">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质疑答复导致</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rPr>
        <w:t>结果改变的，采购人或者采购代理机构应当将有关情况书面报告本级财政部门。</w:t>
      </w:r>
    </w:p>
    <w:p w14:paraId="30E91CBC">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2.质疑不成立的处理</w:t>
      </w:r>
    </w:p>
    <w:p w14:paraId="56CE0EC6">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若质疑不成立，或者成立未对</w:t>
      </w:r>
      <w:r>
        <w:rPr>
          <w:rFonts w:hint="eastAsia" w:ascii="宋体" w:hAnsi="宋体" w:eastAsia="宋体" w:cs="宋体"/>
          <w:color w:val="auto"/>
          <w:kern w:val="2"/>
          <w:sz w:val="22"/>
          <w:szCs w:val="22"/>
          <w:highlight w:val="none"/>
          <w:lang w:eastAsia="zh-CN"/>
        </w:rPr>
        <w:t>成交</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eastAsia="zh-CN"/>
        </w:rPr>
        <w:t>中标</w:t>
      </w:r>
      <w:r>
        <w:rPr>
          <w:rFonts w:hint="eastAsia" w:ascii="宋体" w:hAnsi="宋体" w:eastAsia="宋体" w:cs="宋体"/>
          <w:color w:val="auto"/>
          <w:kern w:val="2"/>
          <w:sz w:val="22"/>
          <w:szCs w:val="22"/>
          <w:highlight w:val="none"/>
        </w:rPr>
        <w:t>结果构成影响的，继续开展采购活动。</w:t>
      </w:r>
    </w:p>
    <w:p w14:paraId="78F65B66">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3.虚假质疑的处理</w:t>
      </w:r>
    </w:p>
    <w:p w14:paraId="7D45A635">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提出书面质疑必须有理、有据，不得恶意质疑或提交虚假质疑。否则，一经查实，采购人有权依据采购的有关规定，报请采购监管部门对该</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 xml:space="preserve">进行相应的行政处罚。                          </w:t>
      </w:r>
    </w:p>
    <w:p w14:paraId="474CD363">
      <w:pPr>
        <w:pStyle w:val="8"/>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（2）在江苏省范围内一年累计三次以上质疑，均查无实据的</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将按失信行为记入该注册</w:t>
      </w:r>
      <w:r>
        <w:rPr>
          <w:rFonts w:hint="eastAsia" w:ascii="宋体" w:hAnsi="宋体" w:eastAsia="宋体" w:cs="宋体"/>
          <w:color w:val="auto"/>
          <w:kern w:val="2"/>
          <w:sz w:val="22"/>
          <w:szCs w:val="22"/>
          <w:highlight w:val="none"/>
          <w:lang w:eastAsia="zh-CN"/>
        </w:rPr>
        <w:t>投标供应商</w:t>
      </w:r>
      <w:r>
        <w:rPr>
          <w:rFonts w:hint="eastAsia" w:ascii="宋体" w:hAnsi="宋体" w:eastAsia="宋体" w:cs="宋体"/>
          <w:color w:val="auto"/>
          <w:kern w:val="2"/>
          <w:sz w:val="22"/>
          <w:szCs w:val="22"/>
          <w:highlight w:val="none"/>
        </w:rPr>
        <w:t>诚信档案中。</w:t>
      </w:r>
    </w:p>
    <w:p w14:paraId="760B2C00">
      <w:pPr>
        <w:pStyle w:val="8"/>
        <w:snapToGrid w:val="0"/>
        <w:spacing w:line="480" w:lineRule="exact"/>
        <w:ind w:left="0" w:firstLine="44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（3）采购代理机构或采购人受理质疑和答复相关咨询，联系电话详见招标公告。</w:t>
      </w:r>
    </w:p>
    <w:p w14:paraId="5CC608E1">
      <w:pPr>
        <w:snapToGrid w:val="0"/>
        <w:spacing w:line="300" w:lineRule="auto"/>
        <w:contextualSpacing/>
        <w:rPr>
          <w:rFonts w:hint="eastAsia" w:ascii="宋体" w:hAnsi="宋体" w:eastAsia="宋体" w:cs="宋体"/>
          <w:color w:val="auto"/>
          <w:sz w:val="21"/>
          <w:szCs w:val="21"/>
          <w:highlight w:val="none"/>
        </w:rPr>
      </w:pPr>
    </w:p>
    <w:p w14:paraId="1B4159AA">
      <w:pPr>
        <w:snapToGrid w:val="0"/>
        <w:spacing w:line="300" w:lineRule="auto"/>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仿宋_GB2312" w:hAnsi="宋体" w:eastAsia="仿宋_GB2312" w:cs="Times New Roman"/>
          <w:b/>
          <w:color w:val="auto"/>
          <w:kern w:val="0"/>
          <w:sz w:val="36"/>
          <w:szCs w:val="36"/>
          <w:highlight w:val="none"/>
          <w:lang w:val="en-US" w:eastAsia="zh-CN" w:bidi="ar-SA"/>
        </w:rPr>
        <w:t>第七部分  投标文件组成</w:t>
      </w:r>
    </w:p>
    <w:p w14:paraId="7992334B">
      <w:pPr>
        <w:keepNext w:val="0"/>
        <w:keepLines w:val="0"/>
        <w:pageBreakBefore w:val="0"/>
        <w:widowControl w:val="0"/>
        <w:kinsoku/>
        <w:wordWrap/>
        <w:overflowPunct/>
        <w:topLinePunct w:val="0"/>
        <w:autoSpaceDE/>
        <w:autoSpaceDN/>
        <w:bidi w:val="0"/>
        <w:adjustRightInd/>
        <w:snapToGrid w:val="0"/>
        <w:spacing w:line="440" w:lineRule="exact"/>
        <w:ind w:firstLine="555"/>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投标文件由资格审查文件</w:t>
      </w:r>
      <w:r>
        <w:rPr>
          <w:rFonts w:hint="eastAsia" w:ascii="宋体" w:hAnsi="宋体" w:cs="宋体"/>
          <w:b/>
          <w:color w:val="auto"/>
          <w:sz w:val="22"/>
          <w:szCs w:val="22"/>
          <w:highlight w:val="none"/>
          <w:lang w:val="en-US" w:eastAsia="zh-CN"/>
        </w:rPr>
        <w:t>包</w:t>
      </w:r>
      <w:r>
        <w:rPr>
          <w:rFonts w:hint="eastAsia" w:ascii="宋体" w:hAnsi="宋体" w:eastAsia="宋体" w:cs="宋体"/>
          <w:b/>
          <w:color w:val="auto"/>
          <w:sz w:val="22"/>
          <w:szCs w:val="22"/>
          <w:highlight w:val="none"/>
        </w:rPr>
        <w:t>、</w:t>
      </w:r>
      <w:r>
        <w:rPr>
          <w:rFonts w:hint="eastAsia" w:ascii="宋体" w:hAnsi="宋体" w:cs="宋体"/>
          <w:b/>
          <w:bCs/>
          <w:color w:val="auto"/>
          <w:sz w:val="22"/>
          <w:szCs w:val="22"/>
          <w:highlight w:val="none"/>
          <w:lang w:val="en-US" w:eastAsia="zh-CN"/>
        </w:rPr>
        <w:t>商务技术标</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报价标</w:t>
      </w:r>
      <w:r>
        <w:rPr>
          <w:rFonts w:hint="eastAsia" w:ascii="宋体" w:hAnsi="宋体" w:eastAsia="宋体" w:cs="宋体"/>
          <w:b/>
          <w:color w:val="auto"/>
          <w:sz w:val="22"/>
          <w:szCs w:val="22"/>
          <w:highlight w:val="none"/>
        </w:rPr>
        <w:t>三部分组成，相关</w:t>
      </w:r>
      <w:r>
        <w:rPr>
          <w:rFonts w:hint="eastAsia" w:ascii="宋体" w:hAnsi="宋体" w:eastAsia="宋体" w:cs="宋体"/>
          <w:b/>
          <w:color w:val="auto"/>
          <w:sz w:val="22"/>
          <w:szCs w:val="22"/>
          <w:highlight w:val="none"/>
          <w:lang w:val="zh-CN"/>
        </w:rPr>
        <w:t>格式参见附件</w:t>
      </w:r>
      <w:r>
        <w:rPr>
          <w:rFonts w:hint="eastAsia" w:ascii="宋体" w:hAnsi="宋体" w:eastAsia="宋体" w:cs="宋体"/>
          <w:b/>
          <w:color w:val="auto"/>
          <w:sz w:val="22"/>
          <w:szCs w:val="22"/>
          <w:highlight w:val="none"/>
        </w:rPr>
        <w:t>。</w:t>
      </w:r>
    </w:p>
    <w:p w14:paraId="73F6E4E3">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资格审查</w:t>
      </w:r>
      <w:r>
        <w:rPr>
          <w:rFonts w:hint="eastAsia" w:ascii="宋体" w:hAnsi="宋体" w:eastAsia="宋体" w:cs="宋体"/>
          <w:b/>
          <w:bCs/>
          <w:color w:val="auto"/>
          <w:kern w:val="0"/>
          <w:sz w:val="22"/>
          <w:szCs w:val="22"/>
          <w:highlight w:val="none"/>
        </w:rPr>
        <w:t>文件</w:t>
      </w:r>
      <w:r>
        <w:rPr>
          <w:rFonts w:hint="eastAsia" w:ascii="宋体" w:hAnsi="宋体" w:cs="宋体"/>
          <w:b/>
          <w:bCs/>
          <w:color w:val="auto"/>
          <w:kern w:val="0"/>
          <w:sz w:val="22"/>
          <w:szCs w:val="22"/>
          <w:highlight w:val="none"/>
          <w:lang w:val="en-US" w:eastAsia="zh-CN"/>
        </w:rPr>
        <w:t>包</w:t>
      </w:r>
      <w:r>
        <w:rPr>
          <w:rFonts w:hint="eastAsia" w:ascii="宋体" w:hAnsi="宋体" w:eastAsia="宋体" w:cs="宋体"/>
          <w:b/>
          <w:bCs/>
          <w:color w:val="auto"/>
          <w:kern w:val="0"/>
          <w:sz w:val="22"/>
          <w:szCs w:val="22"/>
          <w:highlight w:val="none"/>
          <w:lang w:val="zh-CN"/>
        </w:rPr>
        <w:t>（不能出现</w:t>
      </w:r>
      <w:r>
        <w:rPr>
          <w:rFonts w:hint="eastAsia" w:ascii="宋体" w:hAnsi="宋体" w:cs="宋体"/>
          <w:b/>
          <w:bCs/>
          <w:color w:val="auto"/>
          <w:kern w:val="0"/>
          <w:sz w:val="22"/>
          <w:szCs w:val="22"/>
          <w:highlight w:val="none"/>
          <w:lang w:val="en-US" w:eastAsia="zh-CN"/>
        </w:rPr>
        <w:t>报价</w:t>
      </w:r>
      <w:r>
        <w:rPr>
          <w:rFonts w:hint="eastAsia" w:ascii="宋体" w:hAnsi="宋体" w:eastAsia="宋体" w:cs="宋体"/>
          <w:b/>
          <w:bCs/>
          <w:color w:val="auto"/>
          <w:kern w:val="0"/>
          <w:sz w:val="22"/>
          <w:szCs w:val="22"/>
          <w:highlight w:val="none"/>
          <w:lang w:val="zh-CN"/>
        </w:rPr>
        <w:t>、</w:t>
      </w:r>
      <w:r>
        <w:rPr>
          <w:rFonts w:hint="eastAsia" w:ascii="宋体" w:hAnsi="宋体" w:cs="宋体"/>
          <w:b/>
          <w:bCs/>
          <w:color w:val="auto"/>
          <w:kern w:val="0"/>
          <w:sz w:val="22"/>
          <w:szCs w:val="22"/>
          <w:highlight w:val="none"/>
          <w:lang w:val="en-US" w:eastAsia="zh-CN"/>
        </w:rPr>
        <w:t>商务</w:t>
      </w:r>
      <w:r>
        <w:rPr>
          <w:rFonts w:hint="eastAsia" w:ascii="宋体" w:hAnsi="宋体" w:eastAsia="宋体" w:cs="宋体"/>
          <w:b/>
          <w:bCs/>
          <w:color w:val="auto"/>
          <w:kern w:val="0"/>
          <w:sz w:val="22"/>
          <w:szCs w:val="22"/>
          <w:highlight w:val="none"/>
          <w:lang w:val="zh-CN"/>
        </w:rPr>
        <w:t>技术</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w:t>
      </w:r>
    </w:p>
    <w:p w14:paraId="38DA1C6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r>
        <w:rPr>
          <w:rFonts w:hint="eastAsia" w:ascii="宋体" w:hAnsi="宋体" w:cs="宋体"/>
          <w:color w:val="auto"/>
          <w:sz w:val="22"/>
          <w:szCs w:val="22"/>
          <w:highlight w:val="none"/>
          <w:lang w:val="en-US" w:eastAsia="zh-CN"/>
        </w:rPr>
        <w:t>有效的</w:t>
      </w:r>
      <w:r>
        <w:rPr>
          <w:rFonts w:hint="eastAsia" w:ascii="宋体" w:hAnsi="宋体" w:eastAsia="宋体" w:cs="宋体"/>
          <w:color w:val="auto"/>
          <w:kern w:val="0"/>
          <w:sz w:val="22"/>
          <w:szCs w:val="22"/>
          <w:highlight w:val="none"/>
          <w:lang w:val="zh-CN"/>
        </w:rPr>
        <w:t>关于资格的声明函；</w:t>
      </w:r>
    </w:p>
    <w:p w14:paraId="6D0ACAB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投标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63C015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有效的投标供应商声明函</w:t>
      </w:r>
      <w:r>
        <w:rPr>
          <w:rFonts w:hint="eastAsia" w:ascii="宋体" w:hAnsi="宋体" w:eastAsia="宋体" w:cs="宋体"/>
          <w:color w:val="auto"/>
          <w:sz w:val="22"/>
          <w:szCs w:val="22"/>
          <w:highlight w:val="none"/>
        </w:rPr>
        <w:t>；</w:t>
      </w:r>
    </w:p>
    <w:p w14:paraId="7DFD533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有效的</w:t>
      </w:r>
      <w:r>
        <w:rPr>
          <w:rFonts w:hint="eastAsia" w:ascii="宋体" w:hAnsi="宋体" w:eastAsia="宋体" w:cs="宋体"/>
          <w:color w:val="auto"/>
          <w:kern w:val="0"/>
          <w:sz w:val="22"/>
          <w:szCs w:val="22"/>
          <w:highlight w:val="none"/>
          <w:lang w:val="en-US" w:eastAsia="zh-CN"/>
        </w:rPr>
        <w:t>营业执照复印件；</w:t>
      </w:r>
    </w:p>
    <w:p w14:paraId="1E6C7EB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zh-CN"/>
        </w:rPr>
        <w:t>招标公告资格要求提供相应的佐证材料；</w:t>
      </w:r>
    </w:p>
    <w:p w14:paraId="3FC0AE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、其它需要提交的资格审查证明材料。</w:t>
      </w:r>
    </w:p>
    <w:p w14:paraId="19EC1934">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注：以上材料均</w:t>
      </w:r>
      <w:r>
        <w:rPr>
          <w:rFonts w:hint="eastAsia" w:ascii="宋体" w:hAnsi="宋体" w:cs="宋体"/>
          <w:b/>
          <w:bCs/>
          <w:color w:val="auto"/>
          <w:kern w:val="0"/>
          <w:sz w:val="22"/>
          <w:szCs w:val="22"/>
          <w:highlight w:val="none"/>
          <w:lang w:val="en-US" w:eastAsia="zh-CN"/>
        </w:rPr>
        <w:t>须</w:t>
      </w:r>
      <w:r>
        <w:rPr>
          <w:rFonts w:hint="eastAsia" w:ascii="宋体" w:hAnsi="宋体" w:eastAsia="宋体" w:cs="宋体"/>
          <w:b/>
          <w:bCs/>
          <w:color w:val="auto"/>
          <w:kern w:val="0"/>
          <w:sz w:val="22"/>
          <w:szCs w:val="22"/>
          <w:highlight w:val="none"/>
          <w:lang w:val="zh-CN"/>
        </w:rPr>
        <w:t>加盖公章，如为复印件，须为有效原件的复印件，否则按资格审查不通过处理。</w:t>
      </w:r>
    </w:p>
    <w:p w14:paraId="413D370C">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二、</w:t>
      </w:r>
      <w:r>
        <w:rPr>
          <w:rFonts w:hint="eastAsia" w:ascii="宋体" w:hAnsi="宋体" w:cs="宋体"/>
          <w:b/>
          <w:bCs/>
          <w:color w:val="auto"/>
          <w:kern w:val="0"/>
          <w:sz w:val="22"/>
          <w:szCs w:val="22"/>
          <w:highlight w:val="none"/>
          <w:lang w:val="en-US" w:eastAsia="zh-CN"/>
        </w:rPr>
        <w:t>商务</w:t>
      </w:r>
      <w:r>
        <w:rPr>
          <w:rFonts w:hint="eastAsia" w:ascii="宋体" w:hAnsi="宋体" w:eastAsia="宋体" w:cs="宋体"/>
          <w:b/>
          <w:bCs/>
          <w:color w:val="auto"/>
          <w:kern w:val="0"/>
          <w:sz w:val="22"/>
          <w:szCs w:val="22"/>
          <w:highlight w:val="none"/>
          <w:lang w:val="zh-CN"/>
        </w:rPr>
        <w:t>技术</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（不能出现</w:t>
      </w:r>
      <w:r>
        <w:rPr>
          <w:rFonts w:hint="eastAsia" w:ascii="宋体" w:hAnsi="宋体" w:cs="宋体"/>
          <w:b/>
          <w:bCs/>
          <w:color w:val="auto"/>
          <w:kern w:val="0"/>
          <w:sz w:val="22"/>
          <w:szCs w:val="22"/>
          <w:highlight w:val="none"/>
          <w:lang w:val="en-US" w:eastAsia="zh-CN"/>
        </w:rPr>
        <w:t>报价部分</w:t>
      </w:r>
      <w:r>
        <w:rPr>
          <w:rFonts w:hint="eastAsia" w:ascii="宋体" w:hAnsi="宋体" w:eastAsia="宋体" w:cs="宋体"/>
          <w:b/>
          <w:bCs/>
          <w:color w:val="auto"/>
          <w:kern w:val="0"/>
          <w:sz w:val="22"/>
          <w:szCs w:val="22"/>
          <w:highlight w:val="none"/>
          <w:lang w:val="zh-CN"/>
        </w:rPr>
        <w:t>）</w:t>
      </w:r>
    </w:p>
    <w:p w14:paraId="3BF87E7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1、投标响应函；</w:t>
      </w:r>
    </w:p>
    <w:p w14:paraId="786A762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zh-CN"/>
        </w:rPr>
        <w:t>、供应商一般情况表；</w:t>
      </w:r>
    </w:p>
    <w:p w14:paraId="7EE6265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、技术</w:t>
      </w:r>
      <w:r>
        <w:rPr>
          <w:rFonts w:hint="eastAsia" w:ascii="宋体" w:hAnsi="宋体" w:cs="宋体"/>
          <w:color w:val="auto"/>
          <w:kern w:val="0"/>
          <w:sz w:val="22"/>
          <w:szCs w:val="22"/>
          <w:highlight w:val="none"/>
          <w:lang w:val="en-US" w:eastAsia="zh-CN"/>
        </w:rPr>
        <w:t>部分</w:t>
      </w:r>
      <w:r>
        <w:rPr>
          <w:rFonts w:hint="eastAsia" w:ascii="宋体" w:hAnsi="宋体" w:eastAsia="宋体" w:cs="宋体"/>
          <w:color w:val="auto"/>
          <w:kern w:val="0"/>
          <w:sz w:val="22"/>
          <w:szCs w:val="22"/>
          <w:highlight w:val="none"/>
          <w:lang w:val="zh-CN"/>
        </w:rPr>
        <w:t>响应及偏离表</w:t>
      </w:r>
      <w:r>
        <w:rPr>
          <w:rFonts w:hint="eastAsia" w:ascii="宋体" w:hAnsi="宋体" w:cs="宋体"/>
          <w:color w:val="auto"/>
          <w:kern w:val="0"/>
          <w:sz w:val="22"/>
          <w:szCs w:val="22"/>
          <w:highlight w:val="none"/>
          <w:lang w:val="zh-CN"/>
        </w:rPr>
        <w:t>；</w:t>
      </w:r>
    </w:p>
    <w:p w14:paraId="11F8612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4、商务部分正负偏离表；</w:t>
      </w:r>
    </w:p>
    <w:p w14:paraId="5B83E35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5、商务技术标</w:t>
      </w:r>
      <w:r>
        <w:rPr>
          <w:rFonts w:hint="eastAsia" w:ascii="宋体" w:hAnsi="宋体" w:eastAsia="宋体" w:cs="宋体"/>
          <w:color w:val="auto"/>
          <w:kern w:val="0"/>
          <w:sz w:val="22"/>
          <w:szCs w:val="22"/>
          <w:highlight w:val="none"/>
          <w:lang w:val="zh-CN"/>
        </w:rPr>
        <w:t>评分中所涉及</w:t>
      </w:r>
      <w:r>
        <w:rPr>
          <w:rFonts w:hint="eastAsia" w:ascii="宋体" w:hAnsi="宋体" w:cs="宋体"/>
          <w:color w:val="auto"/>
          <w:kern w:val="0"/>
          <w:sz w:val="22"/>
          <w:szCs w:val="22"/>
          <w:highlight w:val="none"/>
          <w:lang w:val="en-US" w:eastAsia="zh-CN"/>
        </w:rPr>
        <w:t>投标供应商</w:t>
      </w:r>
      <w:r>
        <w:rPr>
          <w:rFonts w:hint="eastAsia" w:ascii="宋体" w:hAnsi="宋体" w:eastAsia="宋体" w:cs="宋体"/>
          <w:color w:val="auto"/>
          <w:kern w:val="0"/>
          <w:sz w:val="22"/>
          <w:szCs w:val="22"/>
          <w:highlight w:val="none"/>
          <w:lang w:val="zh-CN"/>
        </w:rPr>
        <w:t>认为需要提交的其他资料；</w:t>
      </w:r>
    </w:p>
    <w:p w14:paraId="4042950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、招标文件中要求提供的其他材料。</w:t>
      </w:r>
    </w:p>
    <w:p w14:paraId="0F1FD4A9">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zh-CN"/>
        </w:rPr>
        <w:t>三、</w:t>
      </w:r>
      <w:r>
        <w:rPr>
          <w:rFonts w:hint="eastAsia" w:ascii="宋体" w:hAnsi="宋体" w:cs="宋体"/>
          <w:b/>
          <w:bCs/>
          <w:color w:val="auto"/>
          <w:kern w:val="0"/>
          <w:sz w:val="22"/>
          <w:szCs w:val="22"/>
          <w:highlight w:val="none"/>
          <w:lang w:val="en-US" w:eastAsia="zh-CN"/>
        </w:rPr>
        <w:t>报价标</w:t>
      </w:r>
    </w:p>
    <w:p w14:paraId="7F111FD0">
      <w:pPr>
        <w:keepNext w:val="0"/>
        <w:keepLines w:val="0"/>
        <w:pageBreakBefore w:val="0"/>
        <w:widowControl w:val="0"/>
        <w:kinsoku/>
        <w:wordWrap/>
        <w:overflowPunct/>
        <w:topLinePunct w:val="0"/>
        <w:autoSpaceDE/>
        <w:autoSpaceDN/>
        <w:bidi w:val="0"/>
        <w:adjustRightInd/>
        <w:snapToGrid w:val="0"/>
        <w:spacing w:line="440" w:lineRule="exact"/>
        <w:ind w:firstLine="422" w:firstLineChars="192"/>
        <w:contextualSpacing/>
        <w:textAlignment w:val="auto"/>
        <w:rPr>
          <w:rFonts w:hint="eastAsia" w:ascii="宋体" w:hAnsi="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1、开标一览表</w:t>
      </w:r>
      <w:r>
        <w:rPr>
          <w:rFonts w:hint="eastAsia" w:ascii="宋体" w:hAnsi="宋体" w:cs="宋体"/>
          <w:color w:val="auto"/>
          <w:kern w:val="0"/>
          <w:sz w:val="22"/>
          <w:szCs w:val="22"/>
          <w:highlight w:val="none"/>
          <w:lang w:val="zh-CN"/>
        </w:rPr>
        <w:t>；</w:t>
      </w:r>
    </w:p>
    <w:p w14:paraId="580C36A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Calibri" w:hAnsi="Calibri"/>
          <w:b/>
          <w:bCs/>
          <w:color w:val="auto"/>
          <w:sz w:val="32"/>
          <w:szCs w:val="32"/>
          <w:highlight w:val="none"/>
        </w:rPr>
      </w:pPr>
      <w:r>
        <w:rPr>
          <w:rFonts w:hint="eastAsia" w:ascii="宋体" w:hAnsi="宋体" w:cs="宋体"/>
          <w:color w:val="auto"/>
          <w:kern w:val="0"/>
          <w:sz w:val="22"/>
          <w:szCs w:val="22"/>
          <w:highlight w:val="none"/>
          <w:lang w:val="en-US" w:eastAsia="zh-CN"/>
        </w:rPr>
        <w:t>2、分项报价表</w:t>
      </w: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5BF06BA7">
      <w:pPr>
        <w:spacing w:line="360" w:lineRule="auto"/>
        <w:ind w:firstLine="643" w:firstLineChars="200"/>
        <w:rPr>
          <w:rFonts w:hint="eastAsia" w:ascii="Calibri" w:hAnsi="Calibri"/>
          <w:b/>
          <w:bCs/>
          <w:color w:val="auto"/>
          <w:sz w:val="32"/>
          <w:szCs w:val="32"/>
          <w:highlight w:val="none"/>
        </w:rPr>
      </w:pPr>
    </w:p>
    <w:p w14:paraId="5BA55C89">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4F19C290">
      <w:pPr>
        <w:spacing w:line="360" w:lineRule="auto"/>
        <w:ind w:firstLine="2400" w:firstLineChars="1000"/>
        <w:rPr>
          <w:rFonts w:hint="eastAsia" w:ascii="宋体" w:hAnsi="宋体" w:cs="宋体"/>
          <w:color w:val="auto"/>
          <w:sz w:val="24"/>
          <w:highlight w:val="none"/>
        </w:rPr>
      </w:pPr>
    </w:p>
    <w:p w14:paraId="2FC51542">
      <w:pPr>
        <w:spacing w:line="360" w:lineRule="auto"/>
        <w:rPr>
          <w:rFonts w:hint="eastAsia" w:ascii="宋体" w:hAnsi="宋体" w:cs="宋体"/>
          <w:color w:val="auto"/>
          <w:sz w:val="24"/>
          <w:highlight w:val="none"/>
        </w:rPr>
      </w:pPr>
    </w:p>
    <w:p w14:paraId="34173274">
      <w:pPr>
        <w:spacing w:line="360" w:lineRule="auto"/>
        <w:rPr>
          <w:rFonts w:hint="eastAsia" w:ascii="宋体" w:hAnsi="宋体" w:cs="宋体"/>
          <w:color w:val="auto"/>
          <w:sz w:val="24"/>
          <w:highlight w:val="none"/>
        </w:rPr>
      </w:pPr>
    </w:p>
    <w:p w14:paraId="57F629DC">
      <w:pPr>
        <w:spacing w:line="360" w:lineRule="auto"/>
        <w:rPr>
          <w:rFonts w:hint="eastAsia" w:ascii="宋体" w:hAnsi="宋体" w:cs="宋体"/>
          <w:color w:val="auto"/>
          <w:sz w:val="24"/>
          <w:highlight w:val="none"/>
        </w:rPr>
      </w:pPr>
    </w:p>
    <w:p w14:paraId="3BBF0F6C">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w:t>
      </w:r>
    </w:p>
    <w:p w14:paraId="3F3F1582">
      <w:pPr>
        <w:spacing w:line="360" w:lineRule="auto"/>
        <w:rPr>
          <w:rFonts w:hint="eastAsia" w:ascii="宋体" w:hAnsi="宋体" w:cs="宋体"/>
          <w:color w:val="auto"/>
          <w:sz w:val="24"/>
          <w:highlight w:val="none"/>
        </w:rPr>
      </w:pPr>
    </w:p>
    <w:p w14:paraId="17BB6FEC">
      <w:pPr>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对应投标文件填写：资格审查文件</w:t>
      </w:r>
      <w:r>
        <w:rPr>
          <w:rFonts w:hint="eastAsia" w:ascii="宋体" w:hAnsi="宋体" w:cs="宋体"/>
          <w:color w:val="auto"/>
          <w:sz w:val="24"/>
          <w:highlight w:val="none"/>
          <w:lang w:val="en-US" w:eastAsia="zh-CN"/>
        </w:rPr>
        <w:t>包</w:t>
      </w:r>
    </w:p>
    <w:p w14:paraId="24ADEAE4">
      <w:pPr>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技术</w:t>
      </w:r>
      <w:r>
        <w:rPr>
          <w:rFonts w:hint="eastAsia" w:ascii="宋体" w:hAnsi="宋体" w:cs="宋体"/>
          <w:color w:val="auto"/>
          <w:sz w:val="24"/>
          <w:highlight w:val="none"/>
          <w:lang w:val="en-US" w:eastAsia="zh-CN"/>
        </w:rPr>
        <w:t>标</w:t>
      </w:r>
    </w:p>
    <w:p w14:paraId="03E9AD59">
      <w:pPr>
        <w:spacing w:line="360" w:lineRule="auto"/>
        <w:ind w:firstLine="1920" w:firstLineChars="8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w:t>
      </w:r>
      <w:r>
        <w:rPr>
          <w:rFonts w:hint="eastAsia" w:ascii="宋体" w:hAnsi="宋体" w:cs="宋体"/>
          <w:color w:val="auto"/>
          <w:sz w:val="24"/>
          <w:highlight w:val="none"/>
          <w:lang w:val="en-US" w:eastAsia="zh-CN"/>
        </w:rPr>
        <w:t>报价标</w:t>
      </w:r>
    </w:p>
    <w:p w14:paraId="031860FA">
      <w:pPr>
        <w:jc w:val="center"/>
        <w:rPr>
          <w:rFonts w:hint="eastAsia" w:ascii="宋体" w:hAnsi="宋体" w:cs="宋体"/>
          <w:b/>
          <w:color w:val="auto"/>
          <w:sz w:val="24"/>
          <w:highlight w:val="none"/>
        </w:rPr>
      </w:pPr>
      <w:r>
        <w:rPr>
          <w:rFonts w:hint="eastAsia" w:ascii="宋体" w:hAnsi="宋体" w:cs="宋体"/>
          <w:b/>
          <w:color w:val="auto"/>
          <w:sz w:val="24"/>
          <w:highlight w:val="none"/>
        </w:rPr>
        <w:t>（资格后审）</w:t>
      </w:r>
    </w:p>
    <w:p w14:paraId="0B16496C">
      <w:pPr>
        <w:jc w:val="center"/>
        <w:rPr>
          <w:rFonts w:hint="eastAsia" w:ascii="宋体" w:hAnsi="宋体" w:cs="宋体"/>
          <w:b/>
          <w:color w:val="auto"/>
          <w:sz w:val="24"/>
          <w:highlight w:val="none"/>
        </w:rPr>
      </w:pPr>
    </w:p>
    <w:p w14:paraId="4DCF1880">
      <w:pPr>
        <w:snapToGrid w:val="0"/>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40858352">
      <w:pPr>
        <w:spacing w:line="360" w:lineRule="auto"/>
        <w:rPr>
          <w:rFonts w:hint="eastAsia" w:ascii="宋体" w:hAnsi="宋体" w:cs="宋体"/>
          <w:color w:val="auto"/>
          <w:sz w:val="24"/>
          <w:highlight w:val="none"/>
        </w:rPr>
      </w:pPr>
    </w:p>
    <w:p w14:paraId="47C55E6E">
      <w:pPr>
        <w:spacing w:line="360" w:lineRule="auto"/>
        <w:rPr>
          <w:rFonts w:hint="eastAsia" w:ascii="宋体" w:hAnsi="宋体" w:cs="宋体"/>
          <w:color w:val="auto"/>
          <w:sz w:val="24"/>
          <w:highlight w:val="none"/>
        </w:rPr>
      </w:pPr>
    </w:p>
    <w:p w14:paraId="5E9B46E2">
      <w:pPr>
        <w:spacing w:line="360" w:lineRule="auto"/>
        <w:rPr>
          <w:rFonts w:hint="eastAsia" w:ascii="宋体" w:hAnsi="宋体" w:cs="宋体"/>
          <w:color w:val="auto"/>
          <w:sz w:val="24"/>
          <w:highlight w:val="none"/>
        </w:rPr>
      </w:pPr>
    </w:p>
    <w:p w14:paraId="1E275880">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投标供应商：参加投标供应商全称（公章）</w:t>
      </w:r>
    </w:p>
    <w:p w14:paraId="55474744">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19AAB775">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w:t>
      </w:r>
      <w:r>
        <w:rPr>
          <w:rFonts w:hint="eastAsia" w:ascii="宋体" w:hAnsi="宋体" w:cs="宋体"/>
          <w:b/>
          <w:bCs/>
          <w:color w:val="auto"/>
          <w:sz w:val="24"/>
          <w:highlight w:val="none"/>
          <w:lang w:val="en-US" w:eastAsia="zh-CN"/>
        </w:rPr>
        <w:t>包</w:t>
      </w:r>
      <w:r>
        <w:rPr>
          <w:rFonts w:hint="eastAsia" w:ascii="宋体" w:hAnsi="宋体" w:cs="宋体"/>
          <w:b/>
          <w:bCs/>
          <w:color w:val="auto"/>
          <w:sz w:val="24"/>
          <w:highlight w:val="none"/>
        </w:rPr>
        <w:t>相关的格式文件及表格</w:t>
      </w:r>
    </w:p>
    <w:p w14:paraId="54F7AFD1">
      <w:pPr>
        <w:snapToGrid w:val="0"/>
        <w:spacing w:line="360" w:lineRule="auto"/>
        <w:jc w:val="center"/>
        <w:outlineLvl w:val="4"/>
        <w:rPr>
          <w:rFonts w:hint="eastAsia" w:ascii="宋体" w:hAnsi="宋体" w:cs="宋体"/>
          <w:b/>
          <w:bCs/>
          <w:color w:val="auto"/>
          <w:sz w:val="24"/>
          <w:highlight w:val="none"/>
        </w:rPr>
      </w:pPr>
    </w:p>
    <w:p w14:paraId="5C5EB3D4">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t>1、关于资格的声明函</w:t>
      </w:r>
    </w:p>
    <w:p w14:paraId="4C73FE61">
      <w:pPr>
        <w:adjustRightInd w:val="0"/>
        <w:snapToGrid w:val="0"/>
        <w:spacing w:line="360" w:lineRule="auto"/>
        <w:jc w:val="left"/>
        <w:rPr>
          <w:rFonts w:hint="eastAsia" w:ascii="宋体" w:hAnsi="宋体" w:cs="宋体"/>
          <w:color w:val="auto"/>
          <w:sz w:val="24"/>
          <w:highlight w:val="none"/>
          <w:u w:val="single"/>
        </w:rPr>
      </w:pPr>
    </w:p>
    <w:p w14:paraId="21AEF9BB">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797535E8">
      <w:pPr>
        <w:overflowPunct w:val="0"/>
        <w:adjustRightInd w:val="0"/>
        <w:spacing w:line="360" w:lineRule="auto"/>
        <w:ind w:firstLine="66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本公司愿就由贵单位组织实施的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（招标项目名称)的招标活动进行投标。本公司所提交的投标文件中所有关于投标资格的文件、证明和陈述均是真实的、准确的。若与真实情况不符，本公司愿意承担由此而产生的一切后果。</w:t>
      </w:r>
    </w:p>
    <w:p w14:paraId="22E781B2">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7274A5A7">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4A261622">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（加盖公章）</w:t>
      </w:r>
    </w:p>
    <w:p w14:paraId="3A09A13C">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（签字或盖章）</w:t>
      </w:r>
    </w:p>
    <w:p w14:paraId="1A24D39B">
      <w:pPr>
        <w:spacing w:line="360" w:lineRule="auto"/>
        <w:ind w:firstLine="1210" w:firstLineChars="5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p w14:paraId="29B8C00B">
      <w:pPr>
        <w:spacing w:line="360" w:lineRule="auto"/>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2、法定代表人身份证明书</w:t>
      </w:r>
    </w:p>
    <w:p w14:paraId="280A18C5">
      <w:pPr>
        <w:spacing w:line="360" w:lineRule="auto"/>
        <w:jc w:val="center"/>
        <w:rPr>
          <w:rFonts w:hint="eastAsia" w:ascii="宋体" w:hAnsi="宋体" w:cs="宋体"/>
          <w:color w:val="auto"/>
          <w:sz w:val="24"/>
          <w:highlight w:val="none"/>
        </w:rPr>
      </w:pPr>
    </w:p>
    <w:p w14:paraId="4DF48452">
      <w:pPr>
        <w:adjustRightInd w:val="0"/>
        <w:snapToGrid w:val="0"/>
        <w:spacing w:line="360" w:lineRule="auto"/>
        <w:jc w:val="left"/>
        <w:rPr>
          <w:rFonts w:hint="eastAsia" w:ascii="宋体" w:hAnsi="宋体" w:cs="宋体"/>
          <w:color w:val="auto"/>
          <w:sz w:val="22"/>
          <w:szCs w:val="22"/>
          <w:highlight w:val="none"/>
          <w:u w:val="single"/>
        </w:rPr>
      </w:pPr>
    </w:p>
    <w:p w14:paraId="1C025710">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0120FF0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我公司法定代表人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参加贵单位组织的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（采购项目名称)项目公开招标采购活动，全权代表我公司处理投标的有关事宜。</w:t>
      </w:r>
    </w:p>
    <w:p w14:paraId="55ED9D34">
      <w:pPr>
        <w:spacing w:line="360" w:lineRule="auto"/>
        <w:ind w:firstLine="440" w:firstLineChars="200"/>
        <w:rPr>
          <w:rFonts w:hint="eastAsia" w:ascii="宋体" w:hAnsi="宋体" w:cs="宋体"/>
          <w:color w:val="auto"/>
          <w:sz w:val="22"/>
          <w:szCs w:val="22"/>
          <w:highlight w:val="none"/>
        </w:rPr>
      </w:pPr>
    </w:p>
    <w:p w14:paraId="20958A7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附：法定代表人情况：</w:t>
      </w:r>
    </w:p>
    <w:p w14:paraId="08024F8B">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063707F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10B7EDC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手机：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3DED31CD">
      <w:pPr>
        <w:adjustRightInd w:val="0"/>
        <w:snapToGrid w:val="0"/>
        <w:spacing w:line="360" w:lineRule="auto"/>
        <w:ind w:firstLine="482"/>
        <w:rPr>
          <w:rFonts w:hint="eastAsia"/>
          <w:color w:val="auto"/>
          <w:kern w:val="0"/>
          <w:sz w:val="22"/>
          <w:szCs w:val="22"/>
          <w:highlight w:val="none"/>
          <w:shd w:val="clear" w:color="auto" w:fill="FFFFFF"/>
        </w:rPr>
      </w:pPr>
    </w:p>
    <w:p w14:paraId="4DC4A2DE">
      <w:pPr>
        <w:rPr>
          <w:rFonts w:hint="eastAsia" w:ascii="宋体" w:hAnsi="宋体" w:cs="宋体"/>
          <w:color w:val="auto"/>
          <w:sz w:val="22"/>
          <w:szCs w:val="22"/>
          <w:highlight w:val="none"/>
        </w:rPr>
      </w:pPr>
    </w:p>
    <w:p w14:paraId="47835487">
      <w:pPr>
        <w:widowControl/>
        <w:tabs>
          <w:tab w:val="right" w:leader="hyphen" w:pos="9736"/>
        </w:tabs>
        <w:spacing w:after="100" w:line="276" w:lineRule="auto"/>
        <w:jc w:val="center"/>
        <w:rPr>
          <w:rFonts w:hint="eastAsia" w:ascii="Calibri" w:hAnsi="Calibri"/>
          <w:color w:val="auto"/>
          <w:kern w:val="0"/>
          <w:sz w:val="22"/>
          <w:szCs w:val="22"/>
          <w:highlight w:val="none"/>
        </w:rPr>
      </w:pPr>
    </w:p>
    <w:p w14:paraId="5851925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6D80476A">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5AE8F677">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27F5D8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D70169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0A27ADF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99EEB8F">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4253C3C1">
      <w:pPr>
        <w:spacing w:line="360" w:lineRule="auto"/>
        <w:ind w:firstLine="2289" w:firstLineChars="950"/>
        <w:rPr>
          <w:rFonts w:hint="eastAsia" w:ascii="宋体" w:hAnsi="宋体" w:cs="宋体"/>
          <w:b/>
          <w:bCs/>
          <w:color w:val="auto"/>
          <w:sz w:val="24"/>
          <w:highlight w:val="none"/>
        </w:rPr>
      </w:pPr>
    </w:p>
    <w:p w14:paraId="1F502C4C">
      <w:pPr>
        <w:spacing w:line="360" w:lineRule="auto"/>
        <w:ind w:firstLine="2289" w:firstLineChars="95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6469277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5299BF37">
      <w:pPr>
        <w:snapToGrid w:val="0"/>
        <w:spacing w:line="360" w:lineRule="auto"/>
        <w:jc w:val="center"/>
        <w:rPr>
          <w:rFonts w:hint="eastAsia" w:ascii="宋体" w:hAnsi="宋体" w:cs="宋体"/>
          <w:color w:val="auto"/>
          <w:sz w:val="24"/>
          <w:highlight w:val="none"/>
          <w:u w:val="single"/>
        </w:rPr>
      </w:pPr>
    </w:p>
    <w:p w14:paraId="0FAE1B95">
      <w:pPr>
        <w:snapToGrid w:val="0"/>
        <w:spacing w:line="360" w:lineRule="auto"/>
        <w:rPr>
          <w:rFonts w:hint="eastAsia" w:ascii="宋体" w:hAnsi="宋体" w:cs="宋体"/>
          <w:bCs/>
          <w:color w:val="auto"/>
          <w:sz w:val="24"/>
          <w:highlight w:val="none"/>
        </w:rPr>
      </w:pPr>
    </w:p>
    <w:p w14:paraId="48E589C8">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12360E81">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被授权人的姓名）代表我公司参加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（采购项目名称)项目的采购活动，全权处理一切与该项目公开招标有关的事务。其在办理上述事宜过程中所签署的所有文件我公司均予以承认。</w:t>
      </w:r>
    </w:p>
    <w:p w14:paraId="0A1E203F">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被授权人无转委托权，特此委托。</w:t>
      </w:r>
    </w:p>
    <w:p w14:paraId="7D1839DE">
      <w:pPr>
        <w:adjustRightInd w:val="0"/>
        <w:snapToGrid w:val="0"/>
        <w:spacing w:line="360" w:lineRule="auto"/>
        <w:ind w:firstLine="440" w:firstLineChars="200"/>
        <w:jc w:val="left"/>
        <w:rPr>
          <w:rFonts w:hint="eastAsia" w:ascii="宋体" w:hAnsi="宋体" w:cs="宋体"/>
          <w:color w:val="auto"/>
          <w:sz w:val="22"/>
          <w:szCs w:val="22"/>
          <w:highlight w:val="none"/>
        </w:rPr>
      </w:pPr>
    </w:p>
    <w:p w14:paraId="1EB1550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附：被授权人情况：</w:t>
      </w:r>
    </w:p>
    <w:p w14:paraId="37CAE267">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7E030AA7">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26F0AA6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D2A544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04278F61">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0860104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C86670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0962A3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6CABA45A">
      <w:pPr>
        <w:spacing w:line="360" w:lineRule="auto"/>
        <w:rPr>
          <w:rFonts w:hint="eastAsia" w:ascii="宋体" w:hAnsi="宋体" w:cs="宋体"/>
          <w:color w:val="auto"/>
          <w:sz w:val="22"/>
          <w:szCs w:val="22"/>
          <w:highlight w:val="none"/>
        </w:rPr>
      </w:pPr>
    </w:p>
    <w:p w14:paraId="436B730E">
      <w:pPr>
        <w:spacing w:line="360" w:lineRule="auto"/>
        <w:ind w:firstLine="1980" w:firstLineChars="90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37D6C848">
      <w:pPr>
        <w:spacing w:line="360" w:lineRule="auto"/>
        <w:rPr>
          <w:rFonts w:hint="eastAsia" w:ascii="宋体" w:hAnsi="宋体" w:cs="宋体"/>
          <w:color w:val="auto"/>
          <w:sz w:val="22"/>
          <w:szCs w:val="22"/>
          <w:highlight w:val="none"/>
        </w:rPr>
      </w:pPr>
    </w:p>
    <w:p w14:paraId="6C482031">
      <w:pPr>
        <w:spacing w:line="360" w:lineRule="auto"/>
        <w:rPr>
          <w:rFonts w:hint="eastAsia" w:ascii="宋体" w:hAnsi="宋体" w:cs="宋体"/>
          <w:color w:val="auto"/>
          <w:sz w:val="22"/>
          <w:szCs w:val="22"/>
          <w:highlight w:val="none"/>
        </w:rPr>
      </w:pPr>
    </w:p>
    <w:p w14:paraId="751843A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被授权人身份证复印件（正反面）</w:t>
      </w:r>
    </w:p>
    <w:p w14:paraId="464B97E9">
      <w:pPr>
        <w:spacing w:line="360" w:lineRule="auto"/>
        <w:rPr>
          <w:rFonts w:hint="eastAsia" w:ascii="宋体" w:hAnsi="宋体" w:cs="宋体"/>
          <w:color w:val="auto"/>
          <w:sz w:val="22"/>
          <w:szCs w:val="22"/>
          <w:highlight w:val="none"/>
        </w:rPr>
      </w:pPr>
    </w:p>
    <w:p w14:paraId="61FD2A6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C09813C">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0EE56EA0">
      <w:pPr>
        <w:spacing w:line="360" w:lineRule="auto"/>
        <w:ind w:firstLine="2289" w:firstLineChars="950"/>
        <w:rPr>
          <w:rFonts w:hint="eastAsia" w:ascii="宋体" w:hAnsi="宋体" w:cs="宋体"/>
          <w:b/>
          <w:bCs/>
          <w:color w:val="auto"/>
          <w:sz w:val="24"/>
          <w:highlight w:val="none"/>
        </w:rPr>
      </w:pPr>
    </w:p>
    <w:p w14:paraId="5AB05D39">
      <w:pPr>
        <w:spacing w:line="360" w:lineRule="auto"/>
        <w:rPr>
          <w:rFonts w:hint="eastAsia" w:ascii="宋体" w:hAnsi="宋体" w:cs="宋体"/>
          <w:color w:val="auto"/>
          <w:sz w:val="24"/>
          <w:highlight w:val="none"/>
        </w:rPr>
      </w:pPr>
    </w:p>
    <w:p w14:paraId="1076AF53">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45F4E5E">
      <w:pPr>
        <w:pStyle w:val="39"/>
        <w:spacing w:line="560" w:lineRule="exact"/>
        <w:jc w:val="center"/>
        <w:rPr>
          <w:b/>
          <w:bCs/>
          <w:color w:val="auto"/>
          <w:sz w:val="32"/>
          <w:szCs w:val="32"/>
          <w:highlight w:val="none"/>
        </w:rPr>
      </w:pPr>
      <w:r>
        <w:rPr>
          <w:rFonts w:hint="eastAsia" w:ascii="宋体" w:hAnsi="宋体" w:cs="宋体"/>
          <w:b/>
          <w:bCs/>
          <w:color w:val="auto"/>
          <w:sz w:val="24"/>
          <w:highlight w:val="none"/>
        </w:rPr>
        <w:t>4、</w:t>
      </w:r>
      <w:r>
        <w:rPr>
          <w:rFonts w:hint="eastAsia"/>
          <w:b/>
          <w:bCs/>
          <w:color w:val="auto"/>
          <w:sz w:val="24"/>
          <w:szCs w:val="24"/>
          <w:highlight w:val="none"/>
          <w:lang w:eastAsia="zh-CN"/>
        </w:rPr>
        <w:t>投标供应商</w:t>
      </w:r>
      <w:r>
        <w:rPr>
          <w:b/>
          <w:bCs/>
          <w:color w:val="auto"/>
          <w:sz w:val="24"/>
          <w:szCs w:val="24"/>
          <w:highlight w:val="none"/>
        </w:rPr>
        <w:t>声明函</w:t>
      </w:r>
    </w:p>
    <w:p w14:paraId="59341AFE">
      <w:pPr>
        <w:spacing w:line="460" w:lineRule="exact"/>
        <w:rPr>
          <w:b/>
          <w:bCs/>
          <w:color w:val="auto"/>
          <w:sz w:val="44"/>
          <w:szCs w:val="44"/>
          <w:highlight w:val="none"/>
        </w:rPr>
      </w:pPr>
      <w:r>
        <w:rPr>
          <w:b/>
          <w:bCs/>
          <w:color w:val="auto"/>
          <w:szCs w:val="21"/>
          <w:highlight w:val="none"/>
        </w:rPr>
        <w:t xml:space="preserve">                       </w:t>
      </w:r>
      <w:r>
        <w:rPr>
          <w:b/>
          <w:bCs/>
          <w:color w:val="auto"/>
          <w:sz w:val="44"/>
          <w:szCs w:val="44"/>
          <w:highlight w:val="none"/>
        </w:rPr>
        <w:t xml:space="preserve">   </w:t>
      </w:r>
    </w:p>
    <w:p w14:paraId="52425E05">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我单位参加</w:t>
      </w:r>
      <w:r>
        <w:rPr>
          <w:rFonts w:hint="eastAsia" w:ascii="宋体" w:hAnsi="宋体" w:eastAsia="宋体" w:cs="宋体"/>
          <w:color w:val="auto"/>
          <w:sz w:val="22"/>
          <w:szCs w:val="22"/>
          <w:highlight w:val="none"/>
          <w:u w:val="single"/>
        </w:rPr>
        <w:t xml:space="preserve">            （项目名称）</w:t>
      </w:r>
      <w:r>
        <w:rPr>
          <w:rFonts w:hint="eastAsia" w:ascii="宋体" w:hAnsi="宋体" w:eastAsia="宋体" w:cs="宋体"/>
          <w:color w:val="auto"/>
          <w:sz w:val="22"/>
          <w:szCs w:val="22"/>
          <w:highlight w:val="none"/>
        </w:rPr>
        <w:t>投标活动。我单位声明如下：</w:t>
      </w:r>
    </w:p>
    <w:p w14:paraId="0D262890">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我单位具有独立承担民事责任的能力；</w:t>
      </w:r>
    </w:p>
    <w:p w14:paraId="1E81FD23">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我单位具有良好的商业信誉和健全的财务会计制度；</w:t>
      </w:r>
    </w:p>
    <w:p w14:paraId="68994214">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我单位具有履行合同所必需的设备和专业技术能力； </w:t>
      </w:r>
    </w:p>
    <w:p w14:paraId="0F7ACB7A">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我单位有依法缴纳税收和社会保障资金的良好记录；</w:t>
      </w:r>
    </w:p>
    <w:p w14:paraId="66006E2C">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我单位参加采购活动前三年内，在经营活动中没有重大违法记录；在投标截止时间节点，没有被“信用中国”网站（www.creditchina.gov.cn）列入失信被执行人、重大税收违法案件当事人名单；</w:t>
      </w:r>
    </w:p>
    <w:p w14:paraId="474707F9">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我单位满足法律、行政法规规定的其他条件。</w:t>
      </w:r>
    </w:p>
    <w:p w14:paraId="5287C5BC">
      <w:pPr>
        <w:snapToGrid w:val="0"/>
        <w:spacing w:line="360" w:lineRule="auto"/>
        <w:ind w:firstLine="444" w:firstLineChars="202"/>
        <w:rPr>
          <w:rFonts w:ascii="宋体" w:hAnsi="宋体" w:eastAsia="宋体" w:cs="宋体"/>
          <w:color w:val="auto"/>
          <w:sz w:val="22"/>
          <w:szCs w:val="22"/>
          <w:highlight w:val="none"/>
        </w:rPr>
      </w:pPr>
    </w:p>
    <w:p w14:paraId="06031614">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承诺人名称（盖单位公章）：</w:t>
      </w:r>
    </w:p>
    <w:p w14:paraId="0800ED43">
      <w:pPr>
        <w:snapToGrid w:val="0"/>
        <w:spacing w:line="360" w:lineRule="auto"/>
        <w:ind w:firstLine="444" w:firstLineChars="20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p>
    <w:p w14:paraId="12A0C417">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年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    日</w:t>
      </w:r>
    </w:p>
    <w:p w14:paraId="2850FFC1">
      <w:pPr>
        <w:wordWrap w:val="0"/>
        <w:snapToGrid w:val="0"/>
        <w:spacing w:line="460" w:lineRule="exact"/>
        <w:jc w:val="right"/>
        <w:rPr>
          <w:rFonts w:ascii="宋体" w:hAnsi="宋体"/>
          <w:bCs/>
          <w:color w:val="auto"/>
          <w:sz w:val="24"/>
          <w:highlight w:val="none"/>
        </w:rPr>
      </w:pPr>
    </w:p>
    <w:p w14:paraId="7C799551">
      <w:pPr>
        <w:spacing w:line="360" w:lineRule="auto"/>
        <w:jc w:val="left"/>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商务</w:t>
      </w:r>
      <w:r>
        <w:rPr>
          <w:rFonts w:hint="eastAsia" w:ascii="宋体" w:hAnsi="宋体" w:cs="宋体"/>
          <w:b/>
          <w:bCs/>
          <w:color w:val="auto"/>
          <w:sz w:val="24"/>
          <w:highlight w:val="none"/>
        </w:rPr>
        <w:t>技术</w:t>
      </w:r>
      <w:r>
        <w:rPr>
          <w:rFonts w:hint="eastAsia" w:ascii="宋体" w:hAnsi="宋体" w:cs="宋体"/>
          <w:b/>
          <w:bCs/>
          <w:color w:val="auto"/>
          <w:sz w:val="24"/>
          <w:highlight w:val="none"/>
          <w:lang w:val="en-US" w:eastAsia="zh-CN"/>
        </w:rPr>
        <w:t>标</w:t>
      </w:r>
      <w:r>
        <w:rPr>
          <w:rFonts w:hint="eastAsia" w:ascii="宋体" w:hAnsi="宋体" w:cs="宋体"/>
          <w:b/>
          <w:bCs/>
          <w:color w:val="auto"/>
          <w:sz w:val="24"/>
          <w:highlight w:val="none"/>
        </w:rPr>
        <w:t>相关的格式文件及表格</w:t>
      </w:r>
    </w:p>
    <w:p w14:paraId="2523BCC0">
      <w:pPr>
        <w:spacing w:line="360" w:lineRule="auto"/>
        <w:jc w:val="center"/>
        <w:rPr>
          <w:rFonts w:hint="eastAsia"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、投标响应函</w:t>
      </w:r>
    </w:p>
    <w:p w14:paraId="121279FF">
      <w:pPr>
        <w:shd w:val="clea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致    （采购人）    ：</w:t>
      </w:r>
    </w:p>
    <w:p w14:paraId="4F5EC41F">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根据贵方的</w:t>
      </w:r>
      <w:r>
        <w:rPr>
          <w:rFonts w:hint="eastAsia" w:ascii="宋体" w:hAnsi="宋体" w:cs="Tahoma"/>
          <w:color w:val="auto"/>
          <w:kern w:val="0"/>
          <w:sz w:val="22"/>
          <w:szCs w:val="22"/>
          <w:highlight w:val="none"/>
          <w:u w:val="single"/>
        </w:rPr>
        <w:t xml:space="preserve">        （项目名称）</w:t>
      </w:r>
      <w:r>
        <w:rPr>
          <w:rFonts w:hint="eastAsia" w:ascii="宋体" w:hAnsi="宋体" w:cs="Tahoma"/>
          <w:color w:val="auto"/>
          <w:kern w:val="0"/>
          <w:sz w:val="22"/>
          <w:szCs w:val="22"/>
          <w:highlight w:val="none"/>
        </w:rPr>
        <w:t>招标文件，正式授权下述签字人</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姓名)代表我方</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投标供应商的名称），全权处理本次项目投标的有关事宜。</w:t>
      </w:r>
    </w:p>
    <w:p w14:paraId="60D028B3">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据此函，</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姓名)签字人兹宣布同意如下：</w:t>
      </w:r>
    </w:p>
    <w:p w14:paraId="0302F014">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1.按招标文件规定的各项要求，向买方提供所需货物、服务与服务。</w:t>
      </w:r>
    </w:p>
    <w:p w14:paraId="5E318200">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2.我们完全理解贵方不一定将合同授予最低报价的</w:t>
      </w:r>
      <w:r>
        <w:rPr>
          <w:rFonts w:hint="eastAsia" w:ascii="宋体" w:hAnsi="宋体" w:cs="Tahoma"/>
          <w:color w:val="auto"/>
          <w:kern w:val="0"/>
          <w:sz w:val="22"/>
          <w:szCs w:val="22"/>
          <w:highlight w:val="none"/>
          <w:lang w:eastAsia="zh-CN"/>
        </w:rPr>
        <w:t>投标供应商</w:t>
      </w:r>
      <w:r>
        <w:rPr>
          <w:rFonts w:hint="eastAsia" w:ascii="宋体" w:hAnsi="宋体" w:cs="Tahoma"/>
          <w:color w:val="auto"/>
          <w:kern w:val="0"/>
          <w:sz w:val="22"/>
          <w:szCs w:val="22"/>
          <w:highlight w:val="none"/>
        </w:rPr>
        <w:t>。</w:t>
      </w:r>
    </w:p>
    <w:p w14:paraId="2428AA58">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3.我们已详细审核全部招标文件及其有效补充文件，我们知道必须放弃提出含糊不清或误解问题的权利。</w:t>
      </w:r>
    </w:p>
    <w:p w14:paraId="7F1FAEAB">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4.我们同意从规定的开标日期起遵循本投标文件，并在规定的投标有效期期满之前均具有约束力。</w:t>
      </w:r>
    </w:p>
    <w:p w14:paraId="08409666">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5.同意向贵方提供贵方可能另外要求的与投标有关的任何证据或资料，并保证我方已提供和将要提供的文件是真实的、准确的。</w:t>
      </w:r>
    </w:p>
    <w:p w14:paraId="1A12326D">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6.一旦我方</w:t>
      </w:r>
      <w:r>
        <w:rPr>
          <w:rFonts w:hint="eastAsia" w:ascii="宋体" w:hAnsi="宋体" w:cs="Tahoma"/>
          <w:color w:val="auto"/>
          <w:kern w:val="0"/>
          <w:sz w:val="22"/>
          <w:szCs w:val="22"/>
          <w:highlight w:val="none"/>
          <w:lang w:eastAsia="zh-CN"/>
        </w:rPr>
        <w:t>成交</w:t>
      </w:r>
      <w:r>
        <w:rPr>
          <w:rFonts w:hint="eastAsia" w:ascii="宋体" w:hAnsi="宋体" w:cs="Tahoma"/>
          <w:color w:val="auto"/>
          <w:kern w:val="0"/>
          <w:sz w:val="22"/>
          <w:szCs w:val="22"/>
          <w:highlight w:val="none"/>
        </w:rPr>
        <w:t>,我方将根据招标文件的规定，严格履行合同的责任和义务,并保证在招标文件规定的时间完成项目，交付买方验收、使用。</w:t>
      </w:r>
    </w:p>
    <w:p w14:paraId="441A67EF">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7.与本投标有关的正式通讯地址为：</w:t>
      </w:r>
    </w:p>
    <w:p w14:paraId="6D7177A6">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地址</w:t>
      </w:r>
      <w:r>
        <w:rPr>
          <w:rFonts w:hint="eastAsia" w:ascii="宋体" w:hAnsi="宋体" w:cs="Tahoma"/>
          <w:color w:val="auto"/>
          <w:kern w:val="0"/>
          <w:sz w:val="22"/>
          <w:szCs w:val="22"/>
          <w:highlight w:val="none"/>
          <w:u w:val="single"/>
        </w:rPr>
        <w:t xml:space="preserve">：            </w:t>
      </w:r>
    </w:p>
    <w:p w14:paraId="6D4F28B0">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邮编</w:t>
      </w:r>
      <w:r>
        <w:rPr>
          <w:rFonts w:hint="eastAsia" w:ascii="宋体" w:hAnsi="宋体" w:cs="Tahoma"/>
          <w:color w:val="auto"/>
          <w:kern w:val="0"/>
          <w:sz w:val="22"/>
          <w:szCs w:val="22"/>
          <w:highlight w:val="none"/>
          <w:u w:val="single"/>
        </w:rPr>
        <w:t xml:space="preserve">：            </w:t>
      </w:r>
    </w:p>
    <w:p w14:paraId="4FE64EB3">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电话</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 xml:space="preserve"> </w:t>
      </w:r>
    </w:p>
    <w:p w14:paraId="0EAA6626">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传真</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 xml:space="preserve"> </w:t>
      </w:r>
    </w:p>
    <w:p w14:paraId="221DDA1D">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lang w:eastAsia="zh-CN"/>
        </w:rPr>
        <w:t>投标供应商</w:t>
      </w:r>
      <w:r>
        <w:rPr>
          <w:rFonts w:hint="eastAsia" w:ascii="宋体" w:hAnsi="宋体" w:cs="Tahoma"/>
          <w:color w:val="auto"/>
          <w:kern w:val="0"/>
          <w:sz w:val="22"/>
          <w:szCs w:val="22"/>
          <w:highlight w:val="none"/>
        </w:rPr>
        <w:t>开户行</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 xml:space="preserve"> </w:t>
      </w:r>
    </w:p>
    <w:p w14:paraId="1D86B251">
      <w:pPr>
        <w:widowControl/>
        <w:shd w:val="clear"/>
        <w:wordWrap w:val="0"/>
        <w:spacing w:line="480" w:lineRule="exact"/>
        <w:ind w:firstLine="440" w:firstLineChars="200"/>
        <w:jc w:val="left"/>
        <w:rPr>
          <w:rFonts w:hint="eastAsia" w:ascii="宋体" w:hAnsi="宋体" w:cs="Tahoma"/>
          <w:color w:val="auto"/>
          <w:kern w:val="0"/>
          <w:sz w:val="22"/>
          <w:szCs w:val="22"/>
          <w:highlight w:val="none"/>
        </w:rPr>
      </w:pPr>
      <w:r>
        <w:rPr>
          <w:rFonts w:hint="eastAsia" w:ascii="宋体" w:hAnsi="宋体" w:cs="Tahoma"/>
          <w:color w:val="auto"/>
          <w:kern w:val="0"/>
          <w:sz w:val="22"/>
          <w:szCs w:val="22"/>
          <w:highlight w:val="none"/>
        </w:rPr>
        <w:t>账户</w:t>
      </w:r>
      <w:r>
        <w:rPr>
          <w:rFonts w:hint="eastAsia" w:ascii="宋体" w:hAnsi="宋体" w:cs="Tahoma"/>
          <w:color w:val="auto"/>
          <w:kern w:val="0"/>
          <w:sz w:val="22"/>
          <w:szCs w:val="22"/>
          <w:highlight w:val="none"/>
          <w:u w:val="single"/>
        </w:rPr>
        <w:t xml:space="preserve">：            </w:t>
      </w:r>
      <w:r>
        <w:rPr>
          <w:rFonts w:hint="eastAsia" w:ascii="宋体" w:hAnsi="宋体" w:cs="Tahoma"/>
          <w:color w:val="auto"/>
          <w:kern w:val="0"/>
          <w:sz w:val="22"/>
          <w:szCs w:val="22"/>
          <w:highlight w:val="none"/>
        </w:rPr>
        <w:t xml:space="preserve"> </w:t>
      </w:r>
    </w:p>
    <w:p w14:paraId="11811716">
      <w:pPr>
        <w:widowControl/>
        <w:shd w:val="clear"/>
        <w:wordWrap w:val="0"/>
        <w:spacing w:line="480" w:lineRule="exact"/>
        <w:jc w:val="left"/>
        <w:rPr>
          <w:rFonts w:hint="eastAsia" w:ascii="宋体" w:hAnsi="宋体" w:cs="Tahoma"/>
          <w:color w:val="auto"/>
          <w:kern w:val="0"/>
          <w:sz w:val="22"/>
          <w:szCs w:val="22"/>
          <w:highlight w:val="none"/>
        </w:rPr>
      </w:pPr>
    </w:p>
    <w:p w14:paraId="70914E3B">
      <w:pPr>
        <w:shd w:val="clear"/>
        <w:kinsoku w:val="0"/>
        <w:topLinePunct/>
        <w:snapToGrid w:val="0"/>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投标供应商：（盖章）             </w:t>
      </w:r>
    </w:p>
    <w:p w14:paraId="5054240F">
      <w:pPr>
        <w:shd w:val="clear"/>
        <w:kinsoku w:val="0"/>
        <w:topLinePunct/>
        <w:snapToGrid w:val="0"/>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1E1FC642">
      <w:pPr>
        <w:shd w:val="clear"/>
        <w:kinsoku w:val="0"/>
        <w:topLinePunct/>
        <w:snapToGrid w:val="0"/>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2417366F">
      <w:pPr>
        <w:spacing w:line="480" w:lineRule="exact"/>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2、供应商一般情况表</w:t>
      </w:r>
    </w:p>
    <w:p w14:paraId="4A061D6B">
      <w:pPr>
        <w:spacing w:line="360" w:lineRule="auto"/>
        <w:ind w:firstLine="1325" w:firstLineChars="550"/>
        <w:jc w:val="center"/>
        <w:rPr>
          <w:rFonts w:hint="eastAsia" w:ascii="宋体" w:hAnsi="宋体" w:cs="宋体"/>
          <w:b/>
          <w:bCs/>
          <w:color w:val="auto"/>
          <w:sz w:val="24"/>
          <w:highlight w:val="none"/>
        </w:rPr>
      </w:pPr>
    </w:p>
    <w:tbl>
      <w:tblPr>
        <w:tblStyle w:val="19"/>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7DF6A38D">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E7AE0DE">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2AE58578">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754DBE6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B879249">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1260972B">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5664E16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EC30DD4">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016370DC">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1CFD8D5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73E2DA8">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309BDCCF">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5523EC54">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0DE7C1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574CF162">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1DF847E7">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091E3123">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4C5181B3">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DBDD109">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001267EF">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14D60328">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43849DEB">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11EB114D">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06BF5EC">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64293342">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6A23A1A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17B5BEEE">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042E348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AA7C80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10E147DD">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公司具备的相关资质等级及相应的证书号</w:t>
            </w:r>
          </w:p>
          <w:p w14:paraId="31CB423E">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（请附有关证书的复印件）</w:t>
            </w:r>
          </w:p>
        </w:tc>
      </w:tr>
      <w:tr w14:paraId="32DA91D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956148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378C440F">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公司</w:t>
            </w:r>
            <w:r>
              <w:rPr>
                <w:rFonts w:hint="eastAsia" w:ascii="宋体" w:hAnsi="宋体" w:cs="宋体"/>
                <w:color w:val="auto"/>
                <w:sz w:val="22"/>
                <w:szCs w:val="22"/>
                <w:highlight w:val="none"/>
                <w:u w:val="single"/>
              </w:rPr>
              <w:t xml:space="preserve">   （是否通过，何种）   </w:t>
            </w:r>
            <w:r>
              <w:rPr>
                <w:rFonts w:hint="eastAsia" w:ascii="宋体" w:hAnsi="宋体" w:cs="宋体"/>
                <w:color w:val="auto"/>
                <w:sz w:val="22"/>
                <w:szCs w:val="22"/>
                <w:highlight w:val="none"/>
              </w:rPr>
              <w:t>质量保证体系认证（如通过请附相关在有效期内的证书复印件）</w:t>
            </w:r>
          </w:p>
        </w:tc>
      </w:tr>
      <w:tr w14:paraId="34E6CC6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86485DE">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5DF09548">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417" w:type="dxa"/>
            <w:gridSpan w:val="2"/>
            <w:tcBorders>
              <w:top w:val="single" w:color="auto" w:sz="4" w:space="0"/>
              <w:left w:val="nil"/>
              <w:bottom w:val="single" w:color="auto" w:sz="4" w:space="0"/>
              <w:right w:val="single" w:color="auto" w:sz="4" w:space="0"/>
            </w:tcBorders>
            <w:noWrap w:val="0"/>
            <w:vAlign w:val="top"/>
          </w:tcPr>
          <w:p w14:paraId="0CCDD453">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35516410">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320" w:type="dxa"/>
            <w:tcBorders>
              <w:top w:val="single" w:color="auto" w:sz="4" w:space="0"/>
              <w:left w:val="nil"/>
              <w:bottom w:val="single" w:color="auto" w:sz="4" w:space="0"/>
              <w:right w:val="single" w:color="auto" w:sz="4" w:space="0"/>
            </w:tcBorders>
            <w:noWrap w:val="0"/>
            <w:vAlign w:val="top"/>
          </w:tcPr>
          <w:p w14:paraId="0C716BAA">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性别</w:t>
            </w:r>
          </w:p>
        </w:tc>
        <w:tc>
          <w:tcPr>
            <w:tcW w:w="1467" w:type="dxa"/>
            <w:tcBorders>
              <w:top w:val="single" w:color="auto" w:sz="4" w:space="0"/>
              <w:left w:val="nil"/>
              <w:bottom w:val="single" w:color="auto" w:sz="4" w:space="0"/>
              <w:right w:val="single" w:color="auto" w:sz="4" w:space="0"/>
            </w:tcBorders>
            <w:noWrap w:val="0"/>
            <w:vAlign w:val="top"/>
          </w:tcPr>
          <w:p w14:paraId="78AA32A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r>
      <w:tr w14:paraId="66D97C4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9BE722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1B941C93">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c>
          <w:tcPr>
            <w:tcW w:w="1466" w:type="dxa"/>
            <w:gridSpan w:val="2"/>
            <w:tcBorders>
              <w:top w:val="single" w:color="auto" w:sz="4" w:space="0"/>
              <w:left w:val="nil"/>
              <w:bottom w:val="single" w:color="auto" w:sz="4" w:space="0"/>
              <w:right w:val="single" w:color="auto" w:sz="4" w:space="0"/>
            </w:tcBorders>
            <w:noWrap w:val="0"/>
            <w:vAlign w:val="top"/>
          </w:tcPr>
          <w:p w14:paraId="68CAF639">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14BBF3A5">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6979A3FE">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011EA61">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4E383216">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营业执照载明：</w:t>
            </w:r>
          </w:p>
          <w:p w14:paraId="2DF62FE3">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w:t>
            </w:r>
          </w:p>
          <w:p w14:paraId="14F81C3E">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w:t>
            </w:r>
          </w:p>
          <w:p w14:paraId="5462E10A">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w:t>
            </w:r>
            <w:r>
              <w:rPr>
                <w:rFonts w:hint="eastAsia" w:ascii="宋体" w:hAnsi="宋体" w:cs="宋体"/>
                <w:color w:val="auto"/>
                <w:sz w:val="22"/>
                <w:szCs w:val="22"/>
                <w:highlight w:val="none"/>
                <w:u w:val="single"/>
              </w:rPr>
              <w:t xml:space="preserve">                                               </w:t>
            </w:r>
          </w:p>
          <w:p w14:paraId="6EDF3645">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r>
      <w:tr w14:paraId="7233FDDD">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3A80C46">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2ACC409C">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r w14:paraId="66500647">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39503668">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186B4242">
            <w:pPr>
              <w:keepNext w:val="0"/>
              <w:keepLines w:val="0"/>
              <w:suppressLineNumbers w:val="0"/>
              <w:spacing w:before="0" w:beforeAutospacing="0" w:after="0" w:afterAutospacing="0" w:line="360" w:lineRule="auto"/>
              <w:ind w:left="0" w:right="0"/>
              <w:rPr>
                <w:rFonts w:hint="eastAsia" w:ascii="宋体" w:hAnsi="宋体" w:cs="宋体"/>
                <w:color w:val="auto"/>
                <w:sz w:val="22"/>
                <w:szCs w:val="22"/>
                <w:highlight w:val="none"/>
              </w:rPr>
            </w:pPr>
          </w:p>
        </w:tc>
      </w:tr>
    </w:tbl>
    <w:p w14:paraId="2DCB6BC0">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投标供应商：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14:paraId="3BCFCCAF">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44595D87">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78FB1253">
      <w:pPr>
        <w:snapToGrid w:val="0"/>
        <w:spacing w:line="360" w:lineRule="auto"/>
        <w:jc w:val="center"/>
        <w:outlineLvl w:val="4"/>
        <w:rPr>
          <w:rFonts w:hint="eastAsia" w:ascii="宋体" w:hAnsi="宋体" w:cs="宋体"/>
          <w:b/>
          <w:bCs/>
          <w:color w:val="auto"/>
          <w:sz w:val="24"/>
          <w:highlight w:val="none"/>
        </w:rPr>
      </w:pPr>
    </w:p>
    <w:p w14:paraId="369234E4">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4E0BE36">
      <w:pPr>
        <w:keepNext w:val="0"/>
        <w:keepLines w:val="0"/>
        <w:widowControl w:val="0"/>
        <w:numPr>
          <w:ilvl w:val="0"/>
          <w:numId w:val="0"/>
        </w:numPr>
        <w:suppressLineNumbers w:val="0"/>
        <w:snapToGrid w:val="0"/>
        <w:spacing w:before="0" w:beforeAutospacing="0" w:after="0" w:afterAutospacing="0" w:line="360" w:lineRule="auto"/>
        <w:ind w:right="0" w:rightChars="0"/>
        <w:jc w:val="center"/>
        <w:outlineLvl w:val="2"/>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3、技术</w:t>
      </w:r>
      <w:r>
        <w:rPr>
          <w:rFonts w:hint="eastAsia" w:ascii="宋体" w:hAnsi="宋体" w:cs="宋体"/>
          <w:b/>
          <w:bCs w:val="0"/>
          <w:color w:val="auto"/>
          <w:kern w:val="2"/>
          <w:sz w:val="24"/>
          <w:szCs w:val="24"/>
          <w:highlight w:val="none"/>
          <w:lang w:val="en-US" w:eastAsia="zh-CN" w:bidi="ar"/>
        </w:rPr>
        <w:t>部分</w:t>
      </w:r>
      <w:r>
        <w:rPr>
          <w:rFonts w:hint="eastAsia" w:ascii="宋体" w:hAnsi="宋体" w:eastAsia="宋体" w:cs="宋体"/>
          <w:b/>
          <w:bCs w:val="0"/>
          <w:color w:val="auto"/>
          <w:kern w:val="2"/>
          <w:sz w:val="24"/>
          <w:szCs w:val="24"/>
          <w:highlight w:val="none"/>
          <w:lang w:val="en-US" w:eastAsia="zh-CN" w:bidi="ar"/>
        </w:rPr>
        <w:t>响应及偏离表</w:t>
      </w:r>
    </w:p>
    <w:p w14:paraId="5BC7C305">
      <w:pPr>
        <w:keepNext w:val="0"/>
        <w:keepLines w:val="0"/>
        <w:widowControl w:val="0"/>
        <w:suppressLineNumbers w:val="0"/>
        <w:spacing w:before="0" w:beforeAutospacing="0" w:after="0" w:afterAutospacing="0"/>
        <w:ind w:left="0" w:right="0" w:firstLine="440" w:firstLineChars="200"/>
        <w:jc w:val="center"/>
        <w:rPr>
          <w:rFonts w:hint="eastAsia" w:ascii="宋体" w:hAnsi="宋体" w:eastAsia="宋体" w:cs="宋体"/>
          <w:b/>
          <w:bCs w:val="0"/>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（由供应商据实填写，表格不够自行添加）</w:t>
      </w:r>
    </w:p>
    <w:tbl>
      <w:tblPr>
        <w:tblStyle w:val="19"/>
        <w:tblW w:w="51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4"/>
        <w:gridCol w:w="1955"/>
        <w:gridCol w:w="2364"/>
        <w:gridCol w:w="2165"/>
        <w:gridCol w:w="1527"/>
      </w:tblGrid>
      <w:tr w14:paraId="1E418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6" w:hRule="atLeast"/>
          <w:jc w:val="center"/>
        </w:trPr>
        <w:tc>
          <w:tcPr>
            <w:tcW w:w="784" w:type="dxa"/>
            <w:tcBorders>
              <w:top w:val="single" w:color="auto" w:sz="12" w:space="0"/>
              <w:left w:val="single" w:color="auto" w:sz="12" w:space="0"/>
              <w:bottom w:val="single" w:color="auto" w:sz="4" w:space="0"/>
              <w:right w:val="single" w:color="auto" w:sz="4" w:space="0"/>
            </w:tcBorders>
            <w:shd w:val="clear" w:color="auto" w:fill="auto"/>
            <w:vAlign w:val="center"/>
          </w:tcPr>
          <w:p w14:paraId="43C6B93E">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序号</w:t>
            </w:r>
          </w:p>
        </w:tc>
        <w:tc>
          <w:tcPr>
            <w:tcW w:w="1955" w:type="dxa"/>
            <w:tcBorders>
              <w:top w:val="single" w:color="auto" w:sz="12" w:space="0"/>
              <w:left w:val="nil"/>
              <w:bottom w:val="single" w:color="auto" w:sz="4" w:space="0"/>
              <w:right w:val="single" w:color="auto" w:sz="4" w:space="0"/>
            </w:tcBorders>
            <w:shd w:val="clear" w:color="auto" w:fill="auto"/>
            <w:vAlign w:val="center"/>
          </w:tcPr>
          <w:p w14:paraId="06BC7224">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货物或服务名称</w:t>
            </w:r>
          </w:p>
        </w:tc>
        <w:tc>
          <w:tcPr>
            <w:tcW w:w="2364" w:type="dxa"/>
            <w:tcBorders>
              <w:top w:val="single" w:color="auto" w:sz="12" w:space="0"/>
              <w:left w:val="nil"/>
              <w:bottom w:val="single" w:color="auto" w:sz="4" w:space="0"/>
              <w:right w:val="single" w:color="auto" w:sz="4" w:space="0"/>
            </w:tcBorders>
            <w:shd w:val="clear" w:color="auto" w:fill="auto"/>
            <w:vAlign w:val="center"/>
          </w:tcPr>
          <w:p w14:paraId="4CA242FC">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strike w:val="0"/>
                <w:dstrike/>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招标文件要求的技术要求</w:t>
            </w:r>
          </w:p>
        </w:tc>
        <w:tc>
          <w:tcPr>
            <w:tcW w:w="2165" w:type="dxa"/>
            <w:tcBorders>
              <w:top w:val="single" w:color="auto" w:sz="12" w:space="0"/>
              <w:left w:val="nil"/>
              <w:bottom w:val="single" w:color="auto" w:sz="4" w:space="0"/>
              <w:right w:val="single" w:color="auto" w:sz="4" w:space="0"/>
            </w:tcBorders>
            <w:shd w:val="clear" w:color="auto" w:fill="auto"/>
            <w:vAlign w:val="center"/>
          </w:tcPr>
          <w:p w14:paraId="614BCE79">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响应文件响应情况</w:t>
            </w:r>
          </w:p>
        </w:tc>
        <w:tc>
          <w:tcPr>
            <w:tcW w:w="1527" w:type="dxa"/>
            <w:tcBorders>
              <w:top w:val="single" w:color="auto" w:sz="12" w:space="0"/>
              <w:left w:val="nil"/>
              <w:bottom w:val="single" w:color="auto" w:sz="4" w:space="0"/>
              <w:right w:val="single" w:color="auto" w:sz="4" w:space="0"/>
            </w:tcBorders>
            <w:shd w:val="clear" w:color="auto" w:fill="auto"/>
            <w:vAlign w:val="top"/>
          </w:tcPr>
          <w:p w14:paraId="4123D3A0">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kern w:val="2"/>
                <w:sz w:val="22"/>
                <w:szCs w:val="22"/>
                <w:highlight w:val="none"/>
              </w:rPr>
            </w:pPr>
          </w:p>
          <w:p w14:paraId="3303C3EE">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偏离说明</w:t>
            </w:r>
          </w:p>
        </w:tc>
      </w:tr>
      <w:tr w14:paraId="2399E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12DA0051">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20158D80">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77268D7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3A5FA54F">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1AD53ABC">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697D1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4EEDAF30">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1A9D411B">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15C5BD8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7236376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09E717C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0A074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3DF936D8">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46E39692">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0B292A5E">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4E7A12C3">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0C6B71CC">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5BE51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14AE2E0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26CFE0AD">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01E7203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79D02139">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707A02B2">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5971B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12" w:space="0"/>
              <w:right w:val="single" w:color="auto" w:sz="4" w:space="0"/>
            </w:tcBorders>
            <w:shd w:val="clear" w:color="auto" w:fill="auto"/>
            <w:vAlign w:val="top"/>
          </w:tcPr>
          <w:p w14:paraId="13BC1CC0">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w:t>
            </w:r>
          </w:p>
        </w:tc>
        <w:tc>
          <w:tcPr>
            <w:tcW w:w="1955" w:type="dxa"/>
            <w:tcBorders>
              <w:top w:val="single" w:color="auto" w:sz="4" w:space="0"/>
              <w:left w:val="nil"/>
              <w:bottom w:val="single" w:color="auto" w:sz="12" w:space="0"/>
              <w:right w:val="single" w:color="auto" w:sz="4" w:space="0"/>
            </w:tcBorders>
            <w:shd w:val="clear" w:color="auto" w:fill="auto"/>
            <w:vAlign w:val="center"/>
          </w:tcPr>
          <w:p w14:paraId="5D02D6DE">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12" w:space="0"/>
              <w:right w:val="single" w:color="auto" w:sz="4" w:space="0"/>
            </w:tcBorders>
            <w:shd w:val="clear" w:color="auto" w:fill="auto"/>
            <w:vAlign w:val="top"/>
          </w:tcPr>
          <w:p w14:paraId="11DFECC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12" w:space="0"/>
              <w:right w:val="single" w:color="auto" w:sz="4" w:space="0"/>
            </w:tcBorders>
            <w:shd w:val="clear" w:color="auto" w:fill="auto"/>
            <w:vAlign w:val="center"/>
          </w:tcPr>
          <w:p w14:paraId="1612444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12" w:space="0"/>
              <w:right w:val="single" w:color="auto" w:sz="4" w:space="0"/>
            </w:tcBorders>
            <w:shd w:val="clear" w:color="auto" w:fill="auto"/>
            <w:vAlign w:val="center"/>
          </w:tcPr>
          <w:p w14:paraId="74181FBC">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bl>
    <w:p w14:paraId="50371BF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661659E">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1.投标供应商提交的投标文件中与招标文件第三部分“项目需求”中的技术部分的要求不同的，应逐条填列在偏离表中。投标供应商未在此表明示的技术部分内容，视为完全响应招标文件。</w:t>
      </w:r>
    </w:p>
    <w:p w14:paraId="76BECF1A">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“偏离说明”一栏选择“正偏离”、“无偏离”、“负偏离”进行填写。正偏离、无偏离的确认和负偏离的是否响应招标文件，由评委认定。</w:t>
      </w:r>
    </w:p>
    <w:p w14:paraId="447D2CE2">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.供应商若提供其他增值服务，可以在表中自行据实填写。</w:t>
      </w:r>
    </w:p>
    <w:p w14:paraId="3E224486">
      <w:pPr>
        <w:spacing w:line="360" w:lineRule="auto"/>
        <w:ind w:firstLine="480"/>
        <w:contextualSpacing/>
        <w:rPr>
          <w:rFonts w:hint="eastAsia" w:ascii="宋体" w:hAnsi="宋体" w:eastAsia="宋体" w:cs="宋体"/>
          <w:color w:val="auto"/>
          <w:sz w:val="24"/>
          <w:highlight w:val="none"/>
        </w:rPr>
      </w:pPr>
    </w:p>
    <w:p w14:paraId="706FBF17">
      <w:pPr>
        <w:spacing w:line="360" w:lineRule="auto"/>
        <w:ind w:firstLine="480"/>
        <w:contextualSpacing/>
        <w:rPr>
          <w:rFonts w:hint="eastAsia" w:ascii="宋体" w:hAnsi="宋体" w:eastAsia="宋体" w:cs="宋体"/>
          <w:color w:val="auto"/>
          <w:sz w:val="24"/>
          <w:highlight w:val="none"/>
        </w:rPr>
      </w:pPr>
    </w:p>
    <w:p w14:paraId="5F7B8186">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供应商全称（盖公章）：</w:t>
      </w:r>
    </w:p>
    <w:p w14:paraId="51F91520">
      <w:pPr>
        <w:spacing w:line="360" w:lineRule="auto"/>
        <w:ind w:firstLine="48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日  期：</w:t>
      </w:r>
    </w:p>
    <w:p w14:paraId="71DC09E3">
      <w:pPr>
        <w:keepNext w:val="0"/>
        <w:keepLines w:val="0"/>
        <w:pageBreakBefore w:val="0"/>
        <w:wordWrap/>
        <w:overflowPunct/>
        <w:autoSpaceDE/>
        <w:autoSpaceDN/>
        <w:bidi w:val="0"/>
        <w:adjustRightInd/>
        <w:snapToGrid w:val="0"/>
        <w:spacing w:beforeAutospacing="0" w:line="440" w:lineRule="exact"/>
        <w:jc w:val="center"/>
        <w:textAlignment w:val="auto"/>
        <w:outlineLvl w:val="2"/>
        <w:rPr>
          <w:rFonts w:hint="eastAsia" w:ascii="宋体" w:hAnsi="宋体" w:cs="宋体"/>
          <w:b/>
          <w:bCs/>
          <w:color w:val="auto"/>
          <w:sz w:val="22"/>
          <w:szCs w:val="22"/>
          <w:highlight w:val="none"/>
        </w:rPr>
      </w:pPr>
    </w:p>
    <w:p w14:paraId="7C9A8AFF">
      <w:pPr>
        <w:keepNext w:val="0"/>
        <w:keepLines w:val="0"/>
        <w:pageBreakBefore w:val="0"/>
        <w:wordWrap/>
        <w:overflowPunct/>
        <w:autoSpaceDE/>
        <w:autoSpaceDN/>
        <w:bidi w:val="0"/>
        <w:adjustRightInd/>
        <w:spacing w:beforeAutospacing="0" w:line="440" w:lineRule="exact"/>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751CCC02">
      <w:pPr>
        <w:numPr>
          <w:ilvl w:val="0"/>
          <w:numId w:val="4"/>
        </w:num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商务</w:t>
      </w:r>
      <w:r>
        <w:rPr>
          <w:rFonts w:hint="eastAsia" w:ascii="宋体" w:hAnsi="宋体" w:cs="宋体"/>
          <w:b/>
          <w:bCs/>
          <w:color w:val="auto"/>
          <w:sz w:val="24"/>
          <w:highlight w:val="none"/>
          <w:lang w:val="en-US" w:eastAsia="zh-CN"/>
        </w:rPr>
        <w:t>部分</w:t>
      </w:r>
      <w:r>
        <w:rPr>
          <w:rFonts w:hint="eastAsia" w:ascii="宋体" w:hAnsi="宋体" w:cs="宋体"/>
          <w:b/>
          <w:bCs/>
          <w:color w:val="auto"/>
          <w:sz w:val="24"/>
          <w:highlight w:val="none"/>
        </w:rPr>
        <w:t>正负偏离表</w:t>
      </w:r>
    </w:p>
    <w:p w14:paraId="4F994BDF">
      <w:pPr>
        <w:keepNext w:val="0"/>
        <w:keepLines w:val="0"/>
        <w:widowControl w:val="0"/>
        <w:suppressLineNumbers w:val="0"/>
        <w:spacing w:before="0" w:beforeAutospacing="0" w:after="0" w:afterAutospacing="0"/>
        <w:ind w:left="0" w:right="0" w:firstLine="440" w:firstLineChars="200"/>
        <w:jc w:val="center"/>
        <w:rPr>
          <w:rFonts w:hint="eastAsia"/>
          <w:color w:val="auto"/>
          <w:highlight w:val="none"/>
        </w:rPr>
      </w:pPr>
      <w:r>
        <w:rPr>
          <w:rFonts w:hint="eastAsia" w:ascii="宋体" w:hAnsi="宋体" w:eastAsia="宋体" w:cs="宋体"/>
          <w:color w:val="auto"/>
          <w:kern w:val="2"/>
          <w:sz w:val="22"/>
          <w:szCs w:val="22"/>
          <w:highlight w:val="none"/>
          <w:lang w:val="en-US" w:eastAsia="zh-CN" w:bidi="ar"/>
        </w:rPr>
        <w:t>（由供应商据实填写，表格不够自行添加）</w:t>
      </w:r>
    </w:p>
    <w:tbl>
      <w:tblPr>
        <w:tblStyle w:val="19"/>
        <w:tblW w:w="51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4"/>
        <w:gridCol w:w="1955"/>
        <w:gridCol w:w="2364"/>
        <w:gridCol w:w="2165"/>
        <w:gridCol w:w="1527"/>
      </w:tblGrid>
      <w:tr w14:paraId="772E2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PrEx>
        <w:trPr>
          <w:trHeight w:val="1016" w:hRule="atLeast"/>
          <w:jc w:val="center"/>
        </w:trPr>
        <w:tc>
          <w:tcPr>
            <w:tcW w:w="784" w:type="dxa"/>
            <w:tcBorders>
              <w:top w:val="single" w:color="auto" w:sz="12" w:space="0"/>
              <w:left w:val="single" w:color="auto" w:sz="12" w:space="0"/>
              <w:bottom w:val="single" w:color="auto" w:sz="4" w:space="0"/>
              <w:right w:val="single" w:color="auto" w:sz="4" w:space="0"/>
            </w:tcBorders>
            <w:shd w:val="clear" w:color="auto" w:fill="auto"/>
            <w:vAlign w:val="center"/>
          </w:tcPr>
          <w:p w14:paraId="11AF3A25">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序号</w:t>
            </w:r>
          </w:p>
        </w:tc>
        <w:tc>
          <w:tcPr>
            <w:tcW w:w="1955" w:type="dxa"/>
            <w:tcBorders>
              <w:top w:val="single" w:color="auto" w:sz="12" w:space="0"/>
              <w:left w:val="nil"/>
              <w:bottom w:val="single" w:color="auto" w:sz="4" w:space="0"/>
              <w:right w:val="single" w:color="auto" w:sz="4" w:space="0"/>
            </w:tcBorders>
            <w:shd w:val="clear" w:color="auto" w:fill="auto"/>
            <w:vAlign w:val="center"/>
          </w:tcPr>
          <w:p w14:paraId="05157B41">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货物或服务名称</w:t>
            </w:r>
          </w:p>
        </w:tc>
        <w:tc>
          <w:tcPr>
            <w:tcW w:w="2364" w:type="dxa"/>
            <w:tcBorders>
              <w:top w:val="single" w:color="auto" w:sz="12" w:space="0"/>
              <w:left w:val="nil"/>
              <w:bottom w:val="single" w:color="auto" w:sz="4" w:space="0"/>
              <w:right w:val="single" w:color="auto" w:sz="4" w:space="0"/>
            </w:tcBorders>
            <w:shd w:val="clear" w:color="auto" w:fill="auto"/>
            <w:vAlign w:val="center"/>
          </w:tcPr>
          <w:p w14:paraId="5DCACE02">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strike w:val="0"/>
                <w:dstrike/>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招标文件要求的商务条款</w:t>
            </w:r>
          </w:p>
        </w:tc>
        <w:tc>
          <w:tcPr>
            <w:tcW w:w="2165" w:type="dxa"/>
            <w:tcBorders>
              <w:top w:val="single" w:color="auto" w:sz="12" w:space="0"/>
              <w:left w:val="nil"/>
              <w:bottom w:val="single" w:color="auto" w:sz="4" w:space="0"/>
              <w:right w:val="single" w:color="auto" w:sz="4" w:space="0"/>
            </w:tcBorders>
            <w:shd w:val="clear" w:color="auto" w:fill="auto"/>
            <w:vAlign w:val="center"/>
          </w:tcPr>
          <w:p w14:paraId="37F6A535">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响应文件响应情况</w:t>
            </w:r>
          </w:p>
        </w:tc>
        <w:tc>
          <w:tcPr>
            <w:tcW w:w="1527" w:type="dxa"/>
            <w:tcBorders>
              <w:top w:val="single" w:color="auto" w:sz="12" w:space="0"/>
              <w:left w:val="nil"/>
              <w:bottom w:val="single" w:color="auto" w:sz="4" w:space="0"/>
              <w:right w:val="single" w:color="auto" w:sz="4" w:space="0"/>
            </w:tcBorders>
            <w:shd w:val="clear" w:color="auto" w:fill="auto"/>
            <w:vAlign w:val="top"/>
          </w:tcPr>
          <w:p w14:paraId="26CC3F6E">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kern w:val="2"/>
                <w:sz w:val="22"/>
                <w:szCs w:val="22"/>
                <w:highlight w:val="none"/>
              </w:rPr>
            </w:pPr>
          </w:p>
          <w:p w14:paraId="789CA5C5">
            <w:pPr>
              <w:keepNext w:val="0"/>
              <w:keepLines w:val="0"/>
              <w:widowControl w:val="0"/>
              <w:suppressLineNumbers w:val="0"/>
              <w:spacing w:before="0" w:beforeAutospacing="0" w:after="0" w:afterAutospacing="0" w:line="340" w:lineRule="exact"/>
              <w:ind w:left="0" w:leftChars="0" w:right="0" w:rightChars="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偏离说明</w:t>
            </w:r>
          </w:p>
        </w:tc>
      </w:tr>
      <w:tr w14:paraId="2CA8C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34B06691">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1B223322">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5DB05BCA">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458114D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031D7245">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716C0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1BE4F8E5">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630DD5BA">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76C2107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7566BAB5">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42F3D98B">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797CE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617AEB5D">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6A434F93">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0AF9AAE5">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2B1334F3">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02EE534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14D5D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4" w:space="0"/>
              <w:right w:val="single" w:color="auto" w:sz="4" w:space="0"/>
            </w:tcBorders>
            <w:shd w:val="clear" w:color="auto" w:fill="auto"/>
            <w:vAlign w:val="top"/>
          </w:tcPr>
          <w:p w14:paraId="4C3E9040">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955" w:type="dxa"/>
            <w:tcBorders>
              <w:top w:val="single" w:color="auto" w:sz="4" w:space="0"/>
              <w:left w:val="nil"/>
              <w:bottom w:val="single" w:color="auto" w:sz="4" w:space="0"/>
              <w:right w:val="single" w:color="auto" w:sz="4" w:space="0"/>
            </w:tcBorders>
            <w:shd w:val="clear" w:color="auto" w:fill="auto"/>
            <w:vAlign w:val="center"/>
          </w:tcPr>
          <w:p w14:paraId="5F733B85">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4" w:space="0"/>
              <w:right w:val="single" w:color="auto" w:sz="4" w:space="0"/>
            </w:tcBorders>
            <w:shd w:val="clear" w:color="auto" w:fill="auto"/>
            <w:vAlign w:val="top"/>
          </w:tcPr>
          <w:p w14:paraId="25A3654B">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4" w:space="0"/>
              <w:right w:val="single" w:color="auto" w:sz="4" w:space="0"/>
            </w:tcBorders>
            <w:shd w:val="clear" w:color="auto" w:fill="auto"/>
            <w:vAlign w:val="center"/>
          </w:tcPr>
          <w:p w14:paraId="0692AD8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4" w:space="0"/>
              <w:right w:val="single" w:color="auto" w:sz="4" w:space="0"/>
            </w:tcBorders>
            <w:shd w:val="clear" w:color="auto" w:fill="auto"/>
            <w:vAlign w:val="center"/>
          </w:tcPr>
          <w:p w14:paraId="6C48EF23">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r w14:paraId="1EDE9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84" w:type="dxa"/>
            <w:tcBorders>
              <w:top w:val="single" w:color="auto" w:sz="4" w:space="0"/>
              <w:left w:val="single" w:color="auto" w:sz="12" w:space="0"/>
              <w:bottom w:val="single" w:color="auto" w:sz="12" w:space="0"/>
              <w:right w:val="single" w:color="auto" w:sz="4" w:space="0"/>
            </w:tcBorders>
            <w:shd w:val="clear" w:color="auto" w:fill="auto"/>
            <w:vAlign w:val="top"/>
          </w:tcPr>
          <w:p w14:paraId="4E88590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w:t>
            </w:r>
          </w:p>
        </w:tc>
        <w:tc>
          <w:tcPr>
            <w:tcW w:w="1955" w:type="dxa"/>
            <w:tcBorders>
              <w:top w:val="single" w:color="auto" w:sz="4" w:space="0"/>
              <w:left w:val="nil"/>
              <w:bottom w:val="single" w:color="auto" w:sz="12" w:space="0"/>
              <w:right w:val="single" w:color="auto" w:sz="4" w:space="0"/>
            </w:tcBorders>
            <w:shd w:val="clear" w:color="auto" w:fill="auto"/>
            <w:vAlign w:val="center"/>
          </w:tcPr>
          <w:p w14:paraId="5736E1C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364" w:type="dxa"/>
            <w:tcBorders>
              <w:top w:val="single" w:color="auto" w:sz="4" w:space="0"/>
              <w:left w:val="nil"/>
              <w:bottom w:val="single" w:color="auto" w:sz="12" w:space="0"/>
              <w:right w:val="single" w:color="auto" w:sz="4" w:space="0"/>
            </w:tcBorders>
            <w:shd w:val="clear" w:color="auto" w:fill="auto"/>
            <w:vAlign w:val="top"/>
          </w:tcPr>
          <w:p w14:paraId="1A9A03E4">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2165" w:type="dxa"/>
            <w:tcBorders>
              <w:top w:val="single" w:color="auto" w:sz="4" w:space="0"/>
              <w:left w:val="nil"/>
              <w:bottom w:val="single" w:color="auto" w:sz="12" w:space="0"/>
              <w:right w:val="single" w:color="auto" w:sz="4" w:space="0"/>
            </w:tcBorders>
            <w:shd w:val="clear" w:color="auto" w:fill="auto"/>
            <w:vAlign w:val="center"/>
          </w:tcPr>
          <w:p w14:paraId="19E3B8D9">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c>
          <w:tcPr>
            <w:tcW w:w="1527" w:type="dxa"/>
            <w:tcBorders>
              <w:top w:val="single" w:color="auto" w:sz="4" w:space="0"/>
              <w:left w:val="nil"/>
              <w:bottom w:val="single" w:color="auto" w:sz="12" w:space="0"/>
              <w:right w:val="single" w:color="auto" w:sz="4" w:space="0"/>
            </w:tcBorders>
            <w:shd w:val="clear" w:color="auto" w:fill="auto"/>
            <w:vAlign w:val="center"/>
          </w:tcPr>
          <w:p w14:paraId="52130A17">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kern w:val="2"/>
                <w:sz w:val="22"/>
                <w:szCs w:val="22"/>
                <w:highlight w:val="none"/>
              </w:rPr>
            </w:pPr>
          </w:p>
        </w:tc>
      </w:tr>
    </w:tbl>
    <w:p w14:paraId="4505E64D">
      <w:pPr>
        <w:rPr>
          <w:rFonts w:hint="eastAsia" w:ascii="宋体" w:hAnsi="宋体" w:cs="宋体"/>
          <w:color w:val="auto"/>
          <w:sz w:val="24"/>
          <w:highlight w:val="none"/>
        </w:rPr>
      </w:pPr>
    </w:p>
    <w:p w14:paraId="0E0CB20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BAA898E">
      <w:pPr>
        <w:spacing w:line="360" w:lineRule="auto"/>
        <w:jc w:val="lef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1.投标供应商提交的投标文件中与招标文件第三部分“项目需求”中的商务部分的要求不同的，应逐条填列在偏离表中。投标供应商未在此表明示的商务部分内容，视为完全响应招标文件。</w:t>
      </w:r>
    </w:p>
    <w:p w14:paraId="3EBA66E0">
      <w:pPr>
        <w:spacing w:line="360" w:lineRule="auto"/>
        <w:jc w:val="lef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2.“偏离说明”一栏选择“正偏离”、“无偏离”、“负偏离”进行填写。正偏离、无偏离的确认和负偏离的是否响应招标文件，由评委认定。</w:t>
      </w:r>
    </w:p>
    <w:p w14:paraId="2ABB3298">
      <w:pPr>
        <w:spacing w:line="360" w:lineRule="auto"/>
        <w:jc w:val="left"/>
        <w:outlineLvl w:val="2"/>
        <w:rPr>
          <w:rFonts w:hint="eastAsia" w:ascii="宋体" w:hAnsi="宋体" w:eastAsia="宋体" w:cs="宋体"/>
          <w:b w:val="0"/>
          <w:bCs w:val="0"/>
          <w:color w:val="auto"/>
          <w:sz w:val="24"/>
          <w:szCs w:val="21"/>
          <w:highlight w:val="none"/>
        </w:rPr>
      </w:pPr>
      <w:r>
        <w:rPr>
          <w:rFonts w:hint="eastAsia" w:ascii="宋体" w:hAnsi="宋体" w:eastAsia="宋体" w:cs="宋体"/>
          <w:color w:val="auto"/>
          <w:sz w:val="24"/>
          <w:highlight w:val="none"/>
        </w:rPr>
        <w:t>3.供应商若提供其他增值服务，可以在表中自行据实填写。</w:t>
      </w:r>
    </w:p>
    <w:p w14:paraId="479AFE73">
      <w:pPr>
        <w:spacing w:line="360" w:lineRule="auto"/>
        <w:jc w:val="left"/>
        <w:outlineLvl w:val="2"/>
        <w:rPr>
          <w:rFonts w:hint="eastAsia" w:ascii="宋体" w:hAnsi="宋体" w:eastAsia="宋体" w:cs="宋体"/>
          <w:b w:val="0"/>
          <w:bCs w:val="0"/>
          <w:color w:val="auto"/>
          <w:sz w:val="24"/>
          <w:szCs w:val="21"/>
          <w:highlight w:val="none"/>
        </w:rPr>
      </w:pPr>
    </w:p>
    <w:p w14:paraId="72A6359E">
      <w:pPr>
        <w:spacing w:line="360" w:lineRule="auto"/>
        <w:jc w:val="left"/>
        <w:outlineLvl w:val="2"/>
        <w:rPr>
          <w:rFonts w:hint="eastAsia" w:ascii="宋体" w:hAnsi="宋体" w:eastAsia="宋体" w:cs="宋体"/>
          <w:b w:val="0"/>
          <w:bCs w:val="0"/>
          <w:color w:val="auto"/>
          <w:sz w:val="24"/>
          <w:szCs w:val="21"/>
          <w:highlight w:val="none"/>
        </w:rPr>
      </w:pPr>
    </w:p>
    <w:p w14:paraId="27140EBE">
      <w:pPr>
        <w:spacing w:line="360" w:lineRule="auto"/>
        <w:jc w:val="left"/>
        <w:outlineLvl w:val="2"/>
        <w:rPr>
          <w:rFonts w:hint="eastAsia" w:ascii="宋体" w:hAnsi="宋体" w:eastAsia="宋体" w:cs="宋体"/>
          <w:b w:val="0"/>
          <w:bCs w:val="0"/>
          <w:color w:val="auto"/>
          <w:sz w:val="24"/>
          <w:szCs w:val="21"/>
          <w:highlight w:val="none"/>
        </w:rPr>
      </w:pPr>
    </w:p>
    <w:p w14:paraId="09AB0AF5">
      <w:pPr>
        <w:spacing w:line="360" w:lineRule="auto"/>
        <w:jc w:val="left"/>
        <w:outlineLvl w:val="2"/>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rPr>
        <w:t>供应商全称（</w:t>
      </w:r>
      <w:r>
        <w:rPr>
          <w:rFonts w:hint="eastAsia" w:ascii="宋体" w:hAnsi="宋体" w:eastAsia="宋体" w:cs="宋体"/>
          <w:b w:val="0"/>
          <w:bCs w:val="0"/>
          <w:color w:val="auto"/>
          <w:sz w:val="24"/>
          <w:szCs w:val="21"/>
          <w:highlight w:val="none"/>
          <w:lang w:eastAsia="zh-CN"/>
        </w:rPr>
        <w:t>盖公章</w:t>
      </w:r>
      <w:r>
        <w:rPr>
          <w:rFonts w:hint="eastAsia" w:ascii="宋体" w:hAnsi="宋体" w:eastAsia="宋体" w:cs="宋体"/>
          <w:b w:val="0"/>
          <w:bCs w:val="0"/>
          <w:color w:val="auto"/>
          <w:sz w:val="24"/>
          <w:szCs w:val="21"/>
          <w:highlight w:val="none"/>
        </w:rPr>
        <w:t>）：</w:t>
      </w:r>
    </w:p>
    <w:p w14:paraId="79F08CDF">
      <w:pPr>
        <w:numPr>
          <w:ilvl w:val="0"/>
          <w:numId w:val="0"/>
        </w:numPr>
        <w:snapToGrid w:val="0"/>
        <w:spacing w:line="36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1"/>
          <w:highlight w:val="none"/>
        </w:rPr>
        <w:t>日  期：</w:t>
      </w:r>
    </w:p>
    <w:p w14:paraId="4ADD2215">
      <w:pPr>
        <w:rPr>
          <w:rFonts w:hint="eastAsia"/>
          <w:color w:val="auto"/>
          <w:highlight w:val="none"/>
        </w:rPr>
      </w:pPr>
      <w:r>
        <w:rPr>
          <w:rFonts w:hint="eastAsia" w:ascii="宋体" w:hAnsi="宋体" w:cs="宋体"/>
          <w:b/>
          <w:bCs/>
          <w:color w:val="auto"/>
          <w:sz w:val="24"/>
          <w:highlight w:val="none"/>
        </w:rPr>
        <w:br w:type="page"/>
      </w:r>
    </w:p>
    <w:p w14:paraId="20D00B50">
      <w:pPr>
        <w:snapToGrid w:val="0"/>
        <w:spacing w:line="500" w:lineRule="exact"/>
        <w:jc w:val="center"/>
        <w:outlineLvl w:val="2"/>
        <w:rPr>
          <w:rFonts w:hint="eastAsia"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报价标</w:t>
      </w:r>
      <w:r>
        <w:rPr>
          <w:rFonts w:hint="eastAsia" w:ascii="宋体" w:hAnsi="宋体" w:cs="宋体"/>
          <w:b/>
          <w:color w:val="auto"/>
          <w:sz w:val="24"/>
          <w:highlight w:val="none"/>
        </w:rPr>
        <w:t>相关的格式文件及表格</w:t>
      </w:r>
    </w:p>
    <w:p w14:paraId="77398A55">
      <w:pPr>
        <w:snapToGrid w:val="0"/>
        <w:spacing w:line="520" w:lineRule="exact"/>
        <w:jc w:val="center"/>
        <w:rPr>
          <w:rFonts w:hint="eastAsia" w:ascii="宋体" w:hAnsi="宋体" w:cs="宋体"/>
          <w:b/>
          <w:bCs/>
          <w:color w:val="auto"/>
          <w:sz w:val="24"/>
          <w:highlight w:val="none"/>
        </w:rPr>
      </w:pPr>
    </w:p>
    <w:p w14:paraId="0F9A4FC3">
      <w:pPr>
        <w:snapToGrid w:val="0"/>
        <w:spacing w:line="5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1、开标一览表</w:t>
      </w:r>
    </w:p>
    <w:p w14:paraId="7F2329B2">
      <w:pPr>
        <w:snapToGrid w:val="0"/>
        <w:spacing w:line="520" w:lineRule="exact"/>
        <w:rPr>
          <w:rFonts w:hint="eastAsia" w:ascii="宋体" w:hAnsi="宋体" w:cs="宋体"/>
          <w:color w:val="auto"/>
          <w:sz w:val="24"/>
          <w:highlight w:val="none"/>
        </w:rPr>
      </w:pPr>
    </w:p>
    <w:tbl>
      <w:tblPr>
        <w:tblStyle w:val="19"/>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395E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756" w:type="dxa"/>
            <w:noWrap w:val="0"/>
            <w:vAlign w:val="center"/>
          </w:tcPr>
          <w:p w14:paraId="0FD5EA57">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6281" w:type="dxa"/>
            <w:noWrap w:val="0"/>
            <w:vAlign w:val="center"/>
          </w:tcPr>
          <w:p w14:paraId="590C9D63">
            <w:pPr>
              <w:keepNext w:val="0"/>
              <w:keepLines w:val="0"/>
              <w:suppressLineNumbers w:val="0"/>
              <w:kinsoku w:val="0"/>
              <w:topLinePunct/>
              <w:snapToGrid w:val="0"/>
              <w:spacing w:before="0" w:beforeAutospacing="0" w:after="0" w:afterAutospacing="0" w:line="520" w:lineRule="exact"/>
              <w:ind w:left="0" w:right="0"/>
              <w:rPr>
                <w:rFonts w:hint="default" w:ascii="宋体" w:hAnsi="宋体" w:cs="宋体"/>
                <w:strike/>
                <w:color w:val="auto"/>
                <w:sz w:val="22"/>
                <w:szCs w:val="22"/>
                <w:highlight w:val="none"/>
                <w:u w:val="single"/>
              </w:rPr>
            </w:pPr>
          </w:p>
        </w:tc>
      </w:tr>
      <w:tr w14:paraId="2B42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756" w:type="dxa"/>
            <w:noWrap w:val="0"/>
            <w:vAlign w:val="center"/>
          </w:tcPr>
          <w:p w14:paraId="1FB0F12D">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投标报价总计</w:t>
            </w:r>
          </w:p>
        </w:tc>
        <w:tc>
          <w:tcPr>
            <w:tcW w:w="6281" w:type="dxa"/>
            <w:noWrap w:val="0"/>
            <w:vAlign w:val="center"/>
          </w:tcPr>
          <w:p w14:paraId="55A61D29">
            <w:pPr>
              <w:keepNext w:val="0"/>
              <w:keepLines w:val="0"/>
              <w:suppressLineNumbers w:val="0"/>
              <w:kinsoku w:val="0"/>
              <w:topLinePunct/>
              <w:snapToGrid w:val="0"/>
              <w:spacing w:before="0" w:beforeAutospacing="0" w:after="0" w:afterAutospacing="0" w:line="520" w:lineRule="exact"/>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元，人民币大写：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元。</w:t>
            </w:r>
          </w:p>
        </w:tc>
      </w:tr>
    </w:tbl>
    <w:p w14:paraId="327712CD">
      <w:pPr>
        <w:kinsoku w:val="0"/>
        <w:topLinePunct/>
        <w:snapToGrid w:val="0"/>
        <w:spacing w:line="520" w:lineRule="exact"/>
        <w:rPr>
          <w:rFonts w:hint="eastAsia" w:ascii="宋体" w:hAnsi="宋体" w:cs="宋体"/>
          <w:color w:val="auto"/>
          <w:sz w:val="24"/>
          <w:highlight w:val="none"/>
        </w:rPr>
      </w:pPr>
    </w:p>
    <w:p w14:paraId="6F958440">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投标供应商：（盖章）             </w:t>
      </w:r>
    </w:p>
    <w:p w14:paraId="5735626D">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3366A283">
      <w:pPr>
        <w:kinsoku w:val="0"/>
        <w:topLinePunct/>
        <w:snapToGrid w:val="0"/>
        <w:spacing w:line="5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日期：</w:t>
      </w:r>
      <w:r>
        <w:rPr>
          <w:rFonts w:hint="eastAsia" w:ascii="宋体" w:hAnsi="宋体" w:cs="宋体"/>
          <w:color w:val="auto"/>
          <w:sz w:val="22"/>
          <w:szCs w:val="22"/>
          <w:highlight w:val="none"/>
          <w:lang w:val="en-US" w:eastAsia="zh-CN"/>
        </w:rPr>
        <w:t xml:space="preserve"> </w:t>
      </w:r>
    </w:p>
    <w:p w14:paraId="7ED18EC9">
      <w:pPr>
        <w:snapToGrid w:val="0"/>
        <w:spacing w:line="360" w:lineRule="auto"/>
        <w:ind w:firstLine="455" w:firstLineChars="206"/>
        <w:rPr>
          <w:rFonts w:hint="eastAsia" w:ascii="宋体" w:hAnsi="宋体" w:cs="宋体"/>
          <w:b/>
          <w:bCs/>
          <w:color w:val="auto"/>
          <w:sz w:val="22"/>
          <w:szCs w:val="22"/>
          <w:highlight w:val="none"/>
        </w:rPr>
      </w:pPr>
    </w:p>
    <w:p w14:paraId="4D351A53">
      <w:pPr>
        <w:snapToGrid w:val="0"/>
        <w:spacing w:line="360" w:lineRule="auto"/>
        <w:ind w:firstLine="455" w:firstLineChars="206"/>
        <w:rPr>
          <w:color w:val="auto"/>
          <w:sz w:val="22"/>
          <w:szCs w:val="22"/>
          <w:highlight w:val="none"/>
        </w:rPr>
      </w:pPr>
      <w:r>
        <w:rPr>
          <w:rFonts w:hint="eastAsia" w:ascii="宋体" w:hAnsi="宋体" w:cs="宋体"/>
          <w:b/>
          <w:bCs/>
          <w:color w:val="auto"/>
          <w:sz w:val="22"/>
          <w:szCs w:val="22"/>
          <w:highlight w:val="none"/>
        </w:rPr>
        <w:t>注：</w:t>
      </w:r>
      <w:r>
        <w:rPr>
          <w:color w:val="auto"/>
          <w:sz w:val="22"/>
          <w:szCs w:val="22"/>
          <w:highlight w:val="none"/>
        </w:rPr>
        <w:t xml:space="preserve"> </w:t>
      </w:r>
    </w:p>
    <w:p w14:paraId="21889A15">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1、本表为格式表，不得自行改动，必须提供。</w:t>
      </w:r>
    </w:p>
    <w:p w14:paraId="7B1D0F4D">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6CA31780">
      <w:pPr>
        <w:numPr>
          <w:ilvl w:val="0"/>
          <w:numId w:val="5"/>
        </w:numPr>
        <w:snapToGrid w:val="0"/>
        <w:spacing w:line="52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分项报价表</w:t>
      </w:r>
    </w:p>
    <w:tbl>
      <w:tblPr>
        <w:tblStyle w:val="19"/>
        <w:tblW w:w="10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962"/>
        <w:gridCol w:w="1341"/>
        <w:gridCol w:w="4104"/>
        <w:gridCol w:w="431"/>
        <w:gridCol w:w="545"/>
        <w:gridCol w:w="1009"/>
        <w:gridCol w:w="1110"/>
      </w:tblGrid>
      <w:tr w14:paraId="7EDD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E2DF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编号</w:t>
            </w:r>
          </w:p>
        </w:tc>
        <w:tc>
          <w:tcPr>
            <w:tcW w:w="96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67D8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C7A1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410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5106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技术参数</w:t>
            </w:r>
          </w:p>
        </w:tc>
        <w:tc>
          <w:tcPr>
            <w:tcW w:w="43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8C263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54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C5DC2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6913A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EF34E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合价（元）</w:t>
            </w:r>
          </w:p>
        </w:tc>
      </w:tr>
      <w:tr w14:paraId="202C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88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A验斤处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A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7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462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C38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DD0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D9E">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0DD8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5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B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电子落地称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F2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300kg</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0E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1.分度值：100g，最小称量：1kg， 最大称量：300kg；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2.面板材质：不锈钢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3.供电电源： 蓄电池，支持：超载显示、低电压显示、出错显示。</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A0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0E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61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3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D9E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双层平板工作台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E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01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1.台面板采用SUS304不锈钢制造；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2.上层台面厚度为1.2mm，下层板厚1.0mm；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3.台面下衬防水机制板厚度18mm；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4.50*50（mm）厚度1.2mm不锈钢方通腿；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5.加强筋用1.0mm不锈钢板；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D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8A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D1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907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2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B主厨房</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6E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8F16">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B3B0">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ACD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12F1">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9A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6F04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洗地龙头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7E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8A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1.开放式洗地龙头、碳钢主体，表面环氧喷涂处理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2.固定侧支架钢板厚度5mm，黄铜进水主体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3.10米重工无痕三层液压钢丝管、与主体接口为金属连接件、耐温85℃耐压300PSI。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4.黄铜铸造表面镀铬花洒喷头配耐热手柄（配置一把喷头）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5.进水接口为标准1/2"外螺纹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6.六向软管导轮，自动卡位软管自动回收</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B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00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2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B33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F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单星工作台（左星）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E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44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0E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E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3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C23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厨房设备灭火装置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2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600*250*700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6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灭火系统应对厨房内的明火区域有扑灭及抑制作用，保护煮食炉具。灭火系统亦应有保护炉具上的通风系统连油烟罩及隔油网能力，该设备启动方式有自动启动、手动启动和应急启动功能。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该系统应能够对第一失火灾区作出紧急反应，以防止火势扩散，造成更大灾害。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1.箱体全身采用优质不锈钢材质，单瓶组自带9个高压细水雾喷嘴，保护灶台长度5米，双瓶组带18个高压细水雾喷嘴，保护灶台长度10米。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2.产品为绿色环保型灭火药剂，无色、无味、无毒、无腐蚀、灭火效率快且不复燃等特点，灭火时间：≤1.8s；单瓶充装质量：14.5kg，双瓶充装质量：14.5kg*2；药剂保质期：有效期为3年。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联动性能，单瓶：自动切换时间≤3.5s,喷射延迟时间≤2.0s,喷射时间20.0s,喷嘴工作压力0.48MPa,冷却水喷嘴工作压力0.14MPa，双瓶：自动切换时间≤3.0s,喷射延迟时间≤3.0s,喷射时间26.0s,喷嘴工作压力0.23MPa,冷却水喷嘴工作压力0.12MPa；</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C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5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FB1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D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A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单通拉门吊柜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2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1500*350*600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60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D4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EA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8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4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1F0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A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单通工作柜（带靠背）</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1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5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4.下配加强筋,配可调式子弹脚。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25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35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3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6CC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四门双机双温冰箱</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09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1200*760*1950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5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1.制冷方式：直冷，内外全不锈钢，全铜加厚蒸发器；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2.整体聚氨酯高压发泡，柜门配重力不锈钢门铰；优质压缩机；数字温控显示，温度范围：-2℃～+8℃/-18℃～-12℃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3.功率：300W/220V/50Hz</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1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3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3C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9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E2A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6"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全自动单门电热蒸饭柜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F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480*745*1645</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D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1.整机柜体采用优质SUS304珐纹贴塑不锈钢板制造；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内胆板厚度1.2mm、面板、门板、前封板厚度1.0mm，侧板、顶板厚度1.0mm；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2.微电脑控制缺水保护、过热保护、定时定温。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3.滑动式门铰链全不锈钢铸件;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4.框架夹层高密度保温材料；整体发泡工艺；自动进水。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5.配12个冲压成型的不锈钢盘。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6.304材质加长型发热管；功率：380V/12KW。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59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5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4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F4F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电磁单头800大锅灶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0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1100*1100*800+450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2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1.加热面积大、加热均匀。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2.大功率加热，火力强劲，满足大份量爆炒、焖煮的烹饪需求，显著提升出品效率。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3.材质：全 SUS304 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4.水龙头：配备 SUS304 不锈钢摇摆水龙头，可以180度旋转，安全防漏。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5.把手：9 档火力调节，人机工效学设计 ，合金材质火力调节把手搭配硅胶防滑垫，档位清晰控感好，适应厨师使用习惯，可直接用膝盖控制。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9.耐高温“齿”形线盘组件，搭配高效聚能稀土磁条，创新导风散热结构，磁场分布均匀，发热低、损耗小、不偏火、不烧线盘。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功率：380V/20KW.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4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C7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7C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9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4F4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电磁单头矮汤炉</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9F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700*850*（530+720）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C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1.材质：全SUS304不锈钢框架式结构机身，耐腐蚀，经久耐用。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2.水龙头：配备 SUS304 不锈钢摇摆水龙头，可以 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3.面板：耐撞击高密度微晶面板，坚固耐用。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4.把手：5 档火力调节，人机工效学设计 (Ergonomics)，合金材质火力调节把手搭配硅胶防滑垫，档位清晰控感好，适应厨师使用习惯。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6.防水：IPX6 标准防水设计，清洁时可直接冲洗，台面无死角，不会藏污纳垢。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8.功率：380V/15KW，50HZ；</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29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ED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0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A70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3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炉拼台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5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400*1100*800+450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A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1.整体采用优质SUS304不锈钢板，面板用1.2mm厚不锈钢板，其余1.0mm厚不锈钢板。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2.脚柱为不锈钢38*38（mm）1.0mm厚不锈钢方管；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3.四脚采用子弹式调节脚。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9E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4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0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023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0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电磁单头单尾小炒灶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1100*1100*800+450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4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1.明火仿真技术，能根据锅具材质、移动速度、温度、位置进行实时追踪加热，达到最佳火力。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2.突破电磁灶无法抛锅的应用瓶颈，实现抛锅爆炒不断火。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3.超大加热面积，火力更均匀，加热不偏火。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4.材质：全 SUS304 不锈钢框架式结构机身，耐腐蚀，经久耐用。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5.水龙头：配备 SUS304 不锈钢摇摆水龙头，可以180度旋转，安全防漏。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6.面板：耐撞击高密度弧形微晶面板，坚固耐用。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7.把手：5 档火力调节，人机工效学设计 (Ergonomics)，合金材质火力调节把手搭配硅胶防滑垫，档位清晰控感好，适应厨师使用习惯，可直接用膝盖控制。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8.显示屏：LED 彩色数码显示屏，能实时显示功率和当前火力档位，火力调控更加直观。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11.耐高温“齿”形线盘组件，搭配高效聚能稀土磁条，创新导风散热结构，磁场分布均匀，发热低、损耗小、不偏火、不烧线盘。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E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C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0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7A0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7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油烟净化一体机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2000*1300*900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43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1.烟罩、动态拦截、静电净化、风机抽排、一体化，多重油烟分离技术，高效便捷，节省空间;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2.304不锈钢材质制作箱体，美观耐用;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3.静电电场采用铝合金材质制作，电离段用锯齿放电，不易断裂，保证长久耐用;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4.控制模块采用一体式按键或触摸屏，可手势启停；                                                                              5.烟罩进口配导风板吸力更强劲，内部配冷凝历油板；                                                                       6.配备动态拦截风机，快速旋转，油烟分离更高效;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7.设备电源具备开机延时启动功能，具有对运行中负载出现的短路、拉弧、漏电，过载等多重保护;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8.油烟净化率符合地方环保部门要求及验收。</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73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EF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61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5FD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双星水池</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5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B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6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EA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B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68D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D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绞切肉机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2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700*600*770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1.用途：将肉类切片，搅泥   额定电压:220V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2.频率:50Hz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3.速度:200r/min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4.生产能力:260/400kg/h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5.功率：1.5KW/2.2KW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AD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9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1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4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D8D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活动双层平板工作台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E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1.台面板采用SUS304不锈钢制造；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2.上层台面厚度为1.2mm，下层板厚1.0mm；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3.台面下衬防水机制板厚度18mm；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4.50*50（mm）厚度1.2mm不锈钢方通腿；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5.加强筋用1.0mm不锈钢板；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6.配加强型聚氨酯（PU）4寸脚轮；万向2个，定向2个，配脚刹。</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8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6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40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B44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四层栅格层架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0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2.条板采用1.0mm厚板，折成死边；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6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5F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3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CC5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刀具砧板消毒柜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1200*650*1700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D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1.采用SUS304不锈钢板制造，厚度为1.2mm，侧板.底板采用1.0mm；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2.电压：220v；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3.刀数量：≥6把；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4.消毒砧板数量：≥6块（砧板直径50cm厚度5-10cm）</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9E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0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7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B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D43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7F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C仓库</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3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897D">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20E">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6D5">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F92C">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82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0C65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4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四层平板货架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1200*500*1800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F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2.层板厚1.0mm不锈钢板；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3.面板下采用折弯一体加强筋，板厚1.0mm；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03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2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F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ACA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B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四层平板货架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9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E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2.层板厚1.0mm不锈钢板；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3.面板下采用折弯一体加强筋，板厚1.0mm；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4.38*38（mm）厚度1.5mm不锈钢方通腿；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FD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0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1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301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2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平板车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2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850*600*800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3.推手采用φ38mm不锈钢管制作；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4.配加强型聚氨酯（PU）4寸脚轮；万向2个，定向2个，配脚刹。</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3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0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A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B99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1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米面架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1000*500*150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5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2.方管厚1.5mm，骨架厚1.5mm，栅板厚1.5mm，主横档50*25mm，直档50*50（mm）全不锈钢方管。</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F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5B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A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36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2D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DE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D二次更衣间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48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B88">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6AB">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82FA">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15AC">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C3E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5D94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8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F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干手器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D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156*176*207</w:t>
            </w:r>
          </w:p>
        </w:tc>
        <w:tc>
          <w:tcPr>
            <w:tcW w:w="410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9874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1.挂墙式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2.功率：220V/1.2kw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F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6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0A4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洗手柜连挤液器</w:t>
            </w:r>
          </w:p>
        </w:tc>
        <w:tc>
          <w:tcPr>
            <w:tcW w:w="13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18AE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400*350*800</w:t>
            </w:r>
          </w:p>
        </w:tc>
        <w:tc>
          <w:tcPr>
            <w:tcW w:w="4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CB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7.配感应水龙头、挤液器、配可调式子弹脚。</w:t>
            </w:r>
          </w:p>
        </w:tc>
        <w:tc>
          <w:tcPr>
            <w:tcW w:w="431" w:type="dxa"/>
            <w:tcBorders>
              <w:top w:val="single" w:color="000000" w:sz="4" w:space="0"/>
              <w:left w:val="single" w:color="auto" w:sz="4" w:space="0"/>
              <w:bottom w:val="single" w:color="000000" w:sz="4" w:space="0"/>
              <w:right w:val="single" w:color="000000" w:sz="4" w:space="0"/>
            </w:tcBorders>
            <w:shd w:val="clear" w:color="auto" w:fill="auto"/>
            <w:vAlign w:val="center"/>
          </w:tcPr>
          <w:p w14:paraId="37E5EA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89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F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A1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06E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9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挂衣钩</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1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410*45*50</w:t>
            </w:r>
          </w:p>
        </w:tc>
        <w:tc>
          <w:tcPr>
            <w:tcW w:w="4104" w:type="dxa"/>
            <w:tcBorders>
              <w:top w:val="single" w:color="auto" w:sz="4" w:space="0"/>
              <w:left w:val="single" w:color="000000" w:sz="4" w:space="0"/>
              <w:bottom w:val="single" w:color="000000" w:sz="4" w:space="0"/>
              <w:right w:val="single" w:color="000000" w:sz="4" w:space="0"/>
            </w:tcBorders>
            <w:shd w:val="clear" w:color="auto" w:fill="auto"/>
            <w:vAlign w:val="center"/>
          </w:tcPr>
          <w:p w14:paraId="371DA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1.采用SUS304优质不锈钢加厚制作,一次冲压成型。</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D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05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2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485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56D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E售餐间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F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6A1A">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CE6D">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63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9D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017">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012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油烟净化一体机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2000*1300*900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1.烟罩、动态拦截、静电净化、风机抽排、一体化，多重油烟分离技术，高效便捷，节省空间;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2.304不锈钢材质制作箱体，美观耐用;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3.静电电场采用铝合金材质制作，电离段用锯齿放电，不易断裂，保证长久耐用;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4.控制模块采用一体式按键或触摸屏，可手势启停；                                                                              5.烟罩进口配导风板吸力更强劲，内部配冷凝历油板；                                                                       6.配备动态拦截风机，快速旋转，油烟分离更高效;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7.设备电源具备开机延时启动功能，具有对运行中负载出现的短路、拉弧、漏电，过载等多重保护;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8.油烟净化率符合地方环保部门要求及验收。</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5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6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B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8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FDC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F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1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玻璃门留样冰箱</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600*750*1980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E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1.制冷方式：直冷，内外全不锈钢，全铜加厚蒸发器；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2.整体聚氨酯高压发泡，柜门配重力不锈钢门铰；优质压缩机；数字温控显示，温度范围：-2℃～+8℃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3.功率：200W/220V/50Hz</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8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65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2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1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F18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6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炉拼台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300*800*800+450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26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1.整体采用优质SUS304不锈钢板，面板用1.2mm厚不锈钢板，其余1.0mm厚不锈钢板。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2.脚柱为不锈钢38*38（mm）1.0mm厚不锈钢方管；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3.四脚采用子弹式调节脚。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14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8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7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E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FF0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电饼铛</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720*655*745</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0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1.电源：380V；功率：4.8KW；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2.内径：53CM；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3.规格：GL-600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8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E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A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FBA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0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电磁煮面炉</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800*800*850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1.特制线盘组件，扩大加热面积，确保汤桶底部加热均匀。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2.汤桶无清洁死角，更易清洁。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3.材质：全不锈钢加厚机身，美观大方，坚固耐用。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4.调控：旋转式五档火力轻松调节，人性化设计，操作简单方便，火候掌控更精确。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5.显示：动态火力显示面板，直观显示当前火力强度。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6.立体三防结构设计，防水、防油烟、防虫。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7.智能防干烧保护系统，汤桶内无需感温探头，使用寿命更长。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8.ADD（自适应数字判断）磁电引擎，数字驱动、多级防护，机芯稳定性高，适用各种厨房环境，确保设备安全可靠。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9.耐高温齿形线盘组件，搭配高效聚能磁条，磁场分布均匀，扩大加热面积，确保汤桶底部全尺寸均匀受热。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10.高效后吸式散热，大风量，散热速度快，减少散热风机故障。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9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7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83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52F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5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单通工作柜（带靠背）</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F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1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2.台面板厚度1.2mm；面板下衬中密度纤维板，下配加强筋；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3.中层、下层平板、柜身、柜门采用1.2mm厚不锈钢板材；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4.下配加强筋,配可调式子弹脚。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41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6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82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783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单星盆水池柜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A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F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C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27A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四格保温售饭工作柜连蒸菜台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1500*900*810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5.配食品级不锈钢份数盆。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7A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1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D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3FA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C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四桶保温柜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900*900*850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8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5.配食品级不锈钢份桶。</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1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C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378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5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7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蒸菜柜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1300*900*800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1.采用优质SUS304不锈钢板制作，面板采用1.2mm厚不锈钢板，侧板采用1.0mm厚不锈钢板；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2.配优质不锈钢电热管，自动保温功能、配排污阀，食物盆，支柱采用尺寸38*38（mm）不锈钢方管制作，配不锈钢调节脚；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3.额定电压：220V；额定功率：3kW；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4.调温方式：电子按钮开关电控调节。</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1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7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4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DE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789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D3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F洗碗消毒间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5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12AB">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0A8">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60C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4FC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B5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4B08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4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高压花洒</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4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190*360*980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C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1.美观大方，节水环保，易于安装、使用，节省劳动力。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2.使用花洒龙头预冲洗后，洗碗机更易清洁、消毒餐具，保障食品卫生。</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6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EC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03D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双星污碟台（左台）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C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A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53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0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C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B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034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9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D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不锈钢浸泡池</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5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2.台面板厚1.2mm，水斗板厚1.2mm；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3.配2寸下水器；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6.38*25（mm）厚度1.0mm不锈钢下橫通；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7.配优质水龙头、配可调式子弹脚。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7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14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1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CA7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C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单孔收餐工作柜（带靠背）</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4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D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1.选用SUS304优质不锈钢板制作；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2.四面围板厚度1.0mm，台面厚度1.5mm，残菜孔φ300mm；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3.加强筋厚度1.0mm，；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4.38*38（mm）厚度1.2mm不锈钢方通腿，配可调式子弹脚。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5.门采用对开门；</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7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7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068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洁碟台(带框架B）</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1200*760*800+150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1.板材采用SUS304不锈钢制造；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3.面板一体冲压成型；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5.38*25（mm）厚度1.0mm不锈钢下橫通；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5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3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E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781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D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A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提拉式洗碗机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B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715*800*1875</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1D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选用优质防腐食品级不锈钢材料，进口AMADA数控激光切割机开料，全自动去毛刺机钝边处理，进口AMADA数控折弯机压弯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成形,不仅保证材料的平整度，更提高了产品的精确度。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360°旋转冲洗喷臂，冲洗覆盖角度大，多道扇形清洗水流，保证良好的清洗效果。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上下通用不锈钢一体式合成清洗臂，易拆卸，清洗方便，运转流畅。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采用优质 304材质一体冲压成型清洗水箱，一体拉伸式内胆，美观大气，无清洗死角的同时，不漏水，更坚固耐用。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嵌入式餐具筐支架设计，不仅方便拆卸，易于清理卫生，更加降低了支架与机器的直接摩擦。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节能封闭式洗室设计，降低开门时的热量和蒸汽流失，达到节能效果。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功率：380V/15.8KW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BC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02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C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855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4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8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热风循环消毒柜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A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1310*650*1980</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E0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1.消毒温度：150℃；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2.控温范围：50～150℃；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3.360°环绕杀菌，消毒方式：热风循环消毒。热风循环进风口125度高温，双温度传感器.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4.功率：220V/4KW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7D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9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91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6F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4B0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翻门碗柜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1200*500*1800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3.下层、侧板板厚度1.0mm,并用1.0mm厚不锈钢板折成加强筋加固；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4.配可调式撑脚。</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1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B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A6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5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02C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3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开水器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520*530*1300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5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1.内胆304不锈钢材质，发泡保温。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2.配优质水龙头，电功率12KW/380V.配开水器底座。</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60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C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2F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D2A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C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洗地龙头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1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1.开放式洗地龙头、碳钢主体，表面环氧喷涂处理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2.固定侧支架钢板厚度5mm，黄铜进水主体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3.10米重工无痕三层液压钢丝管、与主体接口为金属连接件、耐温85℃耐压300PSI。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4.黄铜铸造表面镀铬花洒喷头配耐热手柄（配置一把喷头）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5.进水接口为标准1/2"外螺纹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6.六向软管导轮，自动卡位软管自动回收</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4F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9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B4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5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408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4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B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排气罩</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8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1000*1000*500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E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1.SUS304不锈钢板制造；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2.前板、侧板、后板厚度1.0mm。</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A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C2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759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E73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G大厅区域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8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112D">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4789">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E2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399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EF0">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3C02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7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双孔收餐工作柜</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1500*760*800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86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1.选用SUS304优质不锈钢板制作；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2.四面围板厚度1.0mm，台面厚度1.5mm，残菜孔φ300mm；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3.加强筋厚度1.0mm，；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4.38*38（mm）厚度1.2mm不锈钢方通腿，配可调式子弹脚。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5.门采用对开门；</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5D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F1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9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DB4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2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收碗车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6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850*600*900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1.采用SUS304不锈钢板制作；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2.面板厚1.2mm；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3.推手采用φ38mm不锈钢管制作；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4.配加强型聚氨酯（PU）4寸脚轮；万向2个，定向2个，配脚刹。</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1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A1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4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B94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EA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H其他</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53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0916">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3C8">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9C4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072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416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7C9E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沾捕式灭蝇灯</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400*120*170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1.工作方式：粘捕式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2.额定功率：0.008KW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3.覆盖面积：30-50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4.额定电压：220V-50HZ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5.材料等级：ABS阻燃材料</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C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F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C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9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CC5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B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0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风幕机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7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L/1500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415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1.持续形成的空气门，能有效防止冷（暖）气外泄，节省用电：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2.将室内外分成两个独立温度区域，在空调机长时间运转时，辅助循环调节温度，达到节约能源改善环境的目的。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3.电压/功率：220V/300W。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3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9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1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1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p>
        </w:tc>
      </w:tr>
      <w:tr w14:paraId="3301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1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A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紫外线消毒灯</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920*130*80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C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1.尺寸：L=900MM；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2.灯管：石英高压放电管，紫外线（UV-B）波长：200～290nm；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3.强力杀菌，效率高，时间短；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4.电压/功率：220v/0.03kw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0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E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E09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风幕机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9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L/1800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AE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1.持续形成的空气门，能有效防止冷（暖）气外泄，节省用电：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2.将室内外分成两个独立温度区域，在空调机长时间运转时，辅助循环调节温度，达到节约能源改善环境的目的。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3.电压/功率：220V/300W。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B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2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CF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0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p>
        </w:tc>
      </w:tr>
      <w:tr w14:paraId="6788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91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I排烟系统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E6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EF22">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AA2B">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9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3B6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589">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5794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主排烟管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1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2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5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8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6EC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A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排烟支管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2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DF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5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3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737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B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轴流风机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F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8D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风量：5000m³/h；功率：220V/0.55kw；</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C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D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6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CFA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1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风机电机保护器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配风机</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4D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1、外壳不锈钢制作，内配置空开、交流接触器、综合保护器；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2.节省用电，可调整风机输出功率实现节能运行，风机、净化器同步控制/可联动新风，无级变速，有效降低共振及消除电机电磁噪音。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3.自动调整风量风压，设计施工方便，设备具备缺相、短路、过载、绝缘损坏等多重保护功能。</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B0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69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CF5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风机支架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E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配套风机</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C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采用41.采用槽钢制作，长宽高根据风机定制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2.外层采用防锈漆涂层工艺</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A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6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6A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1C2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6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500*500/700*700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5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C1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D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6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53A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7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6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消音风管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8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700*700*2000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E7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2.中层消音棉隔层。内层多孔不锈钢板及吸音棉，氩焊处满焊，打磨处理。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57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8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1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350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百叶口</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1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700*700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1.材料为：铝合金；</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F9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3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5A9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A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安装杂件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A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1.配套排风系统辅材</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B3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CE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F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B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591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CC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J新风系统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F3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720">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CB6">
            <w:pPr>
              <w:keepNext w:val="0"/>
              <w:keepLines w:val="0"/>
              <w:suppressLineNumbers w:val="0"/>
              <w:spacing w:before="0" w:beforeAutospacing="0" w:after="0" w:afterAutospacing="0"/>
              <w:ind w:left="0" w:right="0"/>
              <w:rPr>
                <w:rFonts w:hint="eastAsia" w:ascii="宋体" w:hAnsi="宋体" w:eastAsia="宋体" w:cs="宋体"/>
                <w:i w:val="0"/>
                <w:iCs w:val="0"/>
                <w:color w:val="auto"/>
                <w:kern w:val="2"/>
                <w:sz w:val="18"/>
                <w:szCs w:val="18"/>
                <w:highlight w:val="none"/>
                <w:u w:val="none"/>
                <w:lang w:val="en-US" w:eastAsia="zh-CN" w:bidi="ar-SA"/>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F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7B1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18"/>
                <w:szCs w:val="18"/>
                <w:highlight w:val="none"/>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79D">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50B5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2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箱式风机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10000m³/h</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E2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风量：10000m³/h；功率：380V/4kw；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1.整机外壳采用汽车金属烤漆钢板制作工艺，不易褪色，防腐等级高，使用寿命长，外观大气美观。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2.根据离心力和动量守恒定律设计的风机专用高压叶轮。叶片采用压铆激光焊接工艺制作，更牢固，具有风量大，压力高，运行稳定等特点。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部采用双层静音处理技术，全网加静音棉，静音棉材质为铝硅阻燃材料，厚度25MM，能有效降低15%噪声并起到阻燃作用，结合整机精密结构胶密封工艺，构建其高效的隔音屏障与严密的密封体系，进一步强化降噪效果同时起到防水密封的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4..采用进口耐高温耐腐蚀风机专用轴承，精度高，抗磨损性好，增加风机使用寿命，减少维护成本。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5.产品可配备自动定时变频功能，可调节风量风压，多重保护，缺项，过载，绝缘损坏等运行故障.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6.角钢：采用镀锌角钢制作，结构更牢固，风机设有检修门，方便日后维护； 底部自带槽钢支架，便于安装。</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0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E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D2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5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308A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A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0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4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1.采用SUS304不锈钢，厚度为1.0mm。高强度密封连接。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A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6A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E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32B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风机电机保护器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配风机</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C3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1、外壳不锈钢制作，内配置空开、交流接触器、综合保护器；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2.节省用电，可调整风机输出功率实现节能运行，风机、净化器同步控制/可联动新风，无级变速，有效降低共振及消除电机电磁噪音。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3.自动调整风量风压，设计施工方便，设备具备缺相、短路、过载、绝缘损坏等多重保护功能。</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B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A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C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422D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A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风管变径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400*400/530*640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F8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F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5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2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7AC8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调节阀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F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9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1.风量控制精度高，需确保风管的布置满足最佳的气流特性。</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B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5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2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E31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8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净化器/风机支架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F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配套风机</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采用41.采用槽钢制作，长宽高根据风机定制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2.外层采用防锈漆涂层工艺</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77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B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A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017D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1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消音风管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8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400*400*2000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7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1.采用SUS304不锈钢，厚度为1.0mm。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2.中层消音棉隔层。内层多孔不锈钢板及吸音棉，氩焊处满焊，打磨处理。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2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C2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0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5B74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百叶口</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8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1.材料为：铝合金；</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6D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74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1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7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6338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安装杂件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D9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E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1.配套新风系统辅材</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5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D3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2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B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19E6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69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19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总价（元）</w:t>
            </w:r>
          </w:p>
        </w:tc>
        <w:tc>
          <w:tcPr>
            <w:tcW w:w="3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51EB0">
            <w:pPr>
              <w:pStyle w:val="2"/>
              <w:keepNext w:val="0"/>
              <w:keepLines w:val="0"/>
              <w:suppressLineNumbers w:val="0"/>
              <w:spacing w:before="0" w:beforeAutospacing="0" w:after="0" w:afterAutospacing="0"/>
              <w:ind w:left="0" w:leftChars="0" w:right="0" w:firstLine="0" w:firstLineChars="0"/>
              <w:rPr>
                <w:rFonts w:hint="default"/>
                <w:color w:val="auto"/>
                <w:highlight w:val="none"/>
                <w:u w:val="single"/>
                <w:lang w:val="en-US" w:eastAsia="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p>
        </w:tc>
      </w:tr>
    </w:tbl>
    <w:p w14:paraId="7C2A8970">
      <w:pPr>
        <w:numPr>
          <w:ilvl w:val="0"/>
          <w:numId w:val="0"/>
        </w:numPr>
        <w:snapToGrid w:val="0"/>
        <w:spacing w:line="520" w:lineRule="exact"/>
        <w:jc w:val="both"/>
        <w:rPr>
          <w:rFonts w:hint="eastAsia" w:ascii="宋体" w:hAnsi="宋体" w:cs="宋体"/>
          <w:b/>
          <w:bCs/>
          <w:color w:val="auto"/>
          <w:sz w:val="24"/>
          <w:highlight w:val="none"/>
          <w:lang w:val="en-US" w:eastAsia="zh-CN"/>
        </w:rPr>
      </w:pPr>
    </w:p>
    <w:p w14:paraId="285D747C">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投标供应商：（盖章）             </w:t>
      </w:r>
    </w:p>
    <w:p w14:paraId="32FA895B">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0FE25961">
      <w:pPr>
        <w:kinsoku w:val="0"/>
        <w:topLinePunct/>
        <w:snapToGrid w:val="0"/>
        <w:spacing w:line="5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日期：</w:t>
      </w:r>
      <w:r>
        <w:rPr>
          <w:rFonts w:hint="eastAsia" w:ascii="宋体" w:hAnsi="宋体" w:cs="宋体"/>
          <w:color w:val="auto"/>
          <w:sz w:val="22"/>
          <w:szCs w:val="22"/>
          <w:highlight w:val="none"/>
          <w:lang w:val="en-US" w:eastAsia="zh-CN"/>
        </w:rPr>
        <w:t xml:space="preserve"> </w:t>
      </w:r>
    </w:p>
    <w:p w14:paraId="363EB18B">
      <w:pPr>
        <w:rPr>
          <w:rFonts w:hint="eastAsia" w:ascii="宋体" w:hAnsi="宋体" w:eastAsia="宋体" w:cs="宋体"/>
          <w:b/>
          <w:bCs/>
          <w:color w:val="auto"/>
          <w:sz w:val="22"/>
          <w:szCs w:val="22"/>
          <w:highlight w:val="none"/>
        </w:rPr>
      </w:pPr>
    </w:p>
    <w:p w14:paraId="64E7C064">
      <w:pPr>
        <w:rPr>
          <w:rFonts w:hint="eastAsia" w:ascii="宋体" w:hAnsi="宋体" w:eastAsia="宋体" w:cs="宋体"/>
          <w:b/>
          <w:bCs/>
          <w:color w:val="auto"/>
          <w:sz w:val="22"/>
          <w:szCs w:val="22"/>
          <w:highlight w:val="none"/>
        </w:rPr>
      </w:pPr>
    </w:p>
    <w:p w14:paraId="49B9FF6A">
      <w:pPr>
        <w:spacing w:line="480" w:lineRule="exact"/>
        <w:ind w:firstLine="440" w:firstLineChars="200"/>
        <w:rPr>
          <w:rFonts w:hint="eastAsia" w:ascii="宋体" w:hAnsi="宋体" w:eastAsia="宋体" w:cs="宋体"/>
          <w:b w:val="0"/>
          <w:bCs w:val="0"/>
          <w:color w:val="auto"/>
          <w:sz w:val="22"/>
          <w:szCs w:val="20"/>
          <w:highlight w:val="none"/>
          <w:lang w:val="zh-CN" w:eastAsia="zh-CN"/>
        </w:rPr>
      </w:pPr>
      <w:r>
        <w:rPr>
          <w:rFonts w:hint="eastAsia" w:ascii="宋体" w:hAnsi="宋体" w:eastAsia="宋体" w:cs="宋体"/>
          <w:b w:val="0"/>
          <w:bCs w:val="0"/>
          <w:color w:val="auto"/>
          <w:sz w:val="22"/>
          <w:szCs w:val="20"/>
          <w:highlight w:val="none"/>
          <w:lang w:val="zh-CN" w:eastAsia="zh-CN"/>
        </w:rPr>
        <w:t>注：</w:t>
      </w:r>
      <w:r>
        <w:rPr>
          <w:rFonts w:hint="eastAsia" w:ascii="宋体" w:hAnsi="宋体" w:eastAsia="宋体" w:cs="宋体"/>
          <w:b w:val="0"/>
          <w:bCs w:val="0"/>
          <w:color w:val="auto"/>
          <w:sz w:val="22"/>
          <w:szCs w:val="20"/>
          <w:highlight w:val="none"/>
          <w:lang w:val="en-US" w:eastAsia="zh-CN"/>
        </w:rPr>
        <w:t>1.</w:t>
      </w:r>
      <w:r>
        <w:rPr>
          <w:rFonts w:hint="eastAsia" w:ascii="宋体" w:hAnsi="宋体" w:eastAsia="宋体" w:cs="宋体"/>
          <w:b w:val="0"/>
          <w:bCs w:val="0"/>
          <w:color w:val="auto"/>
          <w:sz w:val="22"/>
          <w:szCs w:val="20"/>
          <w:highlight w:val="none"/>
          <w:lang w:val="zh-CN" w:eastAsia="zh-CN"/>
        </w:rPr>
        <w:t>供应商必须详细报出采购清单中各个子项的名称、单价、</w:t>
      </w:r>
      <w:r>
        <w:rPr>
          <w:rFonts w:hint="eastAsia" w:ascii="宋体" w:hAnsi="宋体" w:eastAsia="宋体" w:cs="宋体"/>
          <w:b w:val="0"/>
          <w:bCs w:val="0"/>
          <w:color w:val="auto"/>
          <w:sz w:val="22"/>
          <w:szCs w:val="20"/>
          <w:highlight w:val="none"/>
          <w:lang w:val="en-US" w:eastAsia="zh-CN"/>
        </w:rPr>
        <w:t>合</w:t>
      </w:r>
      <w:r>
        <w:rPr>
          <w:rFonts w:hint="eastAsia" w:ascii="宋体" w:hAnsi="宋体" w:eastAsia="宋体" w:cs="宋体"/>
          <w:b w:val="0"/>
          <w:bCs w:val="0"/>
          <w:color w:val="auto"/>
          <w:sz w:val="22"/>
          <w:szCs w:val="20"/>
          <w:highlight w:val="none"/>
          <w:lang w:val="zh-CN" w:eastAsia="zh-CN"/>
        </w:rPr>
        <w:t>计、总价。</w:t>
      </w:r>
    </w:p>
    <w:p w14:paraId="61C957BC">
      <w:pPr>
        <w:spacing w:line="480" w:lineRule="exact"/>
        <w:ind w:firstLine="440" w:firstLineChars="200"/>
        <w:rPr>
          <w:rFonts w:hint="eastAsia" w:ascii="宋体" w:hAnsi="宋体" w:eastAsia="宋体" w:cs="宋体"/>
          <w:b w:val="0"/>
          <w:bCs w:val="0"/>
          <w:color w:val="auto"/>
          <w:sz w:val="22"/>
          <w:szCs w:val="20"/>
          <w:highlight w:val="none"/>
          <w:lang w:val="zh-CN" w:eastAsia="zh-CN"/>
        </w:rPr>
      </w:pPr>
      <w:r>
        <w:rPr>
          <w:rFonts w:hint="eastAsia" w:ascii="宋体" w:hAnsi="宋体" w:eastAsia="宋体" w:cs="宋体"/>
          <w:b w:val="0"/>
          <w:bCs w:val="0"/>
          <w:color w:val="auto"/>
          <w:sz w:val="22"/>
          <w:szCs w:val="20"/>
          <w:highlight w:val="none"/>
          <w:lang w:val="en-US" w:eastAsia="zh-CN"/>
        </w:rPr>
        <w:t>2.</w:t>
      </w:r>
      <w:r>
        <w:rPr>
          <w:rFonts w:hint="eastAsia" w:ascii="宋体" w:hAnsi="宋体" w:eastAsia="宋体" w:cs="宋体"/>
          <w:b w:val="0"/>
          <w:bCs w:val="0"/>
          <w:color w:val="auto"/>
          <w:sz w:val="22"/>
          <w:szCs w:val="20"/>
          <w:highlight w:val="none"/>
          <w:lang w:val="zh-CN" w:eastAsia="zh-CN"/>
        </w:rPr>
        <w:t>本表各分项报价</w:t>
      </w:r>
      <w:r>
        <w:rPr>
          <w:rFonts w:hint="eastAsia" w:ascii="宋体" w:hAnsi="宋体" w:eastAsia="宋体" w:cs="宋体"/>
          <w:b w:val="0"/>
          <w:bCs w:val="0"/>
          <w:color w:val="auto"/>
          <w:sz w:val="22"/>
          <w:szCs w:val="20"/>
          <w:highlight w:val="none"/>
          <w:lang w:val="en-US" w:eastAsia="zh-CN"/>
        </w:rPr>
        <w:t>总价</w:t>
      </w:r>
      <w:r>
        <w:rPr>
          <w:rFonts w:hint="eastAsia" w:ascii="宋体" w:hAnsi="宋体" w:eastAsia="宋体" w:cs="宋体"/>
          <w:b w:val="0"/>
          <w:bCs w:val="0"/>
          <w:color w:val="auto"/>
          <w:sz w:val="22"/>
          <w:szCs w:val="20"/>
          <w:highlight w:val="none"/>
          <w:lang w:val="zh-CN" w:eastAsia="zh-CN"/>
        </w:rPr>
        <w:t>应当与开标一览表报价</w:t>
      </w:r>
      <w:r>
        <w:rPr>
          <w:rFonts w:hint="eastAsia" w:ascii="宋体" w:hAnsi="宋体" w:eastAsia="宋体" w:cs="宋体"/>
          <w:b w:val="0"/>
          <w:bCs w:val="0"/>
          <w:color w:val="auto"/>
          <w:sz w:val="22"/>
          <w:szCs w:val="20"/>
          <w:highlight w:val="none"/>
          <w:lang w:val="en-US" w:eastAsia="zh-CN"/>
        </w:rPr>
        <w:t>总计</w:t>
      </w:r>
      <w:r>
        <w:rPr>
          <w:rFonts w:hint="eastAsia" w:ascii="宋体" w:hAnsi="宋体" w:eastAsia="宋体" w:cs="宋体"/>
          <w:b w:val="0"/>
          <w:bCs w:val="0"/>
          <w:color w:val="auto"/>
          <w:sz w:val="22"/>
          <w:szCs w:val="20"/>
          <w:highlight w:val="none"/>
          <w:lang w:val="zh-CN" w:eastAsia="zh-CN"/>
        </w:rPr>
        <w:t>相等。</w:t>
      </w:r>
    </w:p>
    <w:p w14:paraId="61DBA283">
      <w:pPr>
        <w:rPr>
          <w:rFonts w:hint="eastAsia" w:ascii="宋体" w:hAnsi="宋体" w:eastAsia="宋体" w:cs="宋体"/>
          <w:b/>
          <w:bCs/>
          <w:color w:val="auto"/>
          <w:sz w:val="22"/>
          <w:szCs w:val="22"/>
          <w:highlight w:val="non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B610">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26C2">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C51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22C51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01F53"/>
    <w:multiLevelType w:val="singleLevel"/>
    <w:tmpl w:val="8E201F53"/>
    <w:lvl w:ilvl="0" w:tentative="0">
      <w:start w:val="4"/>
      <w:numFmt w:val="decimal"/>
      <w:suff w:val="nothing"/>
      <w:lvlText w:val="%1、"/>
      <w:lvlJc w:val="left"/>
    </w:lvl>
  </w:abstractNum>
  <w:abstractNum w:abstractNumId="1">
    <w:nsid w:val="9049F151"/>
    <w:multiLevelType w:val="singleLevel"/>
    <w:tmpl w:val="9049F151"/>
    <w:lvl w:ilvl="0" w:tentative="0">
      <w:start w:val="2"/>
      <w:numFmt w:val="chineseCounting"/>
      <w:suff w:val="nothing"/>
      <w:lvlText w:val="（%1）"/>
      <w:lvlJc w:val="left"/>
      <w:rPr>
        <w:rFonts w:hint="eastAsia"/>
      </w:rPr>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4405C25D"/>
    <w:multiLevelType w:val="singleLevel"/>
    <w:tmpl w:val="4405C25D"/>
    <w:lvl w:ilvl="0" w:tentative="0">
      <w:start w:val="1"/>
      <w:numFmt w:val="chineseCounting"/>
      <w:suff w:val="nothing"/>
      <w:lvlText w:val="%1、"/>
      <w:lvlJc w:val="left"/>
      <w:rPr>
        <w:rFonts w:hint="eastAsia"/>
      </w:rPr>
    </w:lvl>
  </w:abstractNum>
  <w:abstractNum w:abstractNumId="4">
    <w:nsid w:val="60C6FB7B"/>
    <w:multiLevelType w:val="singleLevel"/>
    <w:tmpl w:val="60C6FB7B"/>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NmE3NTlhNDU2YjFhYzFjNzdhOTYyZjQ5ZTMzNjIifQ=="/>
  </w:docVars>
  <w:rsids>
    <w:rsidRoot w:val="00000000"/>
    <w:rsid w:val="007E79DC"/>
    <w:rsid w:val="00877F19"/>
    <w:rsid w:val="0187266A"/>
    <w:rsid w:val="01B666C0"/>
    <w:rsid w:val="02853E5C"/>
    <w:rsid w:val="02C81745"/>
    <w:rsid w:val="05023F5D"/>
    <w:rsid w:val="0524158F"/>
    <w:rsid w:val="05AF3B52"/>
    <w:rsid w:val="0627193B"/>
    <w:rsid w:val="068F69D2"/>
    <w:rsid w:val="06CE0008"/>
    <w:rsid w:val="06F134AE"/>
    <w:rsid w:val="073F0F06"/>
    <w:rsid w:val="07547F15"/>
    <w:rsid w:val="080812F8"/>
    <w:rsid w:val="08145EEF"/>
    <w:rsid w:val="081A31E9"/>
    <w:rsid w:val="086C3371"/>
    <w:rsid w:val="08CA22BB"/>
    <w:rsid w:val="09025EC2"/>
    <w:rsid w:val="097A6225"/>
    <w:rsid w:val="0A3E36F7"/>
    <w:rsid w:val="0A65029C"/>
    <w:rsid w:val="0A7E017B"/>
    <w:rsid w:val="0D5C5417"/>
    <w:rsid w:val="0D904269"/>
    <w:rsid w:val="0E8971CE"/>
    <w:rsid w:val="0ED656F6"/>
    <w:rsid w:val="0F2457C1"/>
    <w:rsid w:val="0FD7617F"/>
    <w:rsid w:val="106C230B"/>
    <w:rsid w:val="10E34323"/>
    <w:rsid w:val="115775F8"/>
    <w:rsid w:val="11EA14F2"/>
    <w:rsid w:val="12392C0C"/>
    <w:rsid w:val="13157F9E"/>
    <w:rsid w:val="13963FF0"/>
    <w:rsid w:val="13B251F2"/>
    <w:rsid w:val="13CD4B41"/>
    <w:rsid w:val="13F372CF"/>
    <w:rsid w:val="14CD3D4D"/>
    <w:rsid w:val="14CF710A"/>
    <w:rsid w:val="15127C5A"/>
    <w:rsid w:val="15D60C87"/>
    <w:rsid w:val="1645459A"/>
    <w:rsid w:val="16886552"/>
    <w:rsid w:val="17C3523B"/>
    <w:rsid w:val="17F378CF"/>
    <w:rsid w:val="18230B8E"/>
    <w:rsid w:val="188C387F"/>
    <w:rsid w:val="18E216F1"/>
    <w:rsid w:val="19037FE5"/>
    <w:rsid w:val="19E21E6E"/>
    <w:rsid w:val="1B203E27"/>
    <w:rsid w:val="1B3B24B3"/>
    <w:rsid w:val="1BD217BC"/>
    <w:rsid w:val="1CD4348D"/>
    <w:rsid w:val="1CF40BAC"/>
    <w:rsid w:val="1D176E39"/>
    <w:rsid w:val="1D8315F9"/>
    <w:rsid w:val="1EC72B48"/>
    <w:rsid w:val="20D40CAC"/>
    <w:rsid w:val="210A78C1"/>
    <w:rsid w:val="21151501"/>
    <w:rsid w:val="227429C6"/>
    <w:rsid w:val="22CA44D1"/>
    <w:rsid w:val="232D7F46"/>
    <w:rsid w:val="23CD36CA"/>
    <w:rsid w:val="240776E5"/>
    <w:rsid w:val="2418246B"/>
    <w:rsid w:val="2653385F"/>
    <w:rsid w:val="26D0702D"/>
    <w:rsid w:val="271D6716"/>
    <w:rsid w:val="27AE3454"/>
    <w:rsid w:val="27BB7CDD"/>
    <w:rsid w:val="28924EE2"/>
    <w:rsid w:val="28B628D2"/>
    <w:rsid w:val="28C07A24"/>
    <w:rsid w:val="28C746F9"/>
    <w:rsid w:val="2B091A45"/>
    <w:rsid w:val="2B12230A"/>
    <w:rsid w:val="2B813BF9"/>
    <w:rsid w:val="2BA07916"/>
    <w:rsid w:val="2BBD56F4"/>
    <w:rsid w:val="2BFF288E"/>
    <w:rsid w:val="2D80355B"/>
    <w:rsid w:val="2DFD37CD"/>
    <w:rsid w:val="2F3F2904"/>
    <w:rsid w:val="2F4364C9"/>
    <w:rsid w:val="31C95BAD"/>
    <w:rsid w:val="325E25FA"/>
    <w:rsid w:val="32990C1B"/>
    <w:rsid w:val="3301513E"/>
    <w:rsid w:val="337679DC"/>
    <w:rsid w:val="33CD6DCE"/>
    <w:rsid w:val="35702107"/>
    <w:rsid w:val="35923A74"/>
    <w:rsid w:val="35F86C9B"/>
    <w:rsid w:val="362B7392"/>
    <w:rsid w:val="36E03EFC"/>
    <w:rsid w:val="36FE0747"/>
    <w:rsid w:val="376D2DA2"/>
    <w:rsid w:val="379A74B9"/>
    <w:rsid w:val="37E745AA"/>
    <w:rsid w:val="390E4CFA"/>
    <w:rsid w:val="393873DF"/>
    <w:rsid w:val="397F31CA"/>
    <w:rsid w:val="39F07EAF"/>
    <w:rsid w:val="3C5113D4"/>
    <w:rsid w:val="3CA8662A"/>
    <w:rsid w:val="3D8D6854"/>
    <w:rsid w:val="3DB87B24"/>
    <w:rsid w:val="3DCA4932"/>
    <w:rsid w:val="3E637812"/>
    <w:rsid w:val="3E7358B0"/>
    <w:rsid w:val="3F5D7028"/>
    <w:rsid w:val="3F7E3672"/>
    <w:rsid w:val="401B7113"/>
    <w:rsid w:val="409806EC"/>
    <w:rsid w:val="409F2B85"/>
    <w:rsid w:val="41175B2C"/>
    <w:rsid w:val="4144751E"/>
    <w:rsid w:val="428E1E1E"/>
    <w:rsid w:val="429D6505"/>
    <w:rsid w:val="42B0629D"/>
    <w:rsid w:val="43972F54"/>
    <w:rsid w:val="43C04259"/>
    <w:rsid w:val="4416656F"/>
    <w:rsid w:val="44863A7C"/>
    <w:rsid w:val="448955DB"/>
    <w:rsid w:val="45D64208"/>
    <w:rsid w:val="46B856BC"/>
    <w:rsid w:val="46E22739"/>
    <w:rsid w:val="47046B53"/>
    <w:rsid w:val="473D712A"/>
    <w:rsid w:val="47993083"/>
    <w:rsid w:val="480C044D"/>
    <w:rsid w:val="482C45B3"/>
    <w:rsid w:val="49180DDD"/>
    <w:rsid w:val="491863C9"/>
    <w:rsid w:val="49606282"/>
    <w:rsid w:val="49631ED7"/>
    <w:rsid w:val="49C03D37"/>
    <w:rsid w:val="49C25168"/>
    <w:rsid w:val="49CD5922"/>
    <w:rsid w:val="49D552BF"/>
    <w:rsid w:val="4A9B332A"/>
    <w:rsid w:val="4B196C33"/>
    <w:rsid w:val="4B5778C6"/>
    <w:rsid w:val="4BDB1472"/>
    <w:rsid w:val="4BE20960"/>
    <w:rsid w:val="4C594B92"/>
    <w:rsid w:val="4C5B7215"/>
    <w:rsid w:val="4D1D0739"/>
    <w:rsid w:val="4D7D11B1"/>
    <w:rsid w:val="4DB3745B"/>
    <w:rsid w:val="4E8D104F"/>
    <w:rsid w:val="4F356A49"/>
    <w:rsid w:val="4F9F4925"/>
    <w:rsid w:val="4FB27956"/>
    <w:rsid w:val="501444D0"/>
    <w:rsid w:val="52103DB0"/>
    <w:rsid w:val="531351CF"/>
    <w:rsid w:val="53963229"/>
    <w:rsid w:val="53B27E0E"/>
    <w:rsid w:val="5430603C"/>
    <w:rsid w:val="543551F5"/>
    <w:rsid w:val="54437DC2"/>
    <w:rsid w:val="54604581"/>
    <w:rsid w:val="54BA0794"/>
    <w:rsid w:val="54F56319"/>
    <w:rsid w:val="55C45031"/>
    <w:rsid w:val="56586573"/>
    <w:rsid w:val="56A12FD7"/>
    <w:rsid w:val="57763155"/>
    <w:rsid w:val="577714A5"/>
    <w:rsid w:val="5790570A"/>
    <w:rsid w:val="57E9601D"/>
    <w:rsid w:val="58BA3515"/>
    <w:rsid w:val="58DC6715"/>
    <w:rsid w:val="58E97957"/>
    <w:rsid w:val="59366277"/>
    <w:rsid w:val="5CF95466"/>
    <w:rsid w:val="5D296C60"/>
    <w:rsid w:val="5E413D91"/>
    <w:rsid w:val="5F636E1B"/>
    <w:rsid w:val="60AC53EC"/>
    <w:rsid w:val="60FB46CB"/>
    <w:rsid w:val="610E0209"/>
    <w:rsid w:val="61CC48D5"/>
    <w:rsid w:val="622C5484"/>
    <w:rsid w:val="62B2525D"/>
    <w:rsid w:val="63496F11"/>
    <w:rsid w:val="634C753F"/>
    <w:rsid w:val="63AB062A"/>
    <w:rsid w:val="648E4AD1"/>
    <w:rsid w:val="64A137DB"/>
    <w:rsid w:val="65B77D42"/>
    <w:rsid w:val="66E520A5"/>
    <w:rsid w:val="677B47B7"/>
    <w:rsid w:val="67C0681E"/>
    <w:rsid w:val="683E1DE5"/>
    <w:rsid w:val="68C15884"/>
    <w:rsid w:val="691E189E"/>
    <w:rsid w:val="695D5F23"/>
    <w:rsid w:val="6A850BB2"/>
    <w:rsid w:val="6AA858C3"/>
    <w:rsid w:val="6B9145AA"/>
    <w:rsid w:val="6C7A6DEC"/>
    <w:rsid w:val="6CBE1BB1"/>
    <w:rsid w:val="6CCF7203"/>
    <w:rsid w:val="6CFE7A1D"/>
    <w:rsid w:val="6E2FB2A0"/>
    <w:rsid w:val="6E587601"/>
    <w:rsid w:val="6E8316F4"/>
    <w:rsid w:val="6F152DFC"/>
    <w:rsid w:val="6FC22F83"/>
    <w:rsid w:val="6FC565D0"/>
    <w:rsid w:val="70250F3A"/>
    <w:rsid w:val="702A509F"/>
    <w:rsid w:val="703D47DA"/>
    <w:rsid w:val="709976F3"/>
    <w:rsid w:val="712438AC"/>
    <w:rsid w:val="7141437C"/>
    <w:rsid w:val="71D114D7"/>
    <w:rsid w:val="71E116BB"/>
    <w:rsid w:val="72053AAD"/>
    <w:rsid w:val="72AF5315"/>
    <w:rsid w:val="73530396"/>
    <w:rsid w:val="74836A59"/>
    <w:rsid w:val="75226272"/>
    <w:rsid w:val="75A73486"/>
    <w:rsid w:val="760A5EC1"/>
    <w:rsid w:val="76A827A7"/>
    <w:rsid w:val="77E71E7A"/>
    <w:rsid w:val="792702FB"/>
    <w:rsid w:val="79DDB51F"/>
    <w:rsid w:val="7BC81F33"/>
    <w:rsid w:val="7C224DAA"/>
    <w:rsid w:val="7CDA1AC5"/>
    <w:rsid w:val="7D140B97"/>
    <w:rsid w:val="7D7D673C"/>
    <w:rsid w:val="7D90280C"/>
    <w:rsid w:val="7DF764EE"/>
    <w:rsid w:val="7ED77E2A"/>
    <w:rsid w:val="7EDC1B88"/>
    <w:rsid w:val="7F7818B1"/>
    <w:rsid w:val="7FFB7DEC"/>
    <w:rsid w:val="BDCE7F43"/>
    <w:rsid w:val="BF6B7887"/>
    <w:rsid w:val="CCDB3BCC"/>
    <w:rsid w:val="F9DFB3A5"/>
    <w:rsid w:val="FD5F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5" w:lineRule="auto"/>
      <w:outlineLvl w:val="1"/>
    </w:pPr>
    <w:rPr>
      <w:rFonts w:ascii="Cambria" w:hAnsi="Cambria" w:cs="Cambria"/>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2">
    <w:name w:val="Normal Indent"/>
    <w:basedOn w:val="1"/>
    <w:autoRedefine/>
    <w:qFormat/>
    <w:uiPriority w:val="0"/>
    <w:pPr>
      <w:ind w:firstLine="420"/>
    </w:pPr>
    <w:rPr>
      <w:kern w:val="0"/>
      <w:sz w:val="20"/>
      <w:szCs w:val="20"/>
    </w:r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仿宋_GB2312" w:eastAsia="仿宋_GB2312"/>
      <w:kern w:val="0"/>
      <w:sz w:val="24"/>
      <w:szCs w:val="20"/>
    </w:rPr>
  </w:style>
  <w:style w:type="paragraph" w:customStyle="1" w:styleId="7">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8">
    <w:name w:val="Body Text Indent"/>
    <w:basedOn w:val="1"/>
    <w:next w:val="9"/>
    <w:autoRedefine/>
    <w:qFormat/>
    <w:uiPriority w:val="0"/>
    <w:pPr>
      <w:ind w:left="765"/>
    </w:pPr>
    <w:rPr>
      <w:rFonts w:ascii="仿宋_GB2312" w:eastAsia="仿宋_GB2312"/>
      <w:kern w:val="0"/>
      <w:sz w:val="28"/>
      <w:szCs w:val="20"/>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1">
    <w:name w:val="Plain Text"/>
    <w:basedOn w:val="1"/>
    <w:autoRedefine/>
    <w:unhideWhenUsed/>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qFormat/>
    <w:uiPriority w:val="0"/>
    <w:rPr>
      <w:sz w:val="24"/>
    </w:rPr>
  </w:style>
  <w:style w:type="paragraph" w:styleId="15">
    <w:name w:val="toc 6"/>
    <w:basedOn w:val="1"/>
    <w:next w:val="1"/>
    <w:autoRedefine/>
    <w:qFormat/>
    <w:uiPriority w:val="0"/>
    <w:pPr>
      <w:ind w:left="1050"/>
      <w:jc w:val="left"/>
    </w:pPr>
    <w:rPr>
      <w:rFonts w:ascii="Calibri" w:hAnsi="Calibri"/>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next w:val="15"/>
    <w:autoRedefine/>
    <w:qFormat/>
    <w:uiPriority w:val="0"/>
    <w:pPr>
      <w:autoSpaceDE/>
      <w:autoSpaceDN/>
      <w:adjustRightInd/>
      <w:spacing w:after="120"/>
      <w:ind w:firstLine="420" w:firstLineChars="200"/>
    </w:pPr>
    <w:rPr>
      <w:color w:val="000000"/>
      <w:spacing w:val="-8"/>
      <w:kern w:val="2"/>
      <w:sz w:val="21"/>
    </w:rPr>
  </w:style>
  <w:style w:type="paragraph" w:styleId="18">
    <w:name w:val="Body Text First Indent 2"/>
    <w:basedOn w:val="8"/>
    <w:next w:val="1"/>
    <w:autoRedefine/>
    <w:qFormat/>
    <w:uiPriority w:val="0"/>
    <w:pPr>
      <w:keepNext w:val="0"/>
      <w:keepLines w:val="0"/>
      <w:widowControl w:val="0"/>
      <w:suppressLineNumbers w:val="0"/>
      <w:spacing w:after="120" w:afterLines="0" w:afterAutospacing="0"/>
      <w:ind w:left="420" w:leftChars="200" w:firstLine="200" w:firstLineChars="200"/>
      <w:jc w:val="both"/>
    </w:pPr>
    <w:rPr>
      <w:rFonts w:hint="default" w:ascii="Times New Roman" w:hAnsi="Times New Roman" w:eastAsia="宋体" w:cs="Times New Roman"/>
      <w:kern w:val="2"/>
      <w:sz w:val="21"/>
      <w:szCs w:val="21"/>
      <w:lang w:val="en-US" w:eastAsia="zh-CN" w:bidi="ar"/>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 表格正文 + 两端对齐"/>
    <w:basedOn w:val="1"/>
    <w:next w:val="23"/>
    <w:autoRedefine/>
    <w:qFormat/>
    <w:uiPriority w:val="99"/>
    <w:pPr>
      <w:spacing w:line="300" w:lineRule="auto"/>
    </w:pPr>
    <w:rPr>
      <w:sz w:val="24"/>
    </w:rPr>
  </w:style>
  <w:style w:type="paragraph" w:customStyle="1" w:styleId="23">
    <w:name w:val="正文1"/>
    <w:basedOn w:val="1"/>
    <w:next w:val="24"/>
    <w:autoRedefine/>
    <w:qFormat/>
    <w:uiPriority w:val="0"/>
    <w:pPr>
      <w:tabs>
        <w:tab w:val="left" w:pos="1980"/>
        <w:tab w:val="left" w:pos="2160"/>
      </w:tabs>
      <w:spacing w:line="360" w:lineRule="auto"/>
      <w:ind w:left="2160"/>
    </w:pPr>
    <w:rPr>
      <w:rFonts w:ascii="宋体" w:hAnsi="宋体"/>
    </w:rPr>
  </w:style>
  <w:style w:type="paragraph" w:customStyle="1" w:styleId="24">
    <w:name w:val="自动更正"/>
    <w:autoRedefine/>
    <w:qFormat/>
    <w:uiPriority w:val="99"/>
    <w:pPr>
      <w:widowControl w:val="0"/>
      <w:jc w:val="both"/>
    </w:pPr>
    <w:rPr>
      <w:rFonts w:ascii="黑体" w:hAnsi="黑体" w:eastAsia="微软雅黑" w:cs="黑体"/>
      <w:kern w:val="2"/>
      <w:sz w:val="21"/>
      <w:szCs w:val="21"/>
      <w:lang w:val="en-US" w:eastAsia="zh-CN" w:bidi="ar-SA"/>
    </w:rPr>
  </w:style>
  <w:style w:type="paragraph" w:customStyle="1" w:styleId="25">
    <w:name w:val="Default"/>
    <w:next w:val="1"/>
    <w:autoRedefine/>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27">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28">
    <w:name w:val="NormalCharacter"/>
    <w:autoRedefine/>
    <w:semiHidden/>
    <w:qFormat/>
    <w:uiPriority w:val="0"/>
  </w:style>
  <w:style w:type="paragraph" w:styleId="29">
    <w:name w:val="List Paragraph"/>
    <w:basedOn w:val="1"/>
    <w:autoRedefine/>
    <w:qFormat/>
    <w:uiPriority w:val="99"/>
    <w:pPr>
      <w:ind w:firstLine="420" w:firstLineChars="200"/>
    </w:pPr>
    <w:rPr>
      <w:kern w:val="0"/>
      <w:sz w:val="20"/>
      <w:szCs w:val="20"/>
    </w:rPr>
  </w:style>
  <w:style w:type="paragraph" w:customStyle="1" w:styleId="30">
    <w:name w:val="HtmlNormal"/>
    <w:basedOn w:val="1"/>
    <w:autoRedefine/>
    <w:qFormat/>
    <w:uiPriority w:val="0"/>
    <w:pPr>
      <w:jc w:val="left"/>
    </w:pPr>
    <w:rPr>
      <w:kern w:val="0"/>
      <w:sz w:val="24"/>
    </w:rPr>
  </w:style>
  <w:style w:type="paragraph" w:customStyle="1" w:styleId="31">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2">
    <w:name w:val="Heading #1|1"/>
    <w:basedOn w:val="1"/>
    <w:autoRedefine/>
    <w:qFormat/>
    <w:uiPriority w:val="0"/>
    <w:pPr>
      <w:widowControl w:val="0"/>
      <w:shd w:val="clear" w:color="auto" w:fill="auto"/>
      <w:spacing w:after="1100"/>
      <w:jc w:val="center"/>
      <w:outlineLvl w:val="0"/>
    </w:pPr>
    <w:rPr>
      <w:rFonts w:ascii="宋体" w:hAnsi="宋体" w:eastAsia="宋体" w:cs="宋体"/>
      <w:sz w:val="36"/>
      <w:szCs w:val="36"/>
      <w:u w:val="none"/>
      <w:shd w:val="clear" w:color="auto" w:fill="auto"/>
      <w:lang w:val="zh-TW" w:eastAsia="zh-TW" w:bidi="zh-TW"/>
    </w:rPr>
  </w:style>
  <w:style w:type="paragraph" w:customStyle="1" w:styleId="33">
    <w:name w:val="Body text|3"/>
    <w:basedOn w:val="1"/>
    <w:autoRedefine/>
    <w:qFormat/>
    <w:uiPriority w:val="0"/>
    <w:pPr>
      <w:widowControl w:val="0"/>
      <w:shd w:val="clear" w:color="auto" w:fill="auto"/>
      <w:spacing w:after="180" w:line="515" w:lineRule="exact"/>
      <w:ind w:firstLine="500"/>
    </w:pPr>
    <w:rPr>
      <w:rFonts w:ascii="宋体" w:hAnsi="宋体" w:eastAsia="宋体" w:cs="宋体"/>
      <w:u w:val="none"/>
      <w:shd w:val="clear" w:color="auto" w:fill="auto"/>
      <w:lang w:val="zh-TW" w:eastAsia="zh-TW" w:bidi="zh-TW"/>
    </w:rPr>
  </w:style>
  <w:style w:type="character" w:customStyle="1" w:styleId="34">
    <w:name w:val="Body text|2_"/>
    <w:basedOn w:val="21"/>
    <w:link w:val="35"/>
    <w:autoRedefine/>
    <w:qFormat/>
    <w:uiPriority w:val="0"/>
    <w:rPr>
      <w:sz w:val="20"/>
      <w:szCs w:val="20"/>
    </w:rPr>
  </w:style>
  <w:style w:type="paragraph" w:customStyle="1" w:styleId="35">
    <w:name w:val="Body text|2"/>
    <w:basedOn w:val="1"/>
    <w:link w:val="34"/>
    <w:autoRedefine/>
    <w:qFormat/>
    <w:uiPriority w:val="0"/>
    <w:pPr>
      <w:spacing w:after="480"/>
    </w:pPr>
    <w:rPr>
      <w:sz w:val="20"/>
      <w:szCs w:val="20"/>
    </w:rPr>
  </w:style>
  <w:style w:type="paragraph" w:customStyle="1" w:styleId="36">
    <w:name w:val="Other|1"/>
    <w:basedOn w:val="1"/>
    <w:autoRedefine/>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37">
    <w:name w:val="Body text|1"/>
    <w:basedOn w:val="1"/>
    <w:autoRedefine/>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38">
    <w:name w:val="首行缩进"/>
    <w:basedOn w:val="1"/>
    <w:autoRedefine/>
    <w:qFormat/>
    <w:uiPriority w:val="0"/>
    <w:pPr>
      <w:spacing w:line="360" w:lineRule="auto"/>
      <w:ind w:firstLine="480" w:firstLineChars="200"/>
      <w:jc w:val="left"/>
    </w:pPr>
    <w:rPr>
      <w:rFonts w:ascii="宋体" w:hAnsi="宋体"/>
      <w:sz w:val="24"/>
      <w:szCs w:val="24"/>
    </w:rPr>
  </w:style>
  <w:style w:type="paragraph" w:customStyle="1" w:styleId="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缩进）"/>
    <w:basedOn w:val="1"/>
    <w:autoRedefine/>
    <w:qFormat/>
    <w:uiPriority w:val="0"/>
    <w:pPr>
      <w:ind w:firstLine="480" w:firstLineChars="200"/>
    </w:pPr>
  </w:style>
  <w:style w:type="paragraph" w:customStyle="1" w:styleId="41">
    <w:name w:val="sh4"/>
    <w:basedOn w:val="1"/>
    <w:autoRedefine/>
    <w:qFormat/>
    <w:uiPriority w:val="0"/>
    <w:pPr>
      <w:widowControl/>
      <w:autoSpaceDE w:val="0"/>
      <w:autoSpaceDN w:val="0"/>
      <w:spacing w:line="460" w:lineRule="exact"/>
      <w:ind w:firstLine="410" w:firstLineChars="200"/>
      <w:contextualSpacing/>
      <w:jc w:val="left"/>
    </w:pPr>
    <w:rPr>
      <w:rFonts w:ascii="宋体" w:hAnsi="宋体"/>
      <w:bCs/>
      <w:color w:val="0D0D0D"/>
      <w:spacing w:val="-5"/>
      <w:kern w:val="0"/>
      <w:szCs w:val="21"/>
    </w:rPr>
  </w:style>
  <w:style w:type="paragraph" w:customStyle="1" w:styleId="42">
    <w:name w:val="页脚111"/>
    <w:basedOn w:val="1"/>
    <w:qFormat/>
    <w:uiPriority w:val="99"/>
    <w:pPr>
      <w:tabs>
        <w:tab w:val="center" w:pos="4153"/>
        <w:tab w:val="right" w:pos="8306"/>
      </w:tabs>
      <w:jc w:val="left"/>
    </w:pPr>
    <w:rPr>
      <w:sz w:val="18"/>
    </w:rPr>
  </w:style>
  <w:style w:type="paragraph" w:customStyle="1" w:styleId="43">
    <w:name w:val="Table Text"/>
    <w:basedOn w:val="1"/>
    <w:semiHidden/>
    <w:qFormat/>
    <w:uiPriority w:val="0"/>
    <w:rPr>
      <w:rFonts w:ascii="宋体" w:hAnsi="宋体" w:eastAsia="宋体" w:cs="宋体"/>
      <w:sz w:val="24"/>
      <w:lang w:eastAsia="en-US"/>
    </w:rPr>
  </w:style>
  <w:style w:type="paragraph" w:customStyle="1" w:styleId="44">
    <w:name w:val="正文文本11"/>
    <w:basedOn w:val="1"/>
    <w:qFormat/>
    <w:uiPriority w:val="0"/>
    <w:rPr>
      <w:rFonts w:ascii="楷体_GB2312" w:hAnsi="Arial"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11942</Words>
  <Characters>14360</Characters>
  <Lines>0</Lines>
  <Paragraphs>0</Paragraphs>
  <TotalTime>13</TotalTime>
  <ScaleCrop>false</ScaleCrop>
  <LinksUpToDate>false</LinksUpToDate>
  <CharactersWithSpaces>14747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2023-05-25T16:35:00Z</dcterms:created>
  <dc:creator>69020</dc:creator>
  <cp:lastModifiedBy>梧桐那么伤</cp:lastModifiedBy>
  <cp:lastPrinted>2023-10-20T17:39:00Z</cp:lastPrinted>
  <dcterms:modified xsi:type="dcterms:W3CDTF">2025-09-02T08:00:58Z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6717892E09714B2F8219611E7AAF5023_13</vt:lpwstr>
  </property>
  <property fmtid="{D5CDD505-2E9C-101B-9397-08002B2CF9AE}" pid="4" name="KSOTemplateDocerSaveRecord">
    <vt:lpwstr>eyJoZGlkIjoiMTJjOGFhZTVkNDEwMDI1ZTIwOTEzNTNiMDY2MDJlNmMiLCJ1c2VySWQiOiIyOTkzNjMxMDgifQ==</vt:lpwstr>
  </property>
</Properties>
</file>