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hAnsi="宋体"/>
          <w:b/>
          <w:bCs/>
          <w:color w:val="auto"/>
          <w:sz w:val="52"/>
          <w:szCs w:val="52"/>
          <w:highlight w:val="none"/>
        </w:rPr>
      </w:pPr>
    </w:p>
    <w:p>
      <w:pPr>
        <w:pStyle w:val="20"/>
        <w:rPr>
          <w:rFonts w:hint="eastAsia"/>
          <w:color w:val="auto"/>
          <w:highlight w:val="none"/>
        </w:rPr>
      </w:pPr>
    </w:p>
    <w:p>
      <w:pPr>
        <w:spacing w:line="360" w:lineRule="auto"/>
        <w:jc w:val="center"/>
        <w:rPr>
          <w:rFonts w:hint="eastAsia" w:hAnsi="宋体" w:eastAsia="宋体"/>
          <w:b/>
          <w:bCs/>
          <w:color w:val="auto"/>
          <w:sz w:val="44"/>
          <w:szCs w:val="44"/>
          <w:highlight w:val="none"/>
          <w:lang w:eastAsia="zh-CN"/>
        </w:rPr>
      </w:pPr>
      <w:bookmarkStart w:id="0" w:name="_Hlk67735399"/>
      <w:r>
        <w:rPr>
          <w:rFonts w:hint="eastAsia" w:hAnsi="宋体"/>
          <w:b/>
          <w:bCs/>
          <w:color w:val="auto"/>
          <w:sz w:val="44"/>
          <w:szCs w:val="44"/>
          <w:highlight w:val="none"/>
          <w:lang w:eastAsia="zh-CN"/>
        </w:rPr>
        <w:t>M24003地块三网融合通信及信号覆盖工程</w:t>
      </w:r>
    </w:p>
    <w:bookmarkEnd w:id="0"/>
    <w:p>
      <w:pPr>
        <w:spacing w:line="360" w:lineRule="auto"/>
        <w:jc w:val="center"/>
        <w:rPr>
          <w:b/>
          <w:bCs/>
          <w:color w:val="auto"/>
          <w:sz w:val="52"/>
          <w:szCs w:val="52"/>
          <w:highlight w:val="none"/>
        </w:rPr>
      </w:pPr>
    </w:p>
    <w:p>
      <w:pPr>
        <w:spacing w:line="360" w:lineRule="auto"/>
        <w:jc w:val="center"/>
        <w:rPr>
          <w:rFonts w:hint="eastAsia" w:asciiTheme="minorEastAsia" w:hAnsiTheme="minorEastAsia" w:eastAsiaTheme="minorEastAsia"/>
          <w:b/>
          <w:bCs/>
          <w:color w:val="auto"/>
          <w:sz w:val="52"/>
          <w:szCs w:val="52"/>
          <w:highlight w:val="none"/>
        </w:rPr>
      </w:pPr>
    </w:p>
    <w:p>
      <w:pPr>
        <w:spacing w:line="360" w:lineRule="auto"/>
        <w:jc w:val="center"/>
        <w:rPr>
          <w:rFonts w:hint="eastAsia" w:asciiTheme="minorEastAsia" w:hAnsiTheme="minorEastAsia" w:eastAsiaTheme="minorEastAsia"/>
          <w:b/>
          <w:bCs/>
          <w:color w:val="auto"/>
          <w:sz w:val="52"/>
          <w:szCs w:val="52"/>
          <w:highlight w:val="none"/>
        </w:rPr>
      </w:pPr>
    </w:p>
    <w:p>
      <w:pPr>
        <w:spacing w:line="360" w:lineRule="auto"/>
        <w:jc w:val="center"/>
        <w:rPr>
          <w:b/>
          <w:bCs/>
          <w:color w:val="auto"/>
          <w:sz w:val="52"/>
          <w:szCs w:val="52"/>
          <w:highlight w:val="none"/>
          <w:u w:val="single"/>
        </w:rPr>
      </w:pPr>
      <w:r>
        <w:rPr>
          <w:rFonts w:hAnsi="宋体"/>
          <w:b/>
          <w:bCs/>
          <w:color w:val="auto"/>
          <w:sz w:val="52"/>
          <w:szCs w:val="52"/>
          <w:highlight w:val="none"/>
        </w:rPr>
        <w:t>招</w:t>
      </w:r>
      <w:r>
        <w:rPr>
          <w:rFonts w:hint="eastAsia" w:hAnsi="宋体"/>
          <w:b/>
          <w:bCs/>
          <w:color w:val="auto"/>
          <w:sz w:val="52"/>
          <w:szCs w:val="52"/>
          <w:highlight w:val="none"/>
        </w:rPr>
        <w:t xml:space="preserve"> </w:t>
      </w:r>
      <w:r>
        <w:rPr>
          <w:rFonts w:hAnsi="宋体"/>
          <w:b/>
          <w:bCs/>
          <w:color w:val="auto"/>
          <w:sz w:val="52"/>
          <w:szCs w:val="52"/>
          <w:highlight w:val="none"/>
        </w:rPr>
        <w:t>标</w:t>
      </w:r>
      <w:r>
        <w:rPr>
          <w:rFonts w:hint="eastAsia" w:hAnsi="宋体"/>
          <w:b/>
          <w:bCs/>
          <w:color w:val="auto"/>
          <w:sz w:val="52"/>
          <w:szCs w:val="52"/>
          <w:highlight w:val="none"/>
        </w:rPr>
        <w:t xml:space="preserve"> </w:t>
      </w:r>
      <w:r>
        <w:rPr>
          <w:rFonts w:hAnsi="宋体"/>
          <w:b/>
          <w:bCs/>
          <w:color w:val="auto"/>
          <w:sz w:val="52"/>
          <w:szCs w:val="52"/>
          <w:highlight w:val="none"/>
        </w:rPr>
        <w:t>文</w:t>
      </w:r>
      <w:r>
        <w:rPr>
          <w:rFonts w:hint="eastAsia" w:hAnsi="宋体"/>
          <w:b/>
          <w:bCs/>
          <w:color w:val="auto"/>
          <w:sz w:val="52"/>
          <w:szCs w:val="52"/>
          <w:highlight w:val="none"/>
        </w:rPr>
        <w:t xml:space="preserve"> </w:t>
      </w:r>
      <w:r>
        <w:rPr>
          <w:rFonts w:hAnsi="宋体"/>
          <w:b/>
          <w:bCs/>
          <w:color w:val="auto"/>
          <w:sz w:val="52"/>
          <w:szCs w:val="52"/>
          <w:highlight w:val="none"/>
        </w:rPr>
        <w:t>件</w:t>
      </w:r>
    </w:p>
    <w:p>
      <w:pPr>
        <w:spacing w:line="360" w:lineRule="auto"/>
        <w:jc w:val="center"/>
        <w:rPr>
          <w:rFonts w:hint="default" w:eastAsia="宋体"/>
          <w:color w:val="auto"/>
          <w:sz w:val="25"/>
          <w:highlight w:val="none"/>
          <w:lang w:val="en-US" w:eastAsia="zh-CN"/>
        </w:rPr>
      </w:pPr>
      <w:r>
        <w:rPr>
          <w:rFonts w:hAnsi="宋体"/>
          <w:color w:val="auto"/>
          <w:sz w:val="28"/>
          <w:szCs w:val="28"/>
          <w:highlight w:val="none"/>
        </w:rPr>
        <w:t>项目编号</w:t>
      </w:r>
      <w:r>
        <w:rPr>
          <w:rFonts w:hAnsi="宋体"/>
          <w:color w:val="auto"/>
          <w:sz w:val="32"/>
          <w:szCs w:val="32"/>
          <w:highlight w:val="none"/>
        </w:rPr>
        <w:t>：</w:t>
      </w:r>
      <w:r>
        <w:rPr>
          <w:rFonts w:hint="eastAsia" w:hAnsi="宋体"/>
          <w:color w:val="auto"/>
          <w:sz w:val="32"/>
          <w:szCs w:val="32"/>
          <w:highlight w:val="none"/>
        </w:rPr>
        <w:t>CC2025</w:t>
      </w:r>
      <w:r>
        <w:rPr>
          <w:rFonts w:hint="eastAsia" w:hAnsi="宋体"/>
          <w:color w:val="auto"/>
          <w:sz w:val="32"/>
          <w:szCs w:val="32"/>
          <w:highlight w:val="none"/>
          <w:lang w:val="en-US" w:eastAsia="zh-CN"/>
        </w:rPr>
        <w:t>-23</w:t>
      </w:r>
    </w:p>
    <w:p>
      <w:pPr>
        <w:spacing w:line="360" w:lineRule="auto"/>
        <w:jc w:val="center"/>
        <w:rPr>
          <w:color w:val="auto"/>
          <w:sz w:val="25"/>
          <w:highlight w:val="none"/>
        </w:rPr>
      </w:pPr>
    </w:p>
    <w:p>
      <w:pPr>
        <w:spacing w:line="360" w:lineRule="auto"/>
        <w:jc w:val="center"/>
        <w:rPr>
          <w:color w:val="auto"/>
          <w:sz w:val="25"/>
          <w:highlight w:val="none"/>
        </w:rPr>
      </w:pPr>
    </w:p>
    <w:p>
      <w:pPr>
        <w:spacing w:line="360" w:lineRule="auto"/>
        <w:jc w:val="center"/>
        <w:rPr>
          <w:color w:val="auto"/>
          <w:sz w:val="25"/>
          <w:highlight w:val="none"/>
        </w:rPr>
      </w:pPr>
    </w:p>
    <w:p>
      <w:pPr>
        <w:spacing w:line="360" w:lineRule="auto"/>
        <w:jc w:val="center"/>
        <w:rPr>
          <w:color w:val="auto"/>
          <w:sz w:val="25"/>
          <w:highlight w:val="none"/>
        </w:rPr>
      </w:pPr>
    </w:p>
    <w:p>
      <w:pPr>
        <w:spacing w:line="360" w:lineRule="auto"/>
        <w:jc w:val="center"/>
        <w:rPr>
          <w:color w:val="auto"/>
          <w:sz w:val="25"/>
          <w:highlight w:val="none"/>
        </w:rPr>
      </w:pPr>
    </w:p>
    <w:p>
      <w:pPr>
        <w:spacing w:line="360" w:lineRule="auto"/>
        <w:jc w:val="center"/>
        <w:rPr>
          <w:color w:val="auto"/>
          <w:sz w:val="25"/>
          <w:highlight w:val="none"/>
        </w:rPr>
      </w:pPr>
    </w:p>
    <w:p>
      <w:pPr>
        <w:pStyle w:val="2"/>
        <w:ind w:left="63" w:right="63" w:firstLine="1240"/>
        <w:rPr>
          <w:rFonts w:hint="default"/>
          <w:color w:val="auto"/>
          <w:highlight w:val="none"/>
        </w:rPr>
      </w:pPr>
    </w:p>
    <w:p>
      <w:pPr>
        <w:pStyle w:val="20"/>
        <w:ind w:left="0" w:leftChars="0" w:firstLine="0" w:firstLineChars="0"/>
        <w:rPr>
          <w:rFonts w:hint="eastAsia"/>
          <w:b/>
          <w:bCs/>
          <w:color w:val="auto"/>
          <w:sz w:val="30"/>
          <w:szCs w:val="30"/>
          <w:highlight w:val="none"/>
        </w:rPr>
      </w:pPr>
    </w:p>
    <w:p>
      <w:pPr>
        <w:pStyle w:val="20"/>
        <w:rPr>
          <w:rFonts w:hint="eastAsia"/>
          <w:color w:val="auto"/>
          <w:highlight w:val="none"/>
        </w:rPr>
      </w:pPr>
    </w:p>
    <w:p>
      <w:pPr>
        <w:spacing w:line="360" w:lineRule="auto"/>
        <w:ind w:firstLine="1506" w:firstLineChars="500"/>
        <w:rPr>
          <w:rFonts w:hint="eastAsia" w:hAnsi="宋体" w:eastAsia="宋体"/>
          <w:b/>
          <w:bCs/>
          <w:color w:val="auto"/>
          <w:sz w:val="30"/>
          <w:szCs w:val="30"/>
          <w:highlight w:val="none"/>
          <w:lang w:eastAsia="zh-CN"/>
        </w:rPr>
      </w:pPr>
      <w:r>
        <w:rPr>
          <w:rFonts w:hAnsi="宋体"/>
          <w:b/>
          <w:bCs/>
          <w:color w:val="auto"/>
          <w:sz w:val="30"/>
          <w:szCs w:val="30"/>
          <w:highlight w:val="none"/>
        </w:rPr>
        <w:t>招</w:t>
      </w:r>
      <w:r>
        <w:rPr>
          <w:rFonts w:hint="eastAsia" w:hAnsi="宋体"/>
          <w:b/>
          <w:bCs/>
          <w:color w:val="auto"/>
          <w:sz w:val="30"/>
          <w:szCs w:val="30"/>
          <w:highlight w:val="none"/>
        </w:rPr>
        <w:t xml:space="preserve">  </w:t>
      </w:r>
      <w:r>
        <w:rPr>
          <w:rFonts w:hAnsi="宋体"/>
          <w:b/>
          <w:bCs/>
          <w:color w:val="auto"/>
          <w:sz w:val="30"/>
          <w:szCs w:val="30"/>
          <w:highlight w:val="none"/>
        </w:rPr>
        <w:t>标</w:t>
      </w:r>
      <w:r>
        <w:rPr>
          <w:rFonts w:hint="eastAsia" w:hAnsi="宋体"/>
          <w:b/>
          <w:bCs/>
          <w:color w:val="auto"/>
          <w:sz w:val="30"/>
          <w:szCs w:val="30"/>
          <w:highlight w:val="none"/>
        </w:rPr>
        <w:t xml:space="preserve">  </w:t>
      </w:r>
      <w:r>
        <w:rPr>
          <w:rFonts w:hAnsi="宋体"/>
          <w:b/>
          <w:bCs/>
          <w:color w:val="auto"/>
          <w:sz w:val="30"/>
          <w:szCs w:val="30"/>
          <w:highlight w:val="none"/>
        </w:rPr>
        <w:t>人：</w:t>
      </w:r>
      <w:r>
        <w:rPr>
          <w:rFonts w:hint="eastAsia" w:hAnsi="宋体"/>
          <w:b/>
          <w:bCs/>
          <w:color w:val="auto"/>
          <w:sz w:val="30"/>
          <w:szCs w:val="30"/>
          <w:highlight w:val="none"/>
          <w:lang w:eastAsia="zh-CN"/>
        </w:rPr>
        <w:t>鑫兴绿色（南通）产业发展有限公司</w:t>
      </w:r>
    </w:p>
    <w:p>
      <w:pPr>
        <w:spacing w:line="360" w:lineRule="auto"/>
        <w:ind w:firstLine="1506" w:firstLineChars="500"/>
        <w:rPr>
          <w:rFonts w:hint="eastAsia" w:eastAsia="宋体"/>
          <w:b/>
          <w:bCs/>
          <w:color w:val="auto"/>
          <w:sz w:val="30"/>
          <w:szCs w:val="30"/>
          <w:highlight w:val="none"/>
          <w:lang w:eastAsia="zh-CN"/>
        </w:rPr>
      </w:pPr>
      <w:r>
        <w:rPr>
          <w:rFonts w:hAnsi="宋体"/>
          <w:b/>
          <w:bCs/>
          <w:color w:val="auto"/>
          <w:sz w:val="30"/>
          <w:szCs w:val="30"/>
          <w:highlight w:val="none"/>
        </w:rPr>
        <w:t>招标代理人：</w:t>
      </w:r>
      <w:r>
        <w:rPr>
          <w:rFonts w:hint="eastAsia" w:hAnsi="宋体"/>
          <w:b/>
          <w:bCs/>
          <w:color w:val="auto"/>
          <w:sz w:val="30"/>
          <w:szCs w:val="30"/>
          <w:highlight w:val="none"/>
          <w:lang w:eastAsia="zh-CN"/>
        </w:rPr>
        <w:t>江苏建博工程管理咨询有限公司</w:t>
      </w:r>
    </w:p>
    <w:p>
      <w:pPr>
        <w:pStyle w:val="15"/>
        <w:spacing w:before="156" w:beforeLines="50" w:line="360" w:lineRule="auto"/>
        <w:ind w:left="0" w:leftChars="0"/>
        <w:jc w:val="center"/>
        <w:rPr>
          <w:rFonts w:hint="eastAsia" w:eastAsiaTheme="minorEastAsia"/>
          <w:b/>
          <w:color w:val="auto"/>
          <w:sz w:val="30"/>
          <w:szCs w:val="30"/>
          <w:highlight w:val="none"/>
          <w:lang w:val="en-US" w:eastAsia="zh-CN"/>
        </w:rPr>
      </w:pPr>
      <w:r>
        <w:rPr>
          <w:rFonts w:hAnsi="宋体"/>
          <w:b/>
          <w:color w:val="auto"/>
          <w:sz w:val="30"/>
          <w:szCs w:val="30"/>
          <w:highlight w:val="none"/>
        </w:rPr>
        <w:t>二</w:t>
      </w:r>
      <w:r>
        <w:rPr>
          <w:rFonts w:hint="eastAsia" w:hAnsi="宋体"/>
          <w:b/>
          <w:color w:val="auto"/>
          <w:sz w:val="30"/>
          <w:szCs w:val="30"/>
          <w:highlight w:val="none"/>
        </w:rPr>
        <w:t>〇</w:t>
      </w:r>
      <w:r>
        <w:rPr>
          <w:rFonts w:hAnsi="宋体"/>
          <w:b/>
          <w:color w:val="auto"/>
          <w:sz w:val="30"/>
          <w:szCs w:val="30"/>
          <w:highlight w:val="none"/>
        </w:rPr>
        <w:t>二</w:t>
      </w:r>
      <w:r>
        <w:rPr>
          <w:rFonts w:hint="eastAsia" w:hAnsi="宋体"/>
          <w:b/>
          <w:color w:val="auto"/>
          <w:sz w:val="30"/>
          <w:szCs w:val="30"/>
          <w:highlight w:val="none"/>
          <w:lang w:val="en-US" w:eastAsia="zh-CN"/>
        </w:rPr>
        <w:t>五</w:t>
      </w:r>
      <w:r>
        <w:rPr>
          <w:rFonts w:hAnsi="宋体"/>
          <w:b/>
          <w:color w:val="auto"/>
          <w:sz w:val="30"/>
          <w:szCs w:val="30"/>
          <w:highlight w:val="none"/>
        </w:rPr>
        <w:t>年</w:t>
      </w:r>
      <w:r>
        <w:rPr>
          <w:rFonts w:hint="eastAsia" w:hAnsi="宋体"/>
          <w:b/>
          <w:color w:val="auto"/>
          <w:sz w:val="30"/>
          <w:szCs w:val="30"/>
          <w:highlight w:val="none"/>
          <w:lang w:val="en-US" w:eastAsia="zh-CN"/>
        </w:rPr>
        <w:t>四</w:t>
      </w:r>
      <w:r>
        <w:rPr>
          <w:rFonts w:hint="eastAsia" w:hAnsi="宋体"/>
          <w:b/>
          <w:color w:val="auto"/>
          <w:sz w:val="30"/>
          <w:szCs w:val="30"/>
          <w:highlight w:val="none"/>
        </w:rPr>
        <w:t>月</w:t>
      </w:r>
      <w:r>
        <w:rPr>
          <w:rFonts w:hint="eastAsia" w:hAnsi="宋体"/>
          <w:b/>
          <w:color w:val="auto"/>
          <w:sz w:val="30"/>
          <w:szCs w:val="30"/>
          <w:highlight w:val="none"/>
          <w:lang w:val="en-US" w:eastAsia="zh-CN"/>
        </w:rPr>
        <w:t>二十二日</w:t>
      </w:r>
    </w:p>
    <w:p>
      <w:pPr>
        <w:pStyle w:val="6"/>
        <w:spacing w:line="240" w:lineRule="auto"/>
        <w:ind w:firstLine="1428" w:firstLineChars="395"/>
        <w:rPr>
          <w:color w:val="auto"/>
          <w:sz w:val="36"/>
          <w:highlight w:val="none"/>
        </w:rPr>
      </w:pPr>
      <w:r>
        <w:rPr>
          <w:color w:val="auto"/>
          <w:sz w:val="36"/>
          <w:highlight w:val="none"/>
        </w:rPr>
        <w:br w:type="page"/>
      </w:r>
      <w:bookmarkStart w:id="1" w:name="_Toc380680818"/>
      <w:bookmarkStart w:id="2" w:name="_Toc465181334"/>
      <w:bookmarkStart w:id="3" w:name="_Toc380681011"/>
      <w:bookmarkStart w:id="4" w:name="_Toc380681230"/>
      <w:bookmarkStart w:id="5" w:name="_Toc380680178"/>
      <w:r>
        <w:rPr>
          <w:rFonts w:hAnsi="宋体"/>
          <w:color w:val="auto"/>
          <w:sz w:val="36"/>
          <w:highlight w:val="none"/>
        </w:rPr>
        <w:t>第一章</w:t>
      </w:r>
      <w:r>
        <w:rPr>
          <w:rFonts w:hint="eastAsia" w:hAnsi="宋体"/>
          <w:color w:val="auto"/>
          <w:sz w:val="36"/>
          <w:highlight w:val="none"/>
        </w:rPr>
        <w:t xml:space="preserve">  </w:t>
      </w:r>
      <w:r>
        <w:rPr>
          <w:rFonts w:hAnsi="宋体"/>
          <w:color w:val="auto"/>
          <w:sz w:val="36"/>
          <w:highlight w:val="none"/>
        </w:rPr>
        <w:t>投标人须知及投标人须知前附表</w:t>
      </w:r>
      <w:bookmarkEnd w:id="1"/>
      <w:bookmarkEnd w:id="2"/>
      <w:bookmarkEnd w:id="3"/>
      <w:bookmarkEnd w:id="4"/>
      <w:bookmarkEnd w:id="5"/>
    </w:p>
    <w:p>
      <w:pPr>
        <w:pStyle w:val="7"/>
        <w:spacing w:line="240" w:lineRule="auto"/>
        <w:jc w:val="center"/>
        <w:rPr>
          <w:rFonts w:ascii="Times New Roman" w:hAnsi="Times New Roman" w:eastAsia="宋体"/>
          <w:color w:val="auto"/>
          <w:sz w:val="25"/>
          <w:highlight w:val="none"/>
        </w:rPr>
      </w:pPr>
      <w:bookmarkStart w:id="6" w:name="_Toc380680819"/>
      <w:bookmarkStart w:id="7" w:name="_Toc380681231"/>
      <w:bookmarkStart w:id="8" w:name="_Toc380681012"/>
      <w:bookmarkStart w:id="9" w:name="_Toc380680179"/>
      <w:r>
        <w:rPr>
          <w:rFonts w:ascii="Times New Roman" w:hAnsi="宋体" w:eastAsia="宋体"/>
          <w:color w:val="auto"/>
          <w:sz w:val="30"/>
          <w:highlight w:val="none"/>
        </w:rPr>
        <w:t>一、投标人须知前附表</w:t>
      </w:r>
      <w:bookmarkEnd w:id="6"/>
      <w:bookmarkEnd w:id="7"/>
      <w:bookmarkEnd w:id="8"/>
      <w:bookmarkEnd w:id="9"/>
    </w:p>
    <w:tbl>
      <w:tblPr>
        <w:tblStyle w:val="21"/>
        <w:tblW w:w="9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889"/>
        <w:gridCol w:w="1892"/>
        <w:gridCol w:w="6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hanging="23" w:hangingChars="11"/>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项号</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条款号</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内容</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工程名称</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M24003地块三网融合通信及信号覆盖工程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建设地点</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南通市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建设规模</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rPr>
                <w:rFonts w:hint="eastAsia" w:ascii="宋体" w:hAnsi="宋体" w:eastAsia="宋体" w:cs="宋体"/>
                <w:color w:val="auto"/>
                <w:sz w:val="21"/>
                <w:szCs w:val="21"/>
                <w:highlight w:val="none"/>
              </w:rPr>
            </w:pPr>
            <w:bookmarkStart w:id="10" w:name="OLE_LINK5"/>
            <w:r>
              <w:rPr>
                <w:rFonts w:hint="eastAsia" w:ascii="宋体" w:hAnsi="宋体" w:eastAsia="宋体" w:cs="宋体"/>
                <w:color w:val="auto"/>
                <w:sz w:val="21"/>
                <w:szCs w:val="21"/>
                <w:highlight w:val="none"/>
              </w:rPr>
              <w:t>总建筑面积</w:t>
            </w:r>
            <w:bookmarkStart w:id="11" w:name="OLE_LINK1"/>
            <w:r>
              <w:rPr>
                <w:rFonts w:hint="eastAsia" w:ascii="宋体" w:hAnsi="宋体" w:eastAsia="宋体" w:cs="宋体"/>
                <w:color w:val="auto"/>
                <w:sz w:val="21"/>
                <w:szCs w:val="21"/>
                <w:highlight w:val="none"/>
              </w:rPr>
              <w:t>119356 .27</w:t>
            </w:r>
            <w:bookmarkEnd w:id="11"/>
            <w:r>
              <w:rPr>
                <w:rFonts w:hint="eastAsia" w:ascii="宋体" w:hAnsi="宋体" w:eastAsia="宋体" w:cs="宋体"/>
                <w:color w:val="auto"/>
                <w:sz w:val="21"/>
                <w:szCs w:val="21"/>
                <w:highlight w:val="none"/>
              </w:rPr>
              <w:t>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，其中：地上建筑面积110590.1㎡，地下建筑面积8766.17㎡。</w:t>
            </w:r>
            <w:r>
              <w:rPr>
                <w:rFonts w:hint="eastAsia" w:ascii="宋体" w:hAnsi="宋体" w:eastAsia="宋体" w:cs="宋体"/>
                <w:color w:val="auto"/>
                <w:sz w:val="21"/>
                <w:szCs w:val="21"/>
                <w:highlight w:val="none"/>
                <w:lang w:eastAsia="zh-CN"/>
              </w:rPr>
              <w:t>本工程预算价：</w:t>
            </w:r>
            <w:r>
              <w:rPr>
                <w:rFonts w:hint="eastAsia" w:ascii="宋体" w:hAnsi="宋体" w:cs="宋体"/>
                <w:color w:val="auto"/>
                <w:sz w:val="21"/>
                <w:szCs w:val="21"/>
                <w:highlight w:val="none"/>
                <w:lang w:val="en-US" w:eastAsia="zh-CN"/>
              </w:rPr>
              <w:t>1432275.24元</w:t>
            </w:r>
            <w:r>
              <w:rPr>
                <w:rFonts w:hint="eastAsia" w:ascii="宋体" w:hAnsi="宋体" w:eastAsia="宋体" w:cs="宋体"/>
                <w:color w:val="auto"/>
                <w:sz w:val="21"/>
                <w:szCs w:val="21"/>
                <w:highlight w:val="none"/>
              </w:rPr>
              <w:t>（12.00元/m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*119356 .27m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rPr>
              <w:t>其中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设计费</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30000.00</w:t>
            </w:r>
            <w:r>
              <w:rPr>
                <w:rFonts w:hint="eastAsia" w:ascii="宋体" w:hAnsi="宋体" w:eastAsia="宋体" w:cs="宋体"/>
                <w:color w:val="auto"/>
                <w:sz w:val="21"/>
                <w:szCs w:val="21"/>
                <w:highlight w:val="none"/>
              </w:rPr>
              <w:t>元，</w:t>
            </w:r>
            <w:r>
              <w:rPr>
                <w:rFonts w:hint="eastAsia" w:ascii="宋体" w:hAnsi="宋体" w:eastAsia="宋体" w:cs="宋体"/>
                <w:color w:val="auto"/>
                <w:sz w:val="21"/>
                <w:szCs w:val="21"/>
                <w:highlight w:val="none"/>
                <w:lang w:val="en-US" w:eastAsia="zh-CN"/>
              </w:rPr>
              <w:t xml:space="preserve">建安工程费     </w:t>
            </w:r>
            <w:r>
              <w:rPr>
                <w:rFonts w:hint="eastAsia" w:ascii="宋体" w:hAnsi="宋体" w:cs="宋体"/>
                <w:color w:val="auto"/>
                <w:sz w:val="21"/>
                <w:szCs w:val="21"/>
                <w:highlight w:val="none"/>
                <w:lang w:val="en-US" w:eastAsia="zh-CN"/>
              </w:rPr>
              <w:t>1402275.24元。</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承包方式</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质量标准</w:t>
            </w:r>
          </w:p>
        </w:tc>
        <w:tc>
          <w:tcPr>
            <w:tcW w:w="6223" w:type="dxa"/>
            <w:vAlign w:val="center"/>
          </w:tcPr>
          <w:p>
            <w:pPr>
              <w:pStyle w:val="11"/>
              <w:keepNext w:val="0"/>
              <w:keepLines w:val="0"/>
              <w:pageBreakBefore w:val="0"/>
              <w:widowControl w:val="0"/>
              <w:kinsoku/>
              <w:wordWrap/>
              <w:overflowPunct/>
              <w:topLinePunct w:val="0"/>
              <w:autoSpaceDE/>
              <w:autoSpaceDN/>
              <w:bidi w:val="0"/>
              <w:spacing w:line="360" w:lineRule="auto"/>
              <w:ind w:lef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一次性通过验收，并取得南通市通信行业协会颁发的验收证书。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工期要求</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①设计工期：</w:t>
            </w:r>
            <w:r>
              <w:rPr>
                <w:rFonts w:hint="eastAsia" w:ascii="宋体" w:hAnsi="宋体" w:cs="宋体"/>
                <w:color w:val="auto"/>
                <w:sz w:val="21"/>
                <w:szCs w:val="21"/>
                <w:highlight w:val="none"/>
                <w:lang w:val="en-US" w:eastAsia="zh-CN"/>
              </w:rPr>
              <w:t>30</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日历天</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rPr>
              <w:t>中标人应在发包人通知的时间开始本地块通信工程的设计工作，</w:t>
            </w:r>
            <w:r>
              <w:rPr>
                <w:rFonts w:hint="eastAsia" w:ascii="宋体" w:hAnsi="宋体" w:eastAsia="宋体" w:cs="宋体"/>
                <w:color w:val="auto"/>
                <w:sz w:val="21"/>
                <w:szCs w:val="21"/>
                <w:highlight w:val="none"/>
              </w:rPr>
              <w:t>并在</w:t>
            </w:r>
            <w:r>
              <w:rPr>
                <w:rFonts w:hint="eastAsia" w:ascii="宋体" w:hAnsi="宋体" w:cs="宋体"/>
                <w:color w:val="auto"/>
                <w:sz w:val="21"/>
                <w:szCs w:val="21"/>
                <w:highlight w:val="none"/>
                <w:lang w:val="en-US" w:eastAsia="zh-CN"/>
              </w:rPr>
              <w:t>30</w:t>
            </w:r>
            <w:r>
              <w:rPr>
                <w:rFonts w:hint="eastAsia" w:ascii="宋体" w:hAnsi="宋体" w:eastAsia="宋体" w:cs="宋体"/>
                <w:color w:val="auto"/>
                <w:sz w:val="21"/>
                <w:szCs w:val="21"/>
                <w:highlight w:val="none"/>
              </w:rPr>
              <w:t>天内完成</w:t>
            </w:r>
            <w:r>
              <w:rPr>
                <w:rFonts w:hint="eastAsia" w:ascii="宋体" w:hAnsi="宋体" w:eastAsia="宋体" w:cs="宋体"/>
                <w:color w:val="auto"/>
                <w:sz w:val="21"/>
                <w:szCs w:val="21"/>
                <w:highlight w:val="none"/>
              </w:rPr>
              <w:t>，设计成果符合住房和城乡建设部发布的《住宅区和住宅建筑内光纤到户通信施工工程设计规范》（GB50846-2012）、《住宅区和住宅建筑内光纤到户通信施工工程及验收规范》标准和要求，符合《关于推进5G新型信息基础设施与传统基础实施项目协同建设的通知》苏发改投资发（2021）465号文、南通市通信行业协会（2021）20文要求，提供完整的设计施工图并送审通过。</w:t>
            </w:r>
          </w:p>
          <w:p>
            <w:pPr>
              <w:keepNext w:val="0"/>
              <w:keepLines w:val="0"/>
              <w:pageBreakBefore w:val="0"/>
              <w:widowControl w:val="0"/>
              <w:kinsoku/>
              <w:wordWrap/>
              <w:overflowPunct/>
              <w:topLinePunct w:val="0"/>
              <w:autoSpaceDE/>
              <w:autoSpaceDN/>
              <w:bidi w:val="0"/>
              <w:spacing w:line="360" w:lineRule="auto"/>
              <w:ind w:lef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②施工工期</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暂定90</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日历天</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rPr>
              <w:t>计划开工时间</w:t>
            </w:r>
            <w:r>
              <w:rPr>
                <w:rFonts w:hint="eastAsia" w:ascii="宋体" w:hAnsi="宋体" w:eastAsia="宋体" w:cs="宋体"/>
                <w:color w:val="auto"/>
                <w:sz w:val="21"/>
                <w:szCs w:val="21"/>
                <w:highlight w:val="none"/>
              </w:rPr>
              <w:t>：202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rPr>
              <w:t>，计划竣工时间：</w:t>
            </w:r>
            <w:r>
              <w:rPr>
                <w:rFonts w:hint="eastAsia" w:ascii="宋体" w:hAnsi="宋体" w:eastAsia="宋体" w:cs="宋体"/>
                <w:color w:val="auto"/>
                <w:sz w:val="21"/>
                <w:szCs w:val="21"/>
                <w:highlight w:val="none"/>
              </w:rPr>
              <w:t>2025年</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rPr>
              <w:t>以发包人签发的书面开工通知为准。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资金来源</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招标范围</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包括但不限于本地块三网融合通信（三网覆盖范围以甲方实际要求为准）及信号覆盖（包括但不限于地块范围内的所有地下室、楼顶、电梯及前室等所有运营商5G无线信号全方位覆盖）工程的设计、设计方案报审、安装、调试、验收、信号开通等，并取得南通市通信行业协会颁发的验收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工程报价方式</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固定</w:t>
            </w:r>
            <w:r>
              <w:rPr>
                <w:rFonts w:hint="eastAsia" w:ascii="宋体" w:hAnsi="宋体" w:eastAsia="宋体" w:cs="宋体"/>
                <w:color w:val="auto"/>
                <w:sz w:val="21"/>
                <w:szCs w:val="21"/>
                <w:highlight w:val="none"/>
                <w:lang w:eastAsia="zh-CN"/>
              </w:rPr>
              <w:t>下浮率</w:t>
            </w:r>
            <w:r>
              <w:rPr>
                <w:rFonts w:hint="eastAsia" w:ascii="宋体" w:hAnsi="宋体" w:eastAsia="宋体" w:cs="宋体"/>
                <w:color w:val="auto"/>
                <w:sz w:val="21"/>
                <w:szCs w:val="21"/>
                <w:highlight w:val="none"/>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投标有效期</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60</w:t>
            </w:r>
            <w:r>
              <w:rPr>
                <w:rFonts w:hint="eastAsia" w:ascii="宋体" w:hAnsi="宋体" w:eastAsia="宋体" w:cs="宋体"/>
                <w:color w:val="auto"/>
                <w:sz w:val="21"/>
                <w:szCs w:val="21"/>
                <w:highlight w:val="none"/>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投标保证金额</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w:t>
            </w:r>
            <w:r>
              <w:rPr>
                <w:rFonts w:hint="eastAsia" w:ascii="宋体" w:hAnsi="宋体" w:eastAsia="宋体" w:cs="宋体"/>
                <w:b/>
                <w:bCs/>
                <w:color w:val="auto"/>
                <w:sz w:val="21"/>
                <w:szCs w:val="21"/>
                <w:highlight w:val="none"/>
                <w:u w:val="single"/>
                <w:lang w:val="en-US" w:eastAsia="zh-CN"/>
              </w:rPr>
              <w:t>2.8</w:t>
            </w:r>
            <w:r>
              <w:rPr>
                <w:rFonts w:hint="eastAsia" w:ascii="宋体" w:hAnsi="宋体" w:eastAsia="宋体" w:cs="宋体"/>
                <w:b/>
                <w:bCs/>
                <w:color w:val="auto"/>
                <w:sz w:val="21"/>
                <w:szCs w:val="21"/>
                <w:highlight w:val="none"/>
                <w:u w:val="single"/>
              </w:rPr>
              <w:t>万元</w:t>
            </w:r>
            <w:r>
              <w:rPr>
                <w:rFonts w:hint="eastAsia" w:ascii="宋体" w:hAnsi="宋体" w:eastAsia="宋体" w:cs="宋体"/>
                <w:color w:val="auto"/>
                <w:sz w:val="21"/>
                <w:szCs w:val="21"/>
                <w:highlight w:val="none"/>
              </w:rPr>
              <w:t>（递交方式：递交方式：银行汇票、银行保函、保险机构的保单，并非将保证金打入指定账户，在开标时和投标文件同时递交，请勿和投标文件密封）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提交疑问材料</w:t>
            </w:r>
          </w:p>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时间及方式</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如有疑问需要招标人澄清应在</w:t>
            </w:r>
            <w:r>
              <w:rPr>
                <w:rFonts w:hint="eastAsia" w:ascii="宋体" w:hAnsi="宋体" w:eastAsia="宋体" w:cs="宋体"/>
                <w:color w:val="auto"/>
                <w:sz w:val="21"/>
                <w:szCs w:val="21"/>
                <w:highlight w:val="none"/>
                <w:u w:val="single"/>
              </w:rPr>
              <w:t>202</w:t>
            </w:r>
            <w:r>
              <w:rPr>
                <w:rFonts w:hint="eastAsia" w:ascii="宋体" w:hAnsi="宋体" w:eastAsia="宋体" w:cs="宋体"/>
                <w:color w:val="auto"/>
                <w:sz w:val="21"/>
                <w:szCs w:val="21"/>
                <w:highlight w:val="none"/>
                <w:u w:val="single"/>
                <w:lang w:val="en-US" w:eastAsia="zh-CN"/>
              </w:rPr>
              <w:t>5</w:t>
            </w:r>
            <w:r>
              <w:rPr>
                <w:rFonts w:hint="eastAsia" w:ascii="宋体" w:hAnsi="宋体" w:eastAsia="宋体" w:cs="宋体"/>
                <w:color w:val="auto"/>
                <w:sz w:val="21"/>
                <w:szCs w:val="21"/>
                <w:highlight w:val="none"/>
                <w:u w:val="single"/>
              </w:rPr>
              <w:t>年</w:t>
            </w:r>
            <w:r>
              <w:rPr>
                <w:rFonts w:hint="eastAsia" w:ascii="宋体" w:hAnsi="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rPr>
              <w:t>月</w:t>
            </w:r>
            <w:r>
              <w:rPr>
                <w:rFonts w:hint="eastAsia" w:ascii="宋体" w:hAnsi="宋体" w:cs="宋体"/>
                <w:color w:val="auto"/>
                <w:sz w:val="21"/>
                <w:szCs w:val="21"/>
                <w:highlight w:val="none"/>
                <w:u w:val="single"/>
                <w:lang w:val="en-US" w:eastAsia="zh-CN"/>
              </w:rPr>
              <w:t>25</w:t>
            </w:r>
            <w:r>
              <w:rPr>
                <w:rFonts w:hint="eastAsia" w:ascii="宋体" w:hAnsi="宋体" w:eastAsia="宋体" w:cs="宋体"/>
                <w:color w:val="auto"/>
                <w:sz w:val="21"/>
                <w:szCs w:val="21"/>
                <w:highlight w:val="none"/>
                <w:u w:val="single"/>
              </w:rPr>
              <w:t>日17时00分</w:t>
            </w:r>
            <w:r>
              <w:rPr>
                <w:rFonts w:hint="eastAsia" w:ascii="宋体" w:hAnsi="宋体" w:eastAsia="宋体" w:cs="宋体"/>
                <w:color w:val="auto"/>
                <w:sz w:val="21"/>
                <w:szCs w:val="21"/>
                <w:highlight w:val="none"/>
              </w:rPr>
              <w:t>前以电子文件形式（不具单位名称、不加盖单位公章）发送至指定邮箱</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1552917108</w:t>
            </w:r>
            <w:r>
              <w:rPr>
                <w:rFonts w:hint="eastAsia" w:ascii="宋体" w:hAnsi="宋体" w:eastAsia="宋体" w:cs="宋体"/>
                <w:color w:val="auto"/>
                <w:sz w:val="21"/>
                <w:szCs w:val="21"/>
                <w:highlight w:val="none"/>
                <w:u w:val="single"/>
              </w:rPr>
              <w:t>@qq.com）</w:t>
            </w:r>
            <w:r>
              <w:rPr>
                <w:rFonts w:hint="eastAsia" w:ascii="宋体" w:hAnsi="宋体" w:eastAsia="宋体" w:cs="宋体"/>
                <w:color w:val="auto"/>
                <w:sz w:val="21"/>
                <w:szCs w:val="21"/>
                <w:highlight w:val="none"/>
              </w:rPr>
              <w:t>向招标人提出，招标人予以解答并向所有投标人公布。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踏勘现场</w:t>
            </w:r>
          </w:p>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答疑时间</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投标人自行踏勘现场</w:t>
            </w:r>
          </w:p>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答疑提交截止时间</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202</w:t>
            </w:r>
            <w:r>
              <w:rPr>
                <w:rFonts w:hint="eastAsia" w:ascii="宋体" w:hAnsi="宋体" w:eastAsia="宋体" w:cs="宋体"/>
                <w:color w:val="auto"/>
                <w:sz w:val="21"/>
                <w:szCs w:val="21"/>
                <w:highlight w:val="none"/>
                <w:u w:val="single"/>
                <w:lang w:val="en-US" w:eastAsia="zh-CN"/>
              </w:rPr>
              <w:t>5</w:t>
            </w:r>
            <w:r>
              <w:rPr>
                <w:rFonts w:hint="eastAsia" w:ascii="宋体" w:hAnsi="宋体" w:eastAsia="宋体" w:cs="宋体"/>
                <w:color w:val="auto"/>
                <w:sz w:val="21"/>
                <w:szCs w:val="21"/>
                <w:highlight w:val="none"/>
                <w:u w:val="single"/>
              </w:rPr>
              <w:t>年</w:t>
            </w:r>
            <w:r>
              <w:rPr>
                <w:rFonts w:hint="eastAsia" w:ascii="宋体" w:hAnsi="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rPr>
              <w:t>月</w:t>
            </w:r>
            <w:r>
              <w:rPr>
                <w:rFonts w:hint="eastAsia" w:ascii="宋体" w:hAnsi="宋体" w:cs="宋体"/>
                <w:color w:val="auto"/>
                <w:sz w:val="21"/>
                <w:szCs w:val="21"/>
                <w:highlight w:val="none"/>
                <w:u w:val="single"/>
                <w:lang w:val="en-US" w:eastAsia="zh-CN"/>
              </w:rPr>
              <w:t>25</w:t>
            </w:r>
            <w:r>
              <w:rPr>
                <w:rFonts w:hint="eastAsia" w:ascii="宋体" w:hAnsi="宋体" w:eastAsia="宋体" w:cs="宋体"/>
                <w:color w:val="auto"/>
                <w:sz w:val="21"/>
                <w:szCs w:val="21"/>
                <w:highlight w:val="none"/>
                <w:u w:val="single"/>
              </w:rPr>
              <w:t>日17时00分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招标控制价</w:t>
            </w:r>
          </w:p>
        </w:tc>
        <w:tc>
          <w:tcPr>
            <w:tcW w:w="6223" w:type="dxa"/>
            <w:vAlign w:val="center"/>
          </w:tcPr>
          <w:p>
            <w:pPr>
              <w:pStyle w:val="11"/>
              <w:keepNext w:val="0"/>
              <w:keepLines w:val="0"/>
              <w:pageBreakBefore w:val="0"/>
              <w:widowControl w:val="0"/>
              <w:kinsoku/>
              <w:wordWrap/>
              <w:overflowPunct/>
              <w:topLinePunct w:val="0"/>
              <w:autoSpaceDE/>
              <w:autoSpaceDN/>
              <w:bidi w:val="0"/>
              <w:spacing w:line="360" w:lineRule="auto"/>
              <w:ind w:left="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sz w:val="21"/>
                <w:szCs w:val="21"/>
                <w:highlight w:val="none"/>
                <w:lang w:eastAsia="zh-CN"/>
              </w:rPr>
              <w:t>本工程</w:t>
            </w:r>
            <w:r>
              <w:rPr>
                <w:rFonts w:hint="eastAsia" w:ascii="宋体" w:hAnsi="宋体" w:eastAsia="宋体" w:cs="宋体"/>
                <w:color w:val="auto"/>
                <w:sz w:val="21"/>
                <w:szCs w:val="21"/>
                <w:highlight w:val="none"/>
                <w:lang w:val="en-US" w:eastAsia="zh-CN"/>
              </w:rPr>
              <w:t>最低下浮率</w:t>
            </w:r>
            <w:r>
              <w:rPr>
                <w:rFonts w:hint="eastAsia" w:ascii="宋体" w:hAnsi="宋体" w:eastAsia="宋体" w:cs="宋体"/>
                <w:color w:val="auto"/>
                <w:sz w:val="21"/>
                <w:szCs w:val="21"/>
                <w:highlight w:val="none"/>
                <w:lang w:eastAsia="zh-CN"/>
              </w:rPr>
              <w:t>为</w:t>
            </w:r>
            <w:r>
              <w:rPr>
                <w:rFonts w:hint="eastAsia" w:ascii="宋体" w:hAnsi="宋体" w:eastAsia="宋体" w:cs="宋体"/>
                <w:color w:val="auto"/>
                <w:sz w:val="21"/>
                <w:szCs w:val="21"/>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20.1</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投标文件份数</w:t>
            </w:r>
          </w:p>
        </w:tc>
        <w:tc>
          <w:tcPr>
            <w:tcW w:w="6223" w:type="dxa"/>
            <w:vAlign w:val="center"/>
          </w:tcPr>
          <w:p>
            <w:pPr>
              <w:pStyle w:val="9"/>
              <w:keepNext w:val="0"/>
              <w:keepLines w:val="0"/>
              <w:pageBreakBefore w:val="0"/>
              <w:widowControl w:val="0"/>
              <w:kinsoku/>
              <w:wordWrap/>
              <w:overflowPunct/>
              <w:topLinePunct w:val="0"/>
              <w:autoSpaceDE/>
              <w:autoSpaceDN/>
              <w:bidi w:val="0"/>
              <w:snapToGrid w:val="0"/>
              <w:spacing w:line="360" w:lineRule="auto"/>
              <w:ind w:left="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1、纸质投标文件（资格审查文件、商务标）正本1份，副本2份；</w:t>
            </w:r>
          </w:p>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2、电子投标文件（U盘）：1份。电子投标文件须将完整的所有纸质投标文件（盖章签字后）扫描成PDF格式并保存。</w:t>
            </w:r>
          </w:p>
          <w:p>
            <w:pPr>
              <w:pStyle w:val="3"/>
              <w:jc w:val="left"/>
              <w:rPr>
                <w:rFonts w:hint="default" w:eastAsia="宋体"/>
                <w:color w:val="auto"/>
                <w:highlight w:val="none"/>
                <w:lang w:val="en-US" w:eastAsia="zh-CN"/>
              </w:rPr>
            </w:pPr>
            <w:r>
              <w:rPr>
                <w:rFonts w:hint="eastAsia" w:ascii="宋体" w:hAnsi="宋体" w:cs="宋体"/>
                <w:color w:val="auto"/>
                <w:sz w:val="21"/>
                <w:szCs w:val="21"/>
                <w:highlight w:val="none"/>
                <w:lang w:val="en-US" w:eastAsia="zh-CN"/>
              </w:rPr>
              <w:t>3、</w:t>
            </w:r>
            <w:bookmarkStart w:id="12" w:name="OLE_LINK6"/>
            <w:r>
              <w:rPr>
                <w:rFonts w:hint="eastAsia" w:ascii="宋体" w:hAnsi="宋体" w:cs="宋体"/>
                <w:color w:val="auto"/>
                <w:sz w:val="21"/>
                <w:szCs w:val="21"/>
                <w:highlight w:val="none"/>
                <w:lang w:val="en-US" w:eastAsia="zh-CN"/>
              </w:rPr>
              <w:t>原件包（</w:t>
            </w:r>
            <w:bookmarkStart w:id="13" w:name="OLE_LINK7"/>
            <w:r>
              <w:rPr>
                <w:rFonts w:hint="eastAsia" w:ascii="宋体" w:hAnsi="宋体" w:cs="宋体"/>
                <w:color w:val="auto"/>
                <w:sz w:val="21"/>
                <w:szCs w:val="21"/>
                <w:highlight w:val="none"/>
                <w:lang w:val="en-US" w:eastAsia="zh-CN"/>
              </w:rPr>
              <w:t>仅备查，资格审查和商务标涉及到的所有原件</w:t>
            </w:r>
            <w:bookmarkEnd w:id="13"/>
            <w:r>
              <w:rPr>
                <w:rFonts w:hint="eastAsia" w:ascii="宋体" w:hAnsi="宋体" w:cs="宋体"/>
                <w:color w:val="auto"/>
                <w:sz w:val="21"/>
                <w:szCs w:val="21"/>
                <w:highlight w:val="none"/>
                <w:lang w:val="en-US" w:eastAsia="zh-CN"/>
              </w:rPr>
              <w:t>）</w:t>
            </w:r>
            <w:bookmarkEnd w:id="12"/>
          </w:p>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投标人提供的纸质投标文件与电子投标文件必须保持完全一致。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7"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投标文件提交地点及截止时间</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color w:val="auto"/>
                <w:sz w:val="21"/>
                <w:szCs w:val="21"/>
                <w:highlight w:val="none"/>
                <w:lang w:eastAsia="zh-CN"/>
              </w:rPr>
            </w:pPr>
            <w:r>
              <w:rPr>
                <w:rFonts w:hint="eastAsia" w:ascii="宋体" w:hAnsi="宋体" w:eastAsia="宋体" w:cs="宋体"/>
                <w:b/>
                <w:color w:val="auto"/>
                <w:sz w:val="21"/>
                <w:szCs w:val="21"/>
                <w:highlight w:val="none"/>
              </w:rPr>
              <w:t>收件人：</w:t>
            </w:r>
            <w:r>
              <w:rPr>
                <w:rFonts w:hint="eastAsia" w:ascii="宋体" w:hAnsi="宋体" w:eastAsia="宋体" w:cs="宋体"/>
                <w:b/>
                <w:color w:val="auto"/>
                <w:sz w:val="21"/>
                <w:szCs w:val="21"/>
                <w:highlight w:val="none"/>
                <w:lang w:eastAsia="zh-CN"/>
              </w:rPr>
              <w:t>江苏建博工程管理咨询有限公司</w:t>
            </w:r>
          </w:p>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strike/>
                <w:color w:val="auto"/>
                <w:sz w:val="21"/>
                <w:szCs w:val="21"/>
                <w:highlight w:val="none"/>
                <w:u w:val="single"/>
              </w:rPr>
            </w:pPr>
            <w:r>
              <w:rPr>
                <w:rFonts w:hint="eastAsia" w:ascii="宋体" w:hAnsi="宋体" w:eastAsia="宋体" w:cs="宋体"/>
                <w:b/>
                <w:color w:val="auto"/>
                <w:sz w:val="21"/>
                <w:szCs w:val="21"/>
                <w:highlight w:val="none"/>
              </w:rPr>
              <w:t>截止时间：</w:t>
            </w:r>
            <w:r>
              <w:rPr>
                <w:rFonts w:hint="eastAsia" w:ascii="宋体" w:hAnsi="宋体" w:eastAsia="宋体" w:cs="宋体"/>
                <w:b/>
                <w:color w:val="auto"/>
                <w:sz w:val="21"/>
                <w:szCs w:val="21"/>
                <w:highlight w:val="none"/>
                <w:u w:val="single"/>
              </w:rPr>
              <w:t>202</w:t>
            </w:r>
            <w:r>
              <w:rPr>
                <w:rFonts w:hint="eastAsia" w:ascii="宋体" w:hAnsi="宋体" w:eastAsia="宋体" w:cs="宋体"/>
                <w:b/>
                <w:color w:val="auto"/>
                <w:sz w:val="21"/>
                <w:szCs w:val="21"/>
                <w:highlight w:val="none"/>
                <w:u w:val="single"/>
                <w:lang w:val="en-US" w:eastAsia="zh-CN"/>
              </w:rPr>
              <w:t>5</w:t>
            </w:r>
            <w:r>
              <w:rPr>
                <w:rFonts w:hint="eastAsia" w:ascii="宋体" w:hAnsi="宋体" w:eastAsia="宋体" w:cs="宋体"/>
                <w:b/>
                <w:color w:val="auto"/>
                <w:sz w:val="21"/>
                <w:szCs w:val="21"/>
                <w:highlight w:val="none"/>
                <w:u w:val="single"/>
              </w:rPr>
              <w:t>年</w:t>
            </w:r>
            <w:r>
              <w:rPr>
                <w:rFonts w:hint="eastAsia" w:ascii="宋体" w:hAnsi="宋体" w:cs="宋体"/>
                <w:b/>
                <w:color w:val="auto"/>
                <w:sz w:val="21"/>
                <w:szCs w:val="21"/>
                <w:highlight w:val="none"/>
                <w:u w:val="single"/>
                <w:lang w:val="en-US" w:eastAsia="zh-CN"/>
              </w:rPr>
              <w:t>5</w:t>
            </w:r>
            <w:r>
              <w:rPr>
                <w:rFonts w:hint="eastAsia" w:ascii="宋体" w:hAnsi="宋体" w:eastAsia="宋体" w:cs="宋体"/>
                <w:b/>
                <w:color w:val="auto"/>
                <w:sz w:val="21"/>
                <w:szCs w:val="21"/>
                <w:highlight w:val="none"/>
                <w:u w:val="single"/>
              </w:rPr>
              <w:t>月</w:t>
            </w:r>
            <w:r>
              <w:rPr>
                <w:rFonts w:hint="eastAsia" w:ascii="宋体" w:hAnsi="宋体" w:cs="宋体"/>
                <w:b/>
                <w:color w:val="auto"/>
                <w:sz w:val="21"/>
                <w:szCs w:val="21"/>
                <w:highlight w:val="none"/>
                <w:u w:val="single"/>
                <w:lang w:val="en-US" w:eastAsia="zh-CN"/>
              </w:rPr>
              <w:t>8</w:t>
            </w:r>
            <w:r>
              <w:rPr>
                <w:rFonts w:hint="eastAsia" w:ascii="宋体" w:hAnsi="宋体" w:eastAsia="宋体" w:cs="宋体"/>
                <w:b/>
                <w:color w:val="auto"/>
                <w:sz w:val="21"/>
                <w:szCs w:val="21"/>
                <w:highlight w:val="none"/>
                <w:u w:val="single"/>
              </w:rPr>
              <w:t>日</w:t>
            </w:r>
            <w:r>
              <w:rPr>
                <w:rFonts w:hint="eastAsia" w:ascii="宋体" w:hAnsi="宋体" w:cs="宋体"/>
                <w:b/>
                <w:color w:val="auto"/>
                <w:sz w:val="21"/>
                <w:szCs w:val="21"/>
                <w:highlight w:val="none"/>
                <w:u w:val="single"/>
                <w:lang w:val="en-US" w:eastAsia="zh-CN"/>
              </w:rPr>
              <w:t>14</w:t>
            </w:r>
            <w:r>
              <w:rPr>
                <w:rFonts w:hint="eastAsia" w:ascii="宋体" w:hAnsi="宋体" w:eastAsia="宋体" w:cs="宋体"/>
                <w:b/>
                <w:color w:val="auto"/>
                <w:sz w:val="21"/>
                <w:szCs w:val="21"/>
                <w:highlight w:val="none"/>
                <w:u w:val="single"/>
              </w:rPr>
              <w:t>时</w:t>
            </w:r>
            <w:r>
              <w:rPr>
                <w:rFonts w:hint="eastAsia" w:ascii="宋体" w:hAnsi="宋体" w:cs="宋体"/>
                <w:b/>
                <w:color w:val="auto"/>
                <w:sz w:val="21"/>
                <w:szCs w:val="21"/>
                <w:highlight w:val="none"/>
                <w:u w:val="single"/>
                <w:lang w:val="en-US" w:eastAsia="zh-CN"/>
              </w:rPr>
              <w:t>00</w:t>
            </w:r>
            <w:r>
              <w:rPr>
                <w:rFonts w:hint="eastAsia" w:ascii="宋体" w:hAnsi="宋体" w:eastAsia="宋体" w:cs="宋体"/>
                <w:b/>
                <w:color w:val="auto"/>
                <w:sz w:val="21"/>
                <w:szCs w:val="21"/>
                <w:highlight w:val="none"/>
                <w:u w:val="single"/>
              </w:rPr>
              <w:t>分</w:t>
            </w:r>
          </w:p>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color w:val="auto"/>
                <w:sz w:val="21"/>
                <w:szCs w:val="21"/>
                <w:highlight w:val="none"/>
                <w:u w:val="single"/>
              </w:rPr>
            </w:pPr>
            <w:r>
              <w:rPr>
                <w:rFonts w:hint="eastAsia" w:ascii="宋体" w:hAnsi="宋体" w:eastAsia="宋体" w:cs="宋体"/>
                <w:b/>
                <w:color w:val="auto"/>
                <w:sz w:val="21"/>
                <w:szCs w:val="21"/>
                <w:highlight w:val="none"/>
              </w:rPr>
              <w:t>提交地点：</w:t>
            </w:r>
            <w:r>
              <w:rPr>
                <w:rFonts w:hint="eastAsia" w:ascii="宋体" w:hAnsi="宋体" w:eastAsia="宋体" w:cs="宋体"/>
                <w:b/>
                <w:color w:val="auto"/>
                <w:sz w:val="21"/>
                <w:szCs w:val="21"/>
                <w:highlight w:val="none"/>
                <w:u w:val="single"/>
              </w:rPr>
              <w:t xml:space="preserve">南通市崇川区青年中路128号，崇川区便民服务中心 314 会议室（东楼）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rPr>
              <w:t>开标时间：</w:t>
            </w:r>
            <w:r>
              <w:rPr>
                <w:rFonts w:hint="eastAsia" w:ascii="宋体" w:hAnsi="宋体" w:eastAsia="宋体" w:cs="宋体"/>
                <w:b/>
                <w:color w:val="auto"/>
                <w:sz w:val="21"/>
                <w:szCs w:val="21"/>
                <w:highlight w:val="none"/>
                <w:u w:val="single"/>
              </w:rPr>
              <w:t>同投标文件提交截止时间</w:t>
            </w:r>
          </w:p>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b/>
                <w:snapToGrid w:val="0"/>
                <w:color w:val="auto"/>
                <w:kern w:val="0"/>
                <w:sz w:val="21"/>
                <w:szCs w:val="21"/>
                <w:highlight w:val="none"/>
              </w:rPr>
            </w:pPr>
            <w:r>
              <w:rPr>
                <w:rFonts w:hint="eastAsia" w:ascii="宋体" w:hAnsi="宋体" w:eastAsia="宋体" w:cs="宋体"/>
                <w:b/>
                <w:color w:val="auto"/>
                <w:sz w:val="21"/>
                <w:szCs w:val="21"/>
                <w:highlight w:val="none"/>
              </w:rPr>
              <w:t>开标地点：</w:t>
            </w:r>
            <w:r>
              <w:rPr>
                <w:rFonts w:hint="eastAsia" w:ascii="宋体" w:hAnsi="宋体" w:eastAsia="宋体" w:cs="宋体"/>
                <w:b/>
                <w:snapToGrid w:val="0"/>
                <w:color w:val="auto"/>
                <w:kern w:val="0"/>
                <w:sz w:val="21"/>
                <w:szCs w:val="21"/>
                <w:highlight w:val="none"/>
                <w:u w:val="single"/>
              </w:rPr>
              <w:t>同投标文件提交地点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color w:val="auto"/>
                <w:sz w:val="21"/>
                <w:szCs w:val="21"/>
                <w:highlight w:val="none"/>
              </w:rPr>
            </w:pPr>
            <w:r>
              <w:rPr>
                <w:rFonts w:hint="eastAsia" w:ascii="宋体" w:hAnsi="宋体" w:eastAsia="宋体" w:cs="宋体"/>
                <w:snapToGrid w:val="0"/>
                <w:color w:val="auto"/>
                <w:kern w:val="0"/>
                <w:sz w:val="21"/>
                <w:szCs w:val="21"/>
                <w:highlight w:val="none"/>
              </w:rPr>
              <w:t>评标委员会由</w:t>
            </w:r>
            <w:r>
              <w:rPr>
                <w:rFonts w:hint="eastAsia" w:ascii="宋体" w:hAnsi="宋体" w:eastAsia="宋体" w:cs="宋体"/>
                <w:snapToGrid w:val="0"/>
                <w:color w:val="auto"/>
                <w:kern w:val="0"/>
                <w:sz w:val="21"/>
                <w:szCs w:val="21"/>
                <w:highlight w:val="none"/>
                <w:u w:val="single"/>
              </w:rPr>
              <w:t xml:space="preserve"> 3人或3人以上以上单数</w:t>
            </w:r>
            <w:r>
              <w:rPr>
                <w:rFonts w:hint="eastAsia" w:ascii="宋体" w:hAnsi="宋体" w:eastAsia="宋体" w:cs="宋体"/>
                <w:snapToGrid w:val="0"/>
                <w:color w:val="auto"/>
                <w:kern w:val="0"/>
                <w:sz w:val="21"/>
                <w:szCs w:val="21"/>
                <w:highlight w:val="none"/>
              </w:rPr>
              <w:t>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03"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p>
        </w:tc>
        <w:tc>
          <w:tcPr>
            <w:tcW w:w="889"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w:t>
            </w:r>
          </w:p>
        </w:tc>
        <w:tc>
          <w:tcPr>
            <w:tcW w:w="1892" w:type="dxa"/>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履约担保金额</w:t>
            </w:r>
          </w:p>
        </w:tc>
        <w:tc>
          <w:tcPr>
            <w:tcW w:w="6223" w:type="dxa"/>
            <w:vAlign w:val="center"/>
          </w:tcPr>
          <w:p>
            <w:pPr>
              <w:keepNext w:val="0"/>
              <w:keepLines w:val="0"/>
              <w:pageBreakBefore w:val="0"/>
              <w:widowControl w:val="0"/>
              <w:kinsoku/>
              <w:wordWrap/>
              <w:overflowPunct/>
              <w:topLinePunct w:val="0"/>
              <w:autoSpaceDE/>
              <w:autoSpaceDN/>
              <w:bidi w:val="0"/>
              <w:spacing w:line="360" w:lineRule="auto"/>
              <w:ind w:lef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履约保证金的形式：</w:t>
            </w:r>
            <w:r>
              <w:rPr>
                <w:rFonts w:hint="eastAsia" w:ascii="宋体" w:hAnsi="宋体" w:eastAsia="宋体" w:cs="宋体"/>
                <w:color w:val="auto"/>
                <w:sz w:val="21"/>
                <w:szCs w:val="21"/>
                <w:highlight w:val="none"/>
                <w:u w:val="single"/>
              </w:rPr>
              <w:t>转账、电汇、网银等形式</w:t>
            </w:r>
            <w:r>
              <w:rPr>
                <w:rFonts w:hint="eastAsia" w:ascii="宋体" w:hAnsi="宋体" w:eastAsia="宋体" w:cs="宋体"/>
                <w:color w:val="auto"/>
                <w:sz w:val="21"/>
                <w:szCs w:val="21"/>
                <w:highlight w:val="none"/>
              </w:rPr>
              <w:t>，须从企业基本户银行转出</w:t>
            </w:r>
            <w:r>
              <w:rPr>
                <w:rFonts w:hint="eastAsia" w:ascii="宋体" w:hAnsi="宋体" w:eastAsia="宋体" w:cs="宋体"/>
                <w:b/>
                <w:bCs/>
                <w:color w:val="auto"/>
                <w:sz w:val="21"/>
                <w:szCs w:val="21"/>
                <w:highlight w:val="none"/>
                <w:u w:val="single"/>
              </w:rPr>
              <w:t>。具体形式由中标单位与招标人确认后进行缴纳。</w:t>
            </w:r>
          </w:p>
          <w:p>
            <w:pPr>
              <w:keepNext w:val="0"/>
              <w:keepLines w:val="0"/>
              <w:pageBreakBefore w:val="0"/>
              <w:widowControl w:val="0"/>
              <w:kinsoku/>
              <w:wordWrap/>
              <w:overflowPunct/>
              <w:topLinePunct w:val="0"/>
              <w:autoSpaceDE/>
              <w:autoSpaceDN/>
              <w:bidi w:val="0"/>
              <w:spacing w:line="360" w:lineRule="auto"/>
              <w:ind w:lef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履约保证金：</w:t>
            </w:r>
            <w:r>
              <w:rPr>
                <w:rFonts w:hint="eastAsia" w:ascii="宋体" w:hAnsi="宋体" w:eastAsia="宋体" w:cs="宋体"/>
                <w:color w:val="auto"/>
                <w:sz w:val="21"/>
                <w:szCs w:val="21"/>
                <w:highlight w:val="none"/>
              </w:rPr>
              <w:t>投标人提供的履约保证金为合同</w:t>
            </w:r>
            <w:r>
              <w:rPr>
                <w:rFonts w:hint="eastAsia" w:ascii="宋体" w:hAnsi="宋体" w:cs="宋体"/>
                <w:color w:val="auto"/>
                <w:sz w:val="21"/>
                <w:szCs w:val="21"/>
                <w:highlight w:val="none"/>
                <w:lang w:val="en-US" w:eastAsia="zh-CN"/>
              </w:rPr>
              <w:t>暂估</w:t>
            </w:r>
            <w:r>
              <w:rPr>
                <w:rFonts w:hint="eastAsia" w:ascii="宋体" w:hAnsi="宋体" w:eastAsia="宋体" w:cs="宋体"/>
                <w:color w:val="auto"/>
                <w:sz w:val="21"/>
                <w:szCs w:val="21"/>
                <w:highlight w:val="none"/>
              </w:rPr>
              <w:t>价的</w:t>
            </w: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rPr>
              <w:t>招标人发出中标通知书后3个工作日内，中标人应向招标人递交履约保证金，否则招标人有权取消其中标资格，同时投标保证金不予退还，该金额不足以弥补给招标人造成的直接和间接损失的（包括但不限于二次招标发生的招标费用、中标差价、招标代理服务费等），中标人应予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6" w:hRule="atLeast"/>
          <w:jc w:val="center"/>
        </w:trPr>
        <w:tc>
          <w:tcPr>
            <w:tcW w:w="703" w:type="dxa"/>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p>
        </w:tc>
        <w:tc>
          <w:tcPr>
            <w:tcW w:w="2781" w:type="dxa"/>
            <w:gridSpan w:val="2"/>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招标单位</w:t>
            </w:r>
          </w:p>
        </w:tc>
        <w:tc>
          <w:tcPr>
            <w:tcW w:w="62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lef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lang w:eastAsia="zh-CN"/>
              </w:rPr>
              <w:t>鑫兴绿色（南通）产业发展有限公司</w:t>
            </w:r>
          </w:p>
          <w:p>
            <w:pPr>
              <w:keepNext w:val="0"/>
              <w:keepLines w:val="0"/>
              <w:pageBreakBefore w:val="0"/>
              <w:widowControl w:val="0"/>
              <w:kinsoku/>
              <w:wordWrap/>
              <w:overflowPunct/>
              <w:topLinePunct w:val="0"/>
              <w:autoSpaceDE/>
              <w:autoSpaceDN/>
              <w:bidi w:val="0"/>
              <w:spacing w:line="360" w:lineRule="auto"/>
              <w:ind w:lef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 系 人：</w:t>
            </w:r>
            <w:r>
              <w:rPr>
                <w:rFonts w:hint="eastAsia" w:ascii="宋体" w:hAnsi="宋体" w:eastAsia="宋体" w:cs="宋体"/>
                <w:color w:val="auto"/>
                <w:sz w:val="21"/>
                <w:szCs w:val="21"/>
                <w:highlight w:val="none"/>
              </w:rPr>
              <w:t>张工</w:t>
            </w:r>
          </w:p>
          <w:p>
            <w:pPr>
              <w:pStyle w:val="11"/>
              <w:keepNext w:val="0"/>
              <w:keepLines w:val="0"/>
              <w:pageBreakBefore w:val="0"/>
              <w:widowControl w:val="0"/>
              <w:kinsoku/>
              <w:wordWrap/>
              <w:overflowPunct/>
              <w:topLinePunct w:val="0"/>
              <w:autoSpaceDE/>
              <w:autoSpaceDN/>
              <w:bidi w:val="0"/>
              <w:spacing w:line="360" w:lineRule="auto"/>
              <w:ind w:lef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rPr>
              <w:t>0513-55883586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1" w:hRule="atLeast"/>
          <w:jc w:val="center"/>
        </w:trPr>
        <w:tc>
          <w:tcPr>
            <w:tcW w:w="703" w:type="dxa"/>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w:t>
            </w:r>
          </w:p>
        </w:tc>
        <w:tc>
          <w:tcPr>
            <w:tcW w:w="2781" w:type="dxa"/>
            <w:gridSpan w:val="2"/>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招标代理单位</w:t>
            </w:r>
          </w:p>
        </w:tc>
        <w:tc>
          <w:tcPr>
            <w:tcW w:w="62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bCs/>
                <w:color w:val="auto"/>
                <w:sz w:val="21"/>
                <w:szCs w:val="21"/>
                <w:highlight w:val="none"/>
                <w:lang w:eastAsia="zh-CN"/>
              </w:rPr>
            </w:pPr>
            <w:r>
              <w:rPr>
                <w:rFonts w:hint="eastAsia" w:ascii="宋体" w:hAnsi="宋体" w:eastAsia="宋体" w:cs="宋体"/>
                <w:color w:val="auto"/>
                <w:sz w:val="21"/>
                <w:szCs w:val="21"/>
                <w:highlight w:val="none"/>
              </w:rPr>
              <w:t>名称</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eastAsia="zh-CN"/>
              </w:rPr>
              <w:t>江苏建博工程管理咨询有限公司</w:t>
            </w:r>
          </w:p>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地址：</w:t>
            </w:r>
            <w:r>
              <w:rPr>
                <w:rFonts w:hint="eastAsia" w:ascii="宋体" w:hAnsi="宋体" w:eastAsia="宋体" w:cs="宋体"/>
                <w:bCs/>
                <w:color w:val="auto"/>
                <w:sz w:val="21"/>
                <w:szCs w:val="21"/>
                <w:highlight w:val="none"/>
                <w:lang w:eastAsia="zh-CN"/>
              </w:rPr>
              <w:t>南通市崇川区新胜路北同济科技园B7座4楼</w:t>
            </w:r>
          </w:p>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联系人：</w:t>
            </w:r>
            <w:r>
              <w:rPr>
                <w:rFonts w:hint="eastAsia" w:ascii="宋体" w:hAnsi="宋体" w:eastAsia="宋体" w:cs="宋体"/>
                <w:bCs/>
                <w:color w:val="auto"/>
                <w:sz w:val="21"/>
                <w:szCs w:val="21"/>
                <w:highlight w:val="none"/>
                <w:lang w:eastAsia="zh-CN"/>
              </w:rPr>
              <w:t>刘丽敏</w:t>
            </w:r>
            <w:r>
              <w:rPr>
                <w:rFonts w:hint="eastAsia" w:ascii="宋体" w:hAnsi="宋体" w:eastAsia="宋体" w:cs="宋体"/>
                <w:bCs/>
                <w:color w:val="auto"/>
                <w:sz w:val="21"/>
                <w:szCs w:val="21"/>
                <w:highlight w:val="none"/>
              </w:rPr>
              <w:t xml:space="preserve">     电话：</w:t>
            </w:r>
            <w:r>
              <w:rPr>
                <w:rFonts w:hint="eastAsia" w:ascii="宋体" w:hAnsi="宋体" w:eastAsia="宋体" w:cs="宋体"/>
                <w:bCs/>
                <w:color w:val="auto"/>
                <w:sz w:val="21"/>
                <w:szCs w:val="21"/>
                <w:highlight w:val="none"/>
                <w:lang w:eastAsia="zh-CN"/>
              </w:rPr>
              <w:t>18251304156</w:t>
            </w:r>
          </w:p>
          <w:p>
            <w:pPr>
              <w:keepNext w:val="0"/>
              <w:keepLines w:val="0"/>
              <w:pageBreakBefore w:val="0"/>
              <w:widowControl w:val="0"/>
              <w:kinsoku/>
              <w:wordWrap/>
              <w:overflowPunct/>
              <w:topLinePunct w:val="0"/>
              <w:autoSpaceDE/>
              <w:autoSpaceDN/>
              <w:bidi w:val="0"/>
              <w:spacing w:line="360" w:lineRule="auto"/>
              <w:ind w:left="0"/>
              <w:jc w:val="left"/>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邮箱：</w:t>
            </w:r>
            <w:r>
              <w:rPr>
                <w:rFonts w:hint="eastAsia" w:ascii="宋体" w:hAnsi="宋体" w:eastAsia="宋体" w:cs="宋体"/>
                <w:bCs/>
                <w:color w:val="auto"/>
                <w:sz w:val="21"/>
                <w:szCs w:val="21"/>
                <w:highlight w:val="none"/>
                <w:lang w:eastAsia="zh-CN"/>
              </w:rPr>
              <w:t>1552917108</w:t>
            </w:r>
            <w:r>
              <w:rPr>
                <w:rFonts w:hint="eastAsia" w:ascii="宋体" w:hAnsi="宋体" w:eastAsia="宋体" w:cs="宋体"/>
                <w:bCs/>
                <w:color w:val="auto"/>
                <w:sz w:val="21"/>
                <w:szCs w:val="21"/>
                <w:highlight w:val="none"/>
              </w:rPr>
              <w:t>@qq.com</w:t>
            </w:r>
          </w:p>
        </w:tc>
      </w:tr>
    </w:tbl>
    <w:p>
      <w:pPr>
        <w:widowControl/>
        <w:jc w:val="left"/>
        <w:rPr>
          <w:rFonts w:hint="eastAsia" w:hAnsi="宋体"/>
          <w:b/>
          <w:bCs/>
          <w:color w:val="auto"/>
          <w:sz w:val="30"/>
          <w:szCs w:val="32"/>
          <w:highlight w:val="none"/>
        </w:rPr>
      </w:pPr>
      <w:bookmarkStart w:id="14" w:name="_Toc380680180"/>
      <w:bookmarkStart w:id="15" w:name="_Toc380681232"/>
      <w:bookmarkStart w:id="16" w:name="_Toc380681013"/>
      <w:bookmarkStart w:id="17" w:name="_Toc380680820"/>
    </w:p>
    <w:p>
      <w:pPr>
        <w:rPr>
          <w:rFonts w:ascii="Times New Roman" w:hAnsi="宋体" w:eastAsia="宋体"/>
          <w:color w:val="auto"/>
          <w:sz w:val="30"/>
          <w:highlight w:val="none"/>
        </w:rPr>
      </w:pPr>
      <w:r>
        <w:rPr>
          <w:rFonts w:ascii="Times New Roman" w:hAnsi="宋体" w:eastAsia="宋体"/>
          <w:color w:val="auto"/>
          <w:sz w:val="30"/>
          <w:highlight w:val="none"/>
        </w:rPr>
        <w:br w:type="page"/>
      </w:r>
    </w:p>
    <w:p>
      <w:pPr>
        <w:pStyle w:val="7"/>
        <w:pageBreakBefore w:val="0"/>
        <w:kinsoku/>
        <w:wordWrap/>
        <w:overflowPunct/>
        <w:topLinePunct w:val="0"/>
        <w:bidi w:val="0"/>
        <w:snapToGrid w:val="0"/>
        <w:spacing w:before="0" w:after="0" w:line="360" w:lineRule="auto"/>
        <w:jc w:val="center"/>
        <w:textAlignment w:val="auto"/>
        <w:rPr>
          <w:rFonts w:ascii="Times New Roman" w:hAnsi="Times New Roman" w:eastAsia="宋体"/>
          <w:color w:val="auto"/>
          <w:sz w:val="30"/>
          <w:highlight w:val="none"/>
        </w:rPr>
      </w:pPr>
      <w:r>
        <w:rPr>
          <w:rFonts w:ascii="Times New Roman" w:hAnsi="宋体" w:eastAsia="宋体"/>
          <w:color w:val="auto"/>
          <w:sz w:val="30"/>
          <w:highlight w:val="none"/>
        </w:rPr>
        <w:t>二、投标须知</w:t>
      </w:r>
      <w:bookmarkEnd w:id="14"/>
      <w:bookmarkEnd w:id="15"/>
      <w:bookmarkEnd w:id="16"/>
      <w:bookmarkEnd w:id="17"/>
    </w:p>
    <w:p>
      <w:pPr>
        <w:pStyle w:val="7"/>
        <w:pageBreakBefore w:val="0"/>
        <w:kinsoku/>
        <w:wordWrap/>
        <w:overflowPunct/>
        <w:topLinePunct w:val="0"/>
        <w:bidi w:val="0"/>
        <w:snapToGrid w:val="0"/>
        <w:spacing w:before="0" w:after="0" w:line="360" w:lineRule="auto"/>
        <w:jc w:val="center"/>
        <w:textAlignment w:val="auto"/>
        <w:rPr>
          <w:rFonts w:ascii="Times New Roman" w:hAnsi="Times New Roman" w:eastAsia="宋体"/>
          <w:color w:val="auto"/>
          <w:sz w:val="24"/>
          <w:szCs w:val="24"/>
          <w:highlight w:val="none"/>
        </w:rPr>
      </w:pPr>
      <w:bookmarkStart w:id="18" w:name="_Toc380680181"/>
      <w:bookmarkStart w:id="19" w:name="_Toc380681233"/>
      <w:bookmarkStart w:id="20" w:name="_Toc380681014"/>
      <w:bookmarkStart w:id="21" w:name="_Toc286661158"/>
      <w:bookmarkStart w:id="22" w:name="_Toc380680821"/>
      <w:r>
        <w:rPr>
          <w:rFonts w:ascii="Times New Roman" w:hAnsi="宋体" w:eastAsia="宋体"/>
          <w:color w:val="auto"/>
          <w:sz w:val="24"/>
          <w:szCs w:val="24"/>
          <w:highlight w:val="none"/>
        </w:rPr>
        <w:t>（一）总则</w:t>
      </w:r>
      <w:bookmarkEnd w:id="18"/>
      <w:bookmarkEnd w:id="19"/>
      <w:bookmarkEnd w:id="20"/>
      <w:bookmarkEnd w:id="21"/>
      <w:bookmarkEnd w:id="22"/>
    </w:p>
    <w:p>
      <w:pPr>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1.工程概况</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1.1本招标工程项目说明详见本须知前附表第1项～第7项。</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1.2招标范围：见本须知前附表第8项。</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1.3现场条件：</w:t>
      </w:r>
    </w:p>
    <w:p>
      <w:pPr>
        <w:pageBreakBefore w:val="0"/>
        <w:widowControl w:val="0"/>
        <w:kinsoku/>
        <w:wordWrap/>
        <w:overflowPunct/>
        <w:topLinePunct w:val="0"/>
        <w:bidi w:val="0"/>
        <w:snapToGrid w:val="0"/>
        <w:spacing w:line="360" w:lineRule="auto"/>
        <w:ind w:lef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(1)施工现场拆迁及平整情况：</w:t>
      </w:r>
      <w:r>
        <w:rPr>
          <w:rFonts w:hint="eastAsia" w:ascii="宋体" w:hAnsi="宋体" w:eastAsia="宋体" w:cs="宋体"/>
          <w:b/>
          <w:color w:val="auto"/>
          <w:sz w:val="21"/>
          <w:szCs w:val="21"/>
          <w:highlight w:val="none"/>
          <w:u w:val="single"/>
        </w:rPr>
        <w:t>以施工场地的现状为准。招标人提供的现状场地，中标人必须无条件接受。各投标人根据踏勘现场的情况自行制定相应措施，所发生的费用由各投标人自行考虑，并列入投标报价，工程结算时不作调整。</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(2)施工用水、电、通信线路：</w:t>
      </w:r>
      <w:r>
        <w:rPr>
          <w:rFonts w:hint="eastAsia" w:ascii="宋体" w:hAnsi="宋体" w:eastAsia="宋体" w:cs="宋体"/>
          <w:b/>
          <w:color w:val="auto"/>
          <w:sz w:val="21"/>
          <w:szCs w:val="21"/>
          <w:highlight w:val="none"/>
          <w:u w:val="single"/>
        </w:rPr>
        <w:t>由承包人自行解决，费用已包含在总价措施项目中，竣工结算时不再另行计量与支付（供配电设备、相应临建、临时用电申请等均由承包人自行解决，招标人予以配合，费用包含在投标总价内）</w:t>
      </w:r>
      <w:r>
        <w:rPr>
          <w:rFonts w:hint="eastAsia" w:ascii="宋体" w:hAnsi="宋体" w:eastAsia="宋体" w:cs="宋体"/>
          <w:color w:val="auto"/>
          <w:sz w:val="21"/>
          <w:szCs w:val="21"/>
          <w:highlight w:val="none"/>
        </w:rPr>
        <w:t>。</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(3)场内外道路：</w:t>
      </w:r>
      <w:r>
        <w:rPr>
          <w:rFonts w:hint="eastAsia" w:ascii="宋体" w:hAnsi="宋体" w:eastAsia="宋体" w:cs="宋体"/>
          <w:b/>
          <w:color w:val="auto"/>
          <w:sz w:val="21"/>
          <w:szCs w:val="21"/>
          <w:highlight w:val="none"/>
          <w:u w:val="single"/>
        </w:rPr>
        <w:t>场内、外道路以施工场地的现状为准。施工便道由投标人自行考虑，并列入投标报价，工程结算时不作调整</w:t>
      </w:r>
      <w:r>
        <w:rPr>
          <w:rFonts w:hint="eastAsia" w:ascii="宋体" w:hAnsi="宋体" w:eastAsia="宋体" w:cs="宋体"/>
          <w:color w:val="auto"/>
          <w:sz w:val="21"/>
          <w:szCs w:val="21"/>
          <w:highlight w:val="none"/>
          <w:u w:val="single"/>
        </w:rPr>
        <w:t>。</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(4)其他：</w:t>
      </w:r>
      <w:r>
        <w:rPr>
          <w:rFonts w:hint="eastAsia" w:ascii="宋体" w:hAnsi="宋体" w:eastAsia="宋体" w:cs="宋体"/>
          <w:bCs/>
          <w:color w:val="auto"/>
          <w:spacing w:val="-6"/>
          <w:sz w:val="21"/>
          <w:szCs w:val="21"/>
          <w:highlight w:val="none"/>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eastAsia="宋体" w:cs="宋体"/>
          <w:bCs/>
          <w:color w:val="auto"/>
          <w:sz w:val="21"/>
          <w:szCs w:val="21"/>
          <w:highlight w:val="none"/>
        </w:rPr>
        <w:t>。</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做好与其他专业分包单位的配套、成品保护、防盗等工作。</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bCs/>
          <w:snapToGrid w:val="0"/>
          <w:color w:val="auto"/>
          <w:kern w:val="0"/>
          <w:sz w:val="21"/>
          <w:szCs w:val="21"/>
          <w:highlight w:val="none"/>
          <w:u w:val="singl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u w:val="single"/>
        </w:rPr>
        <w:t>投标人务必自行认真踏勘现场条件，如若对现场施工条件有疑问，请在提交疑问截止时间之</w:t>
      </w:r>
      <w:r>
        <w:rPr>
          <w:rFonts w:hint="eastAsia" w:ascii="宋体" w:hAnsi="宋体" w:eastAsia="宋体" w:cs="宋体"/>
          <w:bCs/>
          <w:color w:val="auto"/>
          <w:sz w:val="21"/>
          <w:szCs w:val="21"/>
          <w:highlight w:val="none"/>
          <w:u w:val="single"/>
        </w:rPr>
        <w:t>前</w:t>
      </w:r>
      <w:r>
        <w:rPr>
          <w:rFonts w:hint="eastAsia" w:ascii="宋体" w:hAnsi="宋体" w:eastAsia="宋体" w:cs="宋体"/>
          <w:color w:val="auto"/>
          <w:sz w:val="21"/>
          <w:szCs w:val="21"/>
          <w:highlight w:val="none"/>
          <w:u w:val="single"/>
        </w:rPr>
        <w:t>提出，否则视同认可。一旦中标不得对现场条件提出额外要求，且不得要求增加费用。</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1.4承包方式说明：</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工程发包范围内的包工、包料（发包人供应或发包人另行发包的除外）、包质量、包工期、包安全、包文明、包成品养护、包风险等。</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1.5按照《中华人民共和国招标投标法》、《工程建设项目施工招标投标办法》及相关规定，上述工程已符合招标条件，现采用</w:t>
      </w:r>
      <w:r>
        <w:rPr>
          <w:rFonts w:hint="eastAsia" w:ascii="宋体" w:hAnsi="宋体" w:eastAsia="宋体" w:cs="宋体"/>
          <w:b/>
          <w:bCs/>
          <w:color w:val="auto"/>
          <w:kern w:val="0"/>
          <w:sz w:val="21"/>
          <w:szCs w:val="21"/>
          <w:highlight w:val="none"/>
          <w:u w:val="single"/>
          <w:lang w:val="en-US" w:eastAsia="zh-CN"/>
        </w:rPr>
        <w:t>公开</w:t>
      </w:r>
      <w:r>
        <w:rPr>
          <w:rFonts w:hint="eastAsia" w:ascii="宋体" w:hAnsi="宋体" w:eastAsia="宋体" w:cs="宋体"/>
          <w:b/>
          <w:bCs/>
          <w:color w:val="auto"/>
          <w:kern w:val="0"/>
          <w:sz w:val="21"/>
          <w:szCs w:val="21"/>
          <w:highlight w:val="none"/>
          <w:u w:val="single"/>
        </w:rPr>
        <w:t>招标、资格后审</w:t>
      </w:r>
      <w:r>
        <w:rPr>
          <w:rFonts w:hint="eastAsia" w:ascii="宋体" w:hAnsi="宋体" w:eastAsia="宋体" w:cs="宋体"/>
          <w:color w:val="auto"/>
          <w:kern w:val="0"/>
          <w:sz w:val="21"/>
          <w:szCs w:val="21"/>
          <w:highlight w:val="none"/>
        </w:rPr>
        <w:t>招标方式，择优选定</w:t>
      </w:r>
      <w:r>
        <w:rPr>
          <w:rFonts w:hint="eastAsia" w:ascii="宋体" w:hAnsi="宋体" w:eastAsia="宋体" w:cs="宋体"/>
          <w:color w:val="auto"/>
          <w:kern w:val="0"/>
          <w:sz w:val="21"/>
          <w:szCs w:val="21"/>
          <w:highlight w:val="none"/>
          <w:lang w:val="en-US" w:eastAsia="zh-CN"/>
        </w:rPr>
        <w:t>中标</w:t>
      </w:r>
      <w:r>
        <w:rPr>
          <w:rFonts w:hint="eastAsia" w:ascii="宋体" w:hAnsi="宋体" w:eastAsia="宋体" w:cs="宋体"/>
          <w:color w:val="auto"/>
          <w:kern w:val="0"/>
          <w:sz w:val="21"/>
          <w:szCs w:val="21"/>
          <w:highlight w:val="none"/>
        </w:rPr>
        <w:t>单位。</w:t>
      </w:r>
    </w:p>
    <w:p>
      <w:pPr>
        <w:pageBreakBefore w:val="0"/>
        <w:widowControl w:val="0"/>
        <w:kinsoku/>
        <w:wordWrap/>
        <w:overflowPunct/>
        <w:topLinePunct w:val="0"/>
        <w:bidi w:val="0"/>
        <w:snapToGrid w:val="0"/>
        <w:spacing w:line="360" w:lineRule="auto"/>
        <w:ind w:left="0" w:firstLine="422" w:firstLineChars="200"/>
        <w:textAlignment w:val="auto"/>
        <w:rPr>
          <w:rFonts w:hint="eastAsia" w:ascii="宋体" w:hAnsi="宋体" w:eastAsia="宋体" w:cs="宋体"/>
          <w:b/>
          <w:bCs/>
          <w:color w:val="auto"/>
          <w:kern w:val="0"/>
          <w:sz w:val="21"/>
          <w:szCs w:val="21"/>
          <w:highlight w:val="none"/>
        </w:rPr>
      </w:pPr>
      <w:bookmarkStart w:id="23" w:name="_Toc286661161"/>
      <w:r>
        <w:rPr>
          <w:rFonts w:hint="eastAsia" w:ascii="宋体" w:hAnsi="宋体" w:eastAsia="宋体" w:cs="宋体"/>
          <w:b/>
          <w:bCs/>
          <w:color w:val="auto"/>
          <w:kern w:val="0"/>
          <w:sz w:val="21"/>
          <w:szCs w:val="21"/>
          <w:highlight w:val="none"/>
        </w:rPr>
        <w:t>2.投标人资格要求</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2.1企业的资质类别、等级：</w:t>
      </w:r>
      <w:r>
        <w:rPr>
          <w:rFonts w:hint="eastAsia" w:ascii="宋体" w:hAnsi="宋体" w:eastAsia="宋体" w:cs="宋体"/>
          <w:b/>
          <w:bCs/>
          <w:color w:val="auto"/>
          <w:kern w:val="0"/>
          <w:sz w:val="21"/>
          <w:szCs w:val="21"/>
          <w:highlight w:val="none"/>
        </w:rPr>
        <w:t>具有独立法人资格（若为本地通讯基础运营商</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rPr>
        <w:t>可为市场监督管理部门颁发的有效的分支机构）并</w:t>
      </w:r>
      <w:r>
        <w:rPr>
          <w:rFonts w:hint="eastAsia" w:ascii="宋体" w:hAnsi="宋体" w:eastAsia="宋体" w:cs="宋体"/>
          <w:b/>
          <w:bCs/>
          <w:color w:val="auto"/>
          <w:kern w:val="0"/>
          <w:sz w:val="21"/>
          <w:szCs w:val="21"/>
          <w:highlight w:val="none"/>
          <w:u w:val="single"/>
        </w:rPr>
        <w:t>具有以下①②条件之一</w:t>
      </w:r>
      <w:r>
        <w:rPr>
          <w:rFonts w:hint="eastAsia" w:ascii="宋体" w:hAnsi="宋体" w:eastAsia="宋体" w:cs="宋体"/>
          <w:color w:val="auto"/>
          <w:kern w:val="0"/>
          <w:sz w:val="21"/>
          <w:szCs w:val="21"/>
          <w:highlight w:val="none"/>
        </w:rPr>
        <w:t>：</w:t>
      </w:r>
    </w:p>
    <w:p>
      <w:pPr>
        <w:keepNext w:val="0"/>
        <w:keepLines w:val="0"/>
        <w:pageBreakBefore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宋体"/>
          <w:b/>
          <w:bCs/>
          <w:color w:val="auto"/>
          <w:kern w:val="0"/>
          <w:sz w:val="21"/>
          <w:szCs w:val="21"/>
          <w:highlight w:val="none"/>
          <w:u w:val="single"/>
        </w:rPr>
      </w:pPr>
      <w:r>
        <w:rPr>
          <w:rFonts w:hint="eastAsia" w:ascii="宋体" w:hAnsi="宋体" w:eastAsia="宋体" w:cs="宋体"/>
          <w:b/>
          <w:bCs/>
          <w:color w:val="auto"/>
          <w:kern w:val="0"/>
          <w:sz w:val="21"/>
          <w:szCs w:val="21"/>
          <w:highlight w:val="none"/>
          <w:u w:val="single"/>
        </w:rPr>
        <w:t>①通信工程施工总承包三级及以上资质</w:t>
      </w:r>
      <w:r>
        <w:rPr>
          <w:rFonts w:hint="eastAsia" w:ascii="宋体" w:hAnsi="宋体" w:eastAsia="宋体" w:cs="宋体"/>
          <w:b/>
          <w:color w:val="auto"/>
          <w:kern w:val="0"/>
          <w:sz w:val="21"/>
          <w:szCs w:val="21"/>
          <w:highlight w:val="none"/>
          <w:u w:val="single"/>
        </w:rPr>
        <w:t>(在有效期内)</w:t>
      </w:r>
      <w:r>
        <w:rPr>
          <w:rFonts w:hint="eastAsia" w:ascii="宋体" w:hAnsi="宋体" w:eastAsia="宋体" w:cs="宋体"/>
          <w:b/>
          <w:bCs/>
          <w:color w:val="auto"/>
          <w:kern w:val="0"/>
          <w:sz w:val="21"/>
          <w:szCs w:val="21"/>
          <w:highlight w:val="none"/>
          <w:u w:val="single"/>
        </w:rPr>
        <w:t>；</w:t>
      </w:r>
    </w:p>
    <w:p>
      <w:pPr>
        <w:keepNext w:val="0"/>
        <w:keepLines w:val="0"/>
        <w:pageBreakBefore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宋体"/>
          <w:b/>
          <w:bCs/>
          <w:color w:val="auto"/>
          <w:kern w:val="0"/>
          <w:sz w:val="21"/>
          <w:szCs w:val="21"/>
          <w:highlight w:val="none"/>
          <w:u w:val="single"/>
        </w:rPr>
      </w:pPr>
      <w:r>
        <w:rPr>
          <w:rFonts w:hint="eastAsia" w:ascii="宋体" w:hAnsi="宋体" w:eastAsia="宋体" w:cs="宋体"/>
          <w:b/>
          <w:bCs/>
          <w:color w:val="auto"/>
          <w:kern w:val="0"/>
          <w:sz w:val="21"/>
          <w:szCs w:val="21"/>
          <w:highlight w:val="none"/>
          <w:u w:val="single"/>
        </w:rPr>
        <w:t>②具有本地通讯基础运营商，本地通信线路资源，并具备有效的基础电信业务经营许可证或广播电视节目传送业务经营许可证；</w:t>
      </w:r>
    </w:p>
    <w:p>
      <w:pPr>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2.2项目经理（项目负责人）资质等级：</w:t>
      </w:r>
      <w:r>
        <w:rPr>
          <w:rFonts w:hint="eastAsia" w:ascii="宋体" w:hAnsi="宋体" w:eastAsia="宋体" w:cs="宋体"/>
          <w:b/>
          <w:bCs/>
          <w:color w:val="auto"/>
          <w:kern w:val="0"/>
          <w:sz w:val="21"/>
          <w:szCs w:val="21"/>
          <w:highlight w:val="none"/>
          <w:u w:val="single"/>
        </w:rPr>
        <w:t>①如投标人提供的资质为基础电信业务经营许可证或广播电视节目传送业务经营许可证，则其拟派项目负责人须具有相关专业中级及以上技术职称；②如投标人提供的资质为通信工程施工总承包三级及以上资质，则其拟派负责人须具有通信与广电工程专业二级及以上注册建造师资格，并同时具有安全生产考核合格证（B证）（以上证书均注册在投标人单位）</w:t>
      </w:r>
      <w:r>
        <w:rPr>
          <w:rFonts w:hint="eastAsia" w:ascii="宋体" w:hAnsi="宋体" w:eastAsia="宋体" w:cs="宋体"/>
          <w:color w:val="auto"/>
          <w:kern w:val="0"/>
          <w:sz w:val="21"/>
          <w:szCs w:val="21"/>
          <w:highlight w:val="none"/>
        </w:rPr>
        <w:t>。</w:t>
      </w:r>
    </w:p>
    <w:p>
      <w:pPr>
        <w:keepNext w:val="0"/>
        <w:keepLines w:val="0"/>
        <w:pageBreakBefore w:val="0"/>
        <w:widowControl/>
        <w:kinsoku/>
        <w:wordWrap/>
        <w:overflowPunct/>
        <w:topLinePunct w:val="0"/>
        <w:autoSpaceDE/>
        <w:autoSpaceDN/>
        <w:bidi w:val="0"/>
        <w:adjustRightIn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bCs/>
          <w:color w:val="auto"/>
          <w:kern w:val="0"/>
          <w:sz w:val="21"/>
          <w:szCs w:val="21"/>
          <w:highlight w:val="none"/>
        </w:rPr>
        <w:t>特别提醒：①如本项目投标人拟派的项目负责人为一级注册建造师的，必须根据《办公厅关于全面实行一级建造师电子注册证书的通知》（建办市〔2021〕40号）文件要求执行。</w:t>
      </w:r>
    </w:p>
    <w:p>
      <w:pPr>
        <w:spacing w:line="360" w:lineRule="auto"/>
        <w:ind w:firstLine="422" w:firstLineChars="200"/>
        <w:rPr>
          <w:rFonts w:hint="eastAsia" w:ascii="Times New Roman" w:hAnsi="宋体" w:eastAsia="宋体" w:cs="Times New Roman"/>
          <w:b/>
          <w:bCs/>
          <w:color w:val="auto"/>
          <w:kern w:val="0"/>
          <w:szCs w:val="21"/>
          <w:highlight w:val="none"/>
        </w:rPr>
      </w:pPr>
      <w:r>
        <w:rPr>
          <w:rFonts w:hint="eastAsia" w:ascii="宋体" w:hAnsi="宋体" w:eastAsia="宋体" w:cs="宋体"/>
          <w:b/>
          <w:bCs/>
          <w:color w:val="auto"/>
          <w:kern w:val="0"/>
          <w:sz w:val="21"/>
          <w:szCs w:val="21"/>
          <w:highlight w:val="none"/>
        </w:rPr>
        <w:t>②注册地为江苏省内的企业，如拟派项目负责人为二级建造师的，必须按照《省住房和城乡</w:t>
      </w:r>
      <w:r>
        <w:rPr>
          <w:rFonts w:hint="eastAsia" w:ascii="Times New Roman" w:hAnsi="宋体" w:eastAsia="宋体" w:cs="Times New Roman"/>
          <w:b/>
          <w:bCs/>
          <w:color w:val="auto"/>
          <w:kern w:val="0"/>
          <w:szCs w:val="21"/>
          <w:highlight w:val="none"/>
        </w:rPr>
        <w:t>建设厅关于我省二级建造师、二级造价工程师、二级注册建筑师、二级注册结构工程师注册证书电子证照换发的公告》(〔2023〕第26号)文件要求换发新的注册证书电子证照，否则不予认可。</w:t>
      </w:r>
    </w:p>
    <w:p>
      <w:pPr>
        <w:spacing w:line="360" w:lineRule="auto"/>
        <w:ind w:firstLine="420" w:firstLineChars="200"/>
        <w:rPr>
          <w:rFonts w:hint="eastAsia" w:ascii="Times New Roman" w:hAnsi="宋体" w:eastAsia="宋体" w:cs="Times New Roman"/>
          <w:color w:val="auto"/>
          <w:kern w:val="0"/>
          <w:szCs w:val="21"/>
          <w:highlight w:val="none"/>
        </w:rPr>
      </w:pPr>
      <w:r>
        <w:rPr>
          <w:rFonts w:hint="eastAsia" w:ascii="Times New Roman" w:hAnsi="宋体" w:eastAsia="宋体" w:cs="Times New Roman"/>
          <w:color w:val="auto"/>
          <w:kern w:val="0"/>
          <w:szCs w:val="21"/>
          <w:highlight w:val="none"/>
        </w:rPr>
        <w:t>2.3以下条件属于资格审查的必要合格条件：</w:t>
      </w:r>
    </w:p>
    <w:p>
      <w:pPr>
        <w:spacing w:line="360" w:lineRule="auto"/>
        <w:ind w:firstLine="420" w:firstLineChars="200"/>
        <w:rPr>
          <w:rFonts w:hint="eastAsia" w:hAnsi="宋体" w:eastAsia="宋体"/>
          <w:color w:val="auto"/>
          <w:kern w:val="0"/>
          <w:szCs w:val="21"/>
          <w:highlight w:val="none"/>
          <w:lang w:eastAsia="zh-CN"/>
        </w:rPr>
      </w:pPr>
      <w:r>
        <w:rPr>
          <w:rFonts w:hint="eastAsia" w:ascii="Times New Roman" w:hAnsi="宋体" w:eastAsia="宋体" w:cs="Times New Roman"/>
          <w:color w:val="auto"/>
          <w:kern w:val="0"/>
          <w:szCs w:val="21"/>
          <w:highlight w:val="none"/>
        </w:rPr>
        <w:t>（1）企业的资质类别、等级和项目负</w:t>
      </w:r>
      <w:r>
        <w:rPr>
          <w:rFonts w:hint="eastAsia" w:hAnsi="宋体"/>
          <w:color w:val="auto"/>
          <w:kern w:val="0"/>
          <w:szCs w:val="21"/>
          <w:highlight w:val="none"/>
        </w:rPr>
        <w:t>责人注册专业、资格等级符合国家有关规定</w:t>
      </w:r>
      <w:r>
        <w:rPr>
          <w:rFonts w:hint="eastAsia" w:hAnsi="宋体"/>
          <w:color w:val="auto"/>
          <w:kern w:val="0"/>
          <w:szCs w:val="21"/>
          <w:highlight w:val="none"/>
          <w:lang w:eastAsia="zh-CN"/>
        </w:rPr>
        <w:t>；</w:t>
      </w:r>
    </w:p>
    <w:p>
      <w:pPr>
        <w:spacing w:line="360" w:lineRule="auto"/>
        <w:ind w:firstLine="420" w:firstLineChars="200"/>
        <w:rPr>
          <w:rFonts w:hint="eastAsia" w:hAnsi="宋体" w:eastAsia="宋体"/>
          <w:color w:val="auto"/>
          <w:kern w:val="0"/>
          <w:szCs w:val="21"/>
          <w:highlight w:val="none"/>
          <w:lang w:eastAsia="zh-CN"/>
        </w:rPr>
      </w:pPr>
      <w:r>
        <w:rPr>
          <w:rFonts w:hint="eastAsia" w:hAnsi="宋体"/>
          <w:color w:val="auto"/>
          <w:kern w:val="0"/>
          <w:szCs w:val="21"/>
          <w:highlight w:val="none"/>
        </w:rPr>
        <w:t>（</w:t>
      </w:r>
      <w:r>
        <w:rPr>
          <w:rFonts w:hint="eastAsia" w:hAnsi="宋体"/>
          <w:color w:val="auto"/>
          <w:kern w:val="0"/>
          <w:szCs w:val="21"/>
          <w:highlight w:val="none"/>
          <w:lang w:val="en-US" w:eastAsia="zh-CN"/>
        </w:rPr>
        <w:t>2</w:t>
      </w:r>
      <w:r>
        <w:rPr>
          <w:rFonts w:hint="eastAsia" w:hAnsi="宋体"/>
          <w:color w:val="auto"/>
          <w:kern w:val="0"/>
          <w:szCs w:val="21"/>
          <w:highlight w:val="none"/>
        </w:rPr>
        <w:t>）企业具备安全产生条件，并取得安全生产许可证（如投标人为通信工程施工总承包三级及以上资质须提供）</w:t>
      </w:r>
      <w:r>
        <w:rPr>
          <w:rFonts w:hint="eastAsia" w:hAnsi="宋体"/>
          <w:color w:val="auto"/>
          <w:kern w:val="0"/>
          <w:szCs w:val="21"/>
          <w:highlight w:val="none"/>
          <w:lang w:eastAsia="zh-CN"/>
        </w:rPr>
        <w:t>；</w:t>
      </w:r>
    </w:p>
    <w:p>
      <w:pPr>
        <w:spacing w:line="360" w:lineRule="auto"/>
        <w:ind w:firstLine="420" w:firstLineChars="200"/>
        <w:rPr>
          <w:rFonts w:hint="eastAsia" w:hAnsi="宋体" w:eastAsia="宋体"/>
          <w:color w:val="auto"/>
          <w:kern w:val="0"/>
          <w:szCs w:val="21"/>
          <w:highlight w:val="none"/>
          <w:lang w:eastAsia="zh-CN"/>
        </w:rPr>
      </w:pPr>
      <w:r>
        <w:rPr>
          <w:rFonts w:hint="eastAsia" w:hAnsi="宋体"/>
          <w:color w:val="auto"/>
          <w:kern w:val="0"/>
          <w:szCs w:val="21"/>
          <w:highlight w:val="none"/>
          <w:lang w:eastAsia="zh-CN"/>
        </w:rPr>
        <w:t>（</w:t>
      </w:r>
      <w:r>
        <w:rPr>
          <w:rFonts w:hint="eastAsia" w:hAnsi="宋体"/>
          <w:color w:val="auto"/>
          <w:kern w:val="0"/>
          <w:szCs w:val="21"/>
          <w:highlight w:val="none"/>
          <w:lang w:val="en-US" w:eastAsia="zh-CN"/>
        </w:rPr>
        <w:t>3</w:t>
      </w:r>
      <w:r>
        <w:rPr>
          <w:rFonts w:hint="eastAsia" w:hAnsi="宋体"/>
          <w:color w:val="auto"/>
          <w:kern w:val="0"/>
          <w:szCs w:val="21"/>
          <w:highlight w:val="none"/>
          <w:lang w:eastAsia="zh-CN"/>
        </w:rPr>
        <w:t>）</w:t>
      </w:r>
      <w:r>
        <w:rPr>
          <w:rFonts w:hint="eastAsia" w:hAnsi="宋体"/>
          <w:color w:val="auto"/>
          <w:kern w:val="0"/>
          <w:szCs w:val="21"/>
          <w:highlight w:val="none"/>
        </w:rPr>
        <w:t>拟派项目负责人为投标企业正式人员（投标企业与拟派项目负责人双方签订的有效劳动合同书）</w:t>
      </w:r>
      <w:r>
        <w:rPr>
          <w:rFonts w:hint="eastAsia" w:hAnsi="宋体"/>
          <w:color w:val="auto"/>
          <w:kern w:val="0"/>
          <w:szCs w:val="21"/>
          <w:highlight w:val="none"/>
          <w:lang w:eastAsia="zh-CN"/>
        </w:rPr>
        <w:t>。</w:t>
      </w:r>
    </w:p>
    <w:p>
      <w:pPr>
        <w:pageBreakBefore w:val="0"/>
        <w:widowControl w:val="0"/>
        <w:kinsoku/>
        <w:wordWrap/>
        <w:overflowPunct/>
        <w:topLinePunct w:val="0"/>
        <w:bidi w:val="0"/>
        <w:snapToGrid w:val="0"/>
        <w:spacing w:line="360" w:lineRule="auto"/>
        <w:ind w:left="0" w:firstLine="422" w:firstLineChars="200"/>
        <w:textAlignment w:val="auto"/>
        <w:rPr>
          <w:rFonts w:hint="eastAsia" w:ascii="宋体" w:hAnsi="宋体" w:eastAsia="宋体" w:cs="宋体"/>
          <w:b w:val="0"/>
          <w:bCs w:val="0"/>
          <w:color w:val="auto"/>
          <w:kern w:val="0"/>
          <w:sz w:val="21"/>
          <w:szCs w:val="21"/>
          <w:highlight w:val="none"/>
        </w:rPr>
      </w:pPr>
      <w:r>
        <w:rPr>
          <w:rFonts w:hint="eastAsia" w:hAnsi="宋体"/>
          <w:b/>
          <w:bCs/>
          <w:color w:val="auto"/>
          <w:kern w:val="0"/>
          <w:szCs w:val="21"/>
          <w:highlight w:val="none"/>
        </w:rPr>
        <w:t>注：具体要求详见本工程招标文件第二章中《资格审查标准汇总表》表。提供的资格审查材料及审</w:t>
      </w:r>
      <w:r>
        <w:rPr>
          <w:rFonts w:hint="eastAsia" w:ascii="宋体" w:hAnsi="宋体" w:eastAsia="宋体" w:cs="宋体"/>
          <w:b/>
          <w:bCs/>
          <w:color w:val="auto"/>
          <w:kern w:val="0"/>
          <w:sz w:val="21"/>
          <w:szCs w:val="21"/>
          <w:highlight w:val="none"/>
        </w:rPr>
        <w:t>查标准，前后矛盾的以《资格审查标准汇总表》为准。</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2.4 本工程</w:t>
      </w:r>
      <w:r>
        <w:rPr>
          <w:rFonts w:hint="eastAsia" w:ascii="宋体" w:hAnsi="宋体" w:eastAsia="宋体" w:cs="宋体"/>
          <w:b/>
          <w:bCs/>
          <w:color w:val="auto"/>
          <w:kern w:val="0"/>
          <w:sz w:val="21"/>
          <w:szCs w:val="21"/>
          <w:highlight w:val="none"/>
          <w:u w:val="single"/>
        </w:rPr>
        <w:t>不接受</w:t>
      </w:r>
      <w:r>
        <w:rPr>
          <w:rFonts w:hint="eastAsia" w:ascii="宋体" w:hAnsi="宋体" w:eastAsia="宋体" w:cs="宋体"/>
          <w:color w:val="auto"/>
          <w:kern w:val="0"/>
          <w:sz w:val="21"/>
          <w:szCs w:val="21"/>
          <w:highlight w:val="none"/>
        </w:rPr>
        <w:t>联合体投标。</w:t>
      </w:r>
    </w:p>
    <w:p>
      <w:pPr>
        <w:pageBreakBefore w:val="0"/>
        <w:widowControl w:val="0"/>
        <w:kinsoku/>
        <w:wordWrap/>
        <w:overflowPunct/>
        <w:topLinePunct w:val="0"/>
        <w:bidi w:val="0"/>
        <w:snapToGrid w:val="0"/>
        <w:spacing w:line="360" w:lineRule="auto"/>
        <w:ind w:left="0" w:firstLine="422" w:firstLineChars="200"/>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3.投标费用</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投标人应承担其编制投标文件以及递交投标文件所涉及的一切费用。无论投标结果如何，招标人对上述费用不负任何责任。本项目评审费由中标单位承担。</w:t>
      </w:r>
    </w:p>
    <w:p>
      <w:pPr>
        <w:pageBreakBefore w:val="0"/>
        <w:widowControl w:val="0"/>
        <w:kinsoku/>
        <w:wordWrap/>
        <w:overflowPunct/>
        <w:topLinePunct w:val="0"/>
        <w:bidi w:val="0"/>
        <w:snapToGrid w:val="0"/>
        <w:spacing w:line="360" w:lineRule="auto"/>
        <w:ind w:left="0" w:firstLine="422" w:firstLineChars="200"/>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4、踏勘现场</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4.1经招标人允许，投标人可为踏勘目的进入招标人的项目现场，但投标人不得因此使招标人承担有关的责任和蒙受损失，投标人应承担踏勘现场的责任和风险。</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4.2投标人自行对工程现场及周围环境进行踏勘，以便投标人获取有关编制投标文件和签署合同所涉及的现场资料。投标人承担踏勘现场发生的一切费用。</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4.3招标人向投标人提供的有关现场的数据和资料，是招标人现有的能被投标人利用的资料，招标人对投标人作出的任何推论、理解和结论均不负责任。</w:t>
      </w:r>
    </w:p>
    <w:p>
      <w:pPr>
        <w:pageBreakBefore w:val="0"/>
        <w:widowControl w:val="0"/>
        <w:kinsoku/>
        <w:wordWrap/>
        <w:overflowPunct/>
        <w:topLinePunct w:val="0"/>
        <w:bidi w:val="0"/>
        <w:snapToGrid w:val="0"/>
        <w:spacing w:line="360" w:lineRule="auto"/>
        <w:ind w:left="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4.4投标人应充分考虑标书制作过程中的数据变化因素，检查确认标书内容的正确完整和对招标文件的响应程度。</w:t>
      </w:r>
    </w:p>
    <w:p>
      <w:pPr>
        <w:pStyle w:val="7"/>
        <w:pageBreakBefore w:val="0"/>
        <w:widowControl w:val="0"/>
        <w:kinsoku/>
        <w:wordWrap/>
        <w:overflowPunct/>
        <w:topLinePunct w:val="0"/>
        <w:bidi w:val="0"/>
        <w:snapToGrid w:val="0"/>
        <w:spacing w:before="0" w:after="0" w:line="360" w:lineRule="auto"/>
        <w:ind w:left="0"/>
        <w:jc w:val="center"/>
        <w:textAlignment w:val="auto"/>
        <w:rPr>
          <w:rFonts w:ascii="Times New Roman" w:hAnsi="Times New Roman" w:eastAsia="宋体"/>
          <w:color w:val="auto"/>
          <w:sz w:val="24"/>
          <w:szCs w:val="24"/>
          <w:highlight w:val="none"/>
        </w:rPr>
      </w:pPr>
      <w:bookmarkStart w:id="24" w:name="_Toc380681015"/>
      <w:bookmarkStart w:id="25" w:name="_Toc380681234"/>
      <w:bookmarkStart w:id="26" w:name="_Toc380680822"/>
      <w:r>
        <w:rPr>
          <w:rFonts w:hint="eastAsia" w:ascii="宋体" w:hAnsi="宋体" w:eastAsia="宋体" w:cs="宋体"/>
          <w:color w:val="auto"/>
          <w:sz w:val="21"/>
          <w:szCs w:val="21"/>
          <w:highlight w:val="none"/>
        </w:rPr>
        <w:t>（</w:t>
      </w:r>
      <w:r>
        <w:rPr>
          <w:rFonts w:ascii="Times New Roman" w:hAnsi="宋体" w:eastAsia="宋体"/>
          <w:color w:val="auto"/>
          <w:sz w:val="24"/>
          <w:szCs w:val="24"/>
          <w:highlight w:val="none"/>
        </w:rPr>
        <w:t>二）招标文件</w:t>
      </w:r>
      <w:bookmarkEnd w:id="24"/>
      <w:bookmarkEnd w:id="25"/>
      <w:bookmarkEnd w:id="26"/>
    </w:p>
    <w:p>
      <w:pPr>
        <w:pageBreakBefore w:val="0"/>
        <w:widowControl w:val="0"/>
        <w:kinsoku/>
        <w:wordWrap/>
        <w:overflowPunct/>
        <w:topLinePunct w:val="0"/>
        <w:autoSpaceDE w:val="0"/>
        <w:autoSpaceDN w:val="0"/>
        <w:bidi w:val="0"/>
        <w:adjustRightInd w:val="0"/>
        <w:snapToGrid w:val="0"/>
        <w:spacing w:line="360" w:lineRule="auto"/>
        <w:ind w:left="0" w:leftChars="0" w:right="0" w:rightChars="0"/>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5.招标文件的组成</w:t>
      </w:r>
    </w:p>
    <w:p>
      <w:pPr>
        <w:pageBreakBefore w:val="0"/>
        <w:widowControl w:val="0"/>
        <w:kinsoku/>
        <w:wordWrap/>
        <w:overflowPunct/>
        <w:topLinePunct w:val="0"/>
        <w:bidi w:val="0"/>
        <w:snapToGrid w:val="0"/>
        <w:spacing w:line="360" w:lineRule="auto"/>
        <w:ind w:left="0" w:leftChars="0"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5.1.招标文件包括下列内容：</w:t>
      </w:r>
    </w:p>
    <w:p>
      <w:pPr>
        <w:pageBreakBefore w:val="0"/>
        <w:widowControl w:val="0"/>
        <w:kinsoku/>
        <w:wordWrap/>
        <w:overflowPunct/>
        <w:topLinePunct w:val="0"/>
        <w:bidi w:val="0"/>
        <w:snapToGrid w:val="0"/>
        <w:spacing w:line="360" w:lineRule="auto"/>
        <w:ind w:left="0" w:leftChars="0"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第一章：投标须知</w:t>
      </w:r>
    </w:p>
    <w:p>
      <w:pPr>
        <w:pageBreakBefore w:val="0"/>
        <w:widowControl w:val="0"/>
        <w:kinsoku/>
        <w:wordWrap/>
        <w:overflowPunct/>
        <w:topLinePunct w:val="0"/>
        <w:bidi w:val="0"/>
        <w:snapToGrid w:val="0"/>
        <w:spacing w:line="360" w:lineRule="auto"/>
        <w:ind w:left="0" w:leftChars="0" w:right="0" w:rightChars="0"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第二章：评标办法</w:t>
      </w:r>
    </w:p>
    <w:p>
      <w:pPr>
        <w:pageBreakBefore w:val="0"/>
        <w:widowControl w:val="0"/>
        <w:kinsoku/>
        <w:wordWrap/>
        <w:overflowPunct/>
        <w:topLinePunct w:val="0"/>
        <w:bidi w:val="0"/>
        <w:snapToGrid w:val="0"/>
        <w:spacing w:line="360" w:lineRule="auto"/>
        <w:ind w:left="0" w:leftChars="0" w:right="0" w:rightChars="0"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第三章：合同条款</w:t>
      </w:r>
    </w:p>
    <w:p>
      <w:pPr>
        <w:pageBreakBefore w:val="0"/>
        <w:widowControl w:val="0"/>
        <w:kinsoku/>
        <w:wordWrap/>
        <w:overflowPunct/>
        <w:topLinePunct w:val="0"/>
        <w:bidi w:val="0"/>
        <w:snapToGrid w:val="0"/>
        <w:spacing w:line="360" w:lineRule="auto"/>
        <w:ind w:left="0" w:leftChars="0" w:right="0" w:rightChars="0"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第四章：工程建设标准</w:t>
      </w:r>
    </w:p>
    <w:p>
      <w:pPr>
        <w:pageBreakBefore w:val="0"/>
        <w:widowControl w:val="0"/>
        <w:kinsoku/>
        <w:wordWrap/>
        <w:overflowPunct/>
        <w:topLinePunct w:val="0"/>
        <w:bidi w:val="0"/>
        <w:snapToGrid w:val="0"/>
        <w:spacing w:line="360" w:lineRule="auto"/>
        <w:ind w:left="0" w:leftChars="0" w:right="0" w:rightChars="0"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第五章：图纸、技术资料及附件</w:t>
      </w:r>
    </w:p>
    <w:p>
      <w:pPr>
        <w:pageBreakBefore w:val="0"/>
        <w:widowControl w:val="0"/>
        <w:kinsoku/>
        <w:wordWrap/>
        <w:overflowPunct/>
        <w:topLinePunct w:val="0"/>
        <w:bidi w:val="0"/>
        <w:snapToGrid w:val="0"/>
        <w:spacing w:line="360" w:lineRule="auto"/>
        <w:ind w:left="0" w:leftChars="0" w:right="0" w:rightChars="0"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第六章：投标文件格式</w:t>
      </w:r>
    </w:p>
    <w:p>
      <w:pPr>
        <w:pageBreakBefore w:val="0"/>
        <w:widowControl w:val="0"/>
        <w:kinsoku/>
        <w:wordWrap/>
        <w:overflowPunct/>
        <w:topLinePunct w:val="0"/>
        <w:bidi w:val="0"/>
        <w:snapToGrid w:val="0"/>
        <w:spacing w:line="360" w:lineRule="auto"/>
        <w:ind w:left="0" w:leftChars="0" w:right="0" w:rightChars="0"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第七章：资格审查证明材料</w:t>
      </w:r>
    </w:p>
    <w:p>
      <w:pPr>
        <w:pageBreakBefore w:val="0"/>
        <w:widowControl w:val="0"/>
        <w:kinsoku/>
        <w:wordWrap/>
        <w:overflowPunct/>
        <w:topLinePunct w:val="0"/>
        <w:bidi w:val="0"/>
        <w:snapToGrid w:val="0"/>
        <w:spacing w:line="360" w:lineRule="auto"/>
        <w:ind w:left="0" w:leftChars="0" w:right="0" w:rightChars="0"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5.2根据本章第6、7款对招标文件所作的澄清、修改，构成招标文件的组成部分。</w:t>
      </w:r>
    </w:p>
    <w:p>
      <w:pPr>
        <w:pageBreakBefore w:val="0"/>
        <w:widowControl w:val="0"/>
        <w:kinsoku/>
        <w:wordWrap/>
        <w:overflowPunct/>
        <w:topLinePunct w:val="0"/>
        <w:autoSpaceDE w:val="0"/>
        <w:autoSpaceDN w:val="0"/>
        <w:bidi w:val="0"/>
        <w:adjustRightInd w:val="0"/>
        <w:snapToGrid w:val="0"/>
        <w:spacing w:line="360" w:lineRule="auto"/>
        <w:ind w:left="0" w:leftChars="0" w:right="0" w:rightChars="0"/>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6、招标文件的澄清</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6.1投标人收到招标文件后应仔细阅读和检查招标文件的全部内容。如发现缺页或附件不全，应及时向招标人提出，以便补齐。</w:t>
      </w:r>
    </w:p>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color w:val="auto"/>
          <w:sz w:val="21"/>
          <w:szCs w:val="21"/>
          <w:highlight w:val="none"/>
        </w:rPr>
        <w:t>6.2招标人不组织集中答疑，投标人如对招标公告、招标文件、图纸等文件存在前后矛盾，部分条款说明不清、存在歧义、违反相关法律法规，存在限制性条款等有疑问的应在</w:t>
      </w:r>
      <w:r>
        <w:rPr>
          <w:rFonts w:hint="eastAsia" w:ascii="宋体" w:hAnsi="宋体" w:eastAsia="宋体" w:cs="宋体"/>
          <w:color w:val="auto"/>
          <w:sz w:val="21"/>
          <w:szCs w:val="21"/>
          <w:highlight w:val="none"/>
          <w:u w:val="single"/>
        </w:rPr>
        <w:t>202</w:t>
      </w:r>
      <w:r>
        <w:rPr>
          <w:rFonts w:hint="eastAsia" w:ascii="宋体" w:hAnsi="宋体" w:eastAsia="宋体" w:cs="宋体"/>
          <w:color w:val="auto"/>
          <w:sz w:val="21"/>
          <w:szCs w:val="21"/>
          <w:highlight w:val="none"/>
          <w:u w:val="single"/>
          <w:lang w:val="en-US" w:eastAsia="zh-CN"/>
        </w:rPr>
        <w:t>5</w:t>
      </w:r>
      <w:r>
        <w:rPr>
          <w:rFonts w:hint="eastAsia" w:ascii="宋体" w:hAnsi="宋体" w:eastAsia="宋体" w:cs="宋体"/>
          <w:color w:val="auto"/>
          <w:sz w:val="21"/>
          <w:szCs w:val="21"/>
          <w:highlight w:val="none"/>
          <w:u w:val="single"/>
        </w:rPr>
        <w:t>年</w:t>
      </w:r>
      <w:r>
        <w:rPr>
          <w:rFonts w:hint="eastAsia" w:ascii="宋体" w:hAnsi="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rPr>
        <w:t>月</w:t>
      </w:r>
      <w:r>
        <w:rPr>
          <w:rFonts w:hint="eastAsia" w:ascii="宋体" w:hAnsi="宋体" w:cs="宋体"/>
          <w:color w:val="auto"/>
          <w:sz w:val="21"/>
          <w:szCs w:val="21"/>
          <w:highlight w:val="none"/>
          <w:u w:val="single"/>
          <w:lang w:val="en-US" w:eastAsia="zh-CN"/>
        </w:rPr>
        <w:t>25</w:t>
      </w:r>
      <w:r>
        <w:rPr>
          <w:rFonts w:hint="eastAsia" w:ascii="宋体" w:hAnsi="宋体" w:eastAsia="宋体" w:cs="宋体"/>
          <w:color w:val="auto"/>
          <w:sz w:val="21"/>
          <w:szCs w:val="21"/>
          <w:highlight w:val="none"/>
          <w:u w:val="single"/>
        </w:rPr>
        <w:t>日</w:t>
      </w:r>
      <w:r>
        <w:rPr>
          <w:rFonts w:hint="eastAsia" w:ascii="宋体" w:hAnsi="宋体" w:eastAsia="宋体" w:cs="宋体"/>
          <w:color w:val="auto"/>
          <w:sz w:val="21"/>
          <w:szCs w:val="21"/>
          <w:highlight w:val="none"/>
          <w:u w:val="single"/>
        </w:rPr>
        <w:t>17时00分前</w:t>
      </w:r>
      <w:r>
        <w:rPr>
          <w:rFonts w:hint="eastAsia" w:ascii="宋体" w:hAnsi="宋体" w:eastAsia="宋体" w:cs="宋体"/>
          <w:color w:val="auto"/>
          <w:sz w:val="21"/>
          <w:szCs w:val="21"/>
          <w:highlight w:val="none"/>
        </w:rPr>
        <w:t>向招标人提出澄清要求，</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"mailto:以电子文件形式发送至550362779@qq.com"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以电子文件形式发送至</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指定邮箱：</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"mailto:1072027277@qq.com（不具单位名称，不加盖单位公章）。招标人在收到疑问材料后2日内予以解答，并于2023年"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lang w:eastAsia="zh-CN"/>
        </w:rPr>
        <w:t>1552917108</w:t>
      </w:r>
      <w:r>
        <w:rPr>
          <w:rFonts w:hint="eastAsia" w:ascii="宋体" w:hAnsi="宋体" w:eastAsia="宋体" w:cs="宋体"/>
          <w:color w:val="auto"/>
          <w:sz w:val="21"/>
          <w:szCs w:val="21"/>
          <w:highlight w:val="none"/>
        </w:rPr>
        <w:t>@qq.com（不具单位名称，不加盖单位公章）。招标人在收到疑问材料后于</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u w:val="single"/>
        </w:rPr>
        <w:t>202</w:t>
      </w:r>
      <w:r>
        <w:rPr>
          <w:rFonts w:hint="eastAsia" w:ascii="宋体" w:hAnsi="宋体" w:eastAsia="宋体" w:cs="宋体"/>
          <w:color w:val="auto"/>
          <w:sz w:val="21"/>
          <w:szCs w:val="21"/>
          <w:highlight w:val="none"/>
          <w:u w:val="single"/>
          <w:lang w:val="en-US" w:eastAsia="zh-CN"/>
        </w:rPr>
        <w:t>5</w:t>
      </w:r>
      <w:r>
        <w:rPr>
          <w:rFonts w:hint="eastAsia" w:ascii="宋体" w:hAnsi="宋体" w:eastAsia="宋体" w:cs="宋体"/>
          <w:color w:val="auto"/>
          <w:sz w:val="21"/>
          <w:szCs w:val="21"/>
          <w:highlight w:val="none"/>
          <w:u w:val="single"/>
        </w:rPr>
        <w:t>年</w:t>
      </w:r>
      <w:r>
        <w:rPr>
          <w:rFonts w:hint="eastAsia" w:ascii="宋体" w:hAnsi="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rPr>
        <w:t>月</w:t>
      </w:r>
      <w:r>
        <w:rPr>
          <w:rFonts w:hint="eastAsia" w:ascii="宋体" w:hAnsi="宋体" w:cs="宋体"/>
          <w:color w:val="auto"/>
          <w:sz w:val="21"/>
          <w:szCs w:val="21"/>
          <w:highlight w:val="none"/>
          <w:u w:val="single"/>
          <w:lang w:val="en-US" w:eastAsia="zh-CN"/>
        </w:rPr>
        <w:t>29</w:t>
      </w:r>
      <w:r>
        <w:rPr>
          <w:rFonts w:hint="eastAsia" w:ascii="宋体" w:hAnsi="宋体" w:eastAsia="宋体" w:cs="宋体"/>
          <w:color w:val="auto"/>
          <w:sz w:val="21"/>
          <w:szCs w:val="21"/>
          <w:highlight w:val="none"/>
          <w:u w:val="single"/>
        </w:rPr>
        <w:t>日</w:t>
      </w:r>
      <w:r>
        <w:rPr>
          <w:rFonts w:hint="eastAsia" w:ascii="宋体" w:hAnsi="宋体" w:eastAsia="宋体" w:cs="宋体"/>
          <w:color w:val="auto"/>
          <w:sz w:val="21"/>
          <w:szCs w:val="21"/>
          <w:highlight w:val="none"/>
          <w:u w:val="single"/>
          <w:lang w:val="en-US" w:eastAsia="zh-CN"/>
        </w:rPr>
        <w:t>9</w:t>
      </w:r>
      <w:r>
        <w:rPr>
          <w:rFonts w:hint="eastAsia" w:ascii="宋体" w:hAnsi="宋体" w:eastAsia="宋体" w:cs="宋体"/>
          <w:color w:val="auto"/>
          <w:sz w:val="21"/>
          <w:szCs w:val="21"/>
          <w:highlight w:val="none"/>
          <w:u w:val="single"/>
        </w:rPr>
        <w:t>时00分后</w:t>
      </w:r>
      <w:r>
        <w:rPr>
          <w:rFonts w:hint="eastAsia" w:ascii="宋体" w:hAnsi="宋体" w:eastAsia="宋体" w:cs="宋体"/>
          <w:snapToGrid w:val="0"/>
          <w:color w:val="auto"/>
          <w:kern w:val="0"/>
          <w:sz w:val="21"/>
          <w:szCs w:val="21"/>
          <w:highlight w:val="none"/>
        </w:rPr>
        <w:t>在</w:t>
      </w:r>
      <w:r>
        <w:rPr>
          <w:rFonts w:hint="eastAsia" w:ascii="宋体" w:hAnsi="宋体" w:eastAsia="宋体" w:cs="宋体"/>
          <w:b/>
          <w:snapToGrid w:val="0"/>
          <w:color w:val="auto"/>
          <w:kern w:val="0"/>
          <w:sz w:val="21"/>
          <w:szCs w:val="21"/>
          <w:highlight w:val="none"/>
        </w:rPr>
        <w:t>南通市崇川区人民政府网-</w:t>
      </w:r>
      <w:r>
        <w:rPr>
          <w:rFonts w:hint="eastAsia" w:ascii="宋体" w:hAnsi="宋体" w:cs="宋体"/>
          <w:b/>
          <w:snapToGrid w:val="0"/>
          <w:color w:val="auto"/>
          <w:kern w:val="0"/>
          <w:sz w:val="21"/>
          <w:szCs w:val="21"/>
          <w:highlight w:val="none"/>
          <w:lang w:val="en-US" w:eastAsia="zh-CN"/>
        </w:rPr>
        <w:t>招标和采购</w:t>
      </w:r>
      <w:r>
        <w:rPr>
          <w:rFonts w:hint="eastAsia" w:ascii="宋体" w:hAnsi="宋体" w:eastAsia="宋体" w:cs="宋体"/>
          <w:snapToGrid w:val="0"/>
          <w:color w:val="auto"/>
          <w:kern w:val="0"/>
          <w:sz w:val="21"/>
          <w:szCs w:val="21"/>
          <w:highlight w:val="none"/>
        </w:rPr>
        <w:t>发布，投标人自行下载。</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pPr>
        <w:pageBreakBefore w:val="0"/>
        <w:widowControl w:val="0"/>
        <w:kinsoku/>
        <w:wordWrap/>
        <w:overflowPunct/>
        <w:topLinePunct w:val="0"/>
        <w:bidi w:val="0"/>
        <w:snapToGrid w:val="0"/>
        <w:spacing w:line="360" w:lineRule="auto"/>
        <w:ind w:left="0" w:leftChars="0" w:right="0" w:rightChars="0"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招标文件的澄清答疑将在投标人须知前附表规定的时间发给所有投标人，但招标人不指明澄清问题的来源。投标人对招标人提供的招标文件所做出的推论、解释和结论，招标人概不负责。投标人由于对招标文件的任何推论和误解均由投标人自负。</w:t>
      </w:r>
    </w:p>
    <w:p>
      <w:pPr>
        <w:pageBreakBefore w:val="0"/>
        <w:widowControl w:val="0"/>
        <w:kinsoku/>
        <w:wordWrap/>
        <w:overflowPunct/>
        <w:topLinePunct w:val="0"/>
        <w:autoSpaceDE w:val="0"/>
        <w:autoSpaceDN w:val="0"/>
        <w:bidi w:val="0"/>
        <w:adjustRightInd w:val="0"/>
        <w:snapToGrid w:val="0"/>
        <w:spacing w:line="360" w:lineRule="auto"/>
        <w:ind w:left="0" w:leftChars="0" w:right="0" w:rightChars="0"/>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7、招标文件的修改</w:t>
      </w:r>
    </w:p>
    <w:p>
      <w:pPr>
        <w:pageBreakBefore w:val="0"/>
        <w:widowControl w:val="0"/>
        <w:kinsoku/>
        <w:wordWrap/>
        <w:overflowPunct/>
        <w:topLinePunct w:val="0"/>
        <w:bidi w:val="0"/>
        <w:snapToGrid w:val="0"/>
        <w:spacing w:line="360" w:lineRule="auto"/>
        <w:ind w:left="0" w:leftChars="0" w:right="0" w:rightChars="0"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7.1招标文件发布后，在投标截止期前，确需对招标文件进行修改的，招标人以招标文件澄清、答疑方式，向所有投标人公布。</w:t>
      </w:r>
    </w:p>
    <w:p>
      <w:pPr>
        <w:pageBreakBefore w:val="0"/>
        <w:widowControl w:val="0"/>
        <w:kinsoku/>
        <w:wordWrap/>
        <w:overflowPunct/>
        <w:topLinePunct w:val="0"/>
        <w:bidi w:val="0"/>
        <w:snapToGrid w:val="0"/>
        <w:spacing w:line="360" w:lineRule="auto"/>
        <w:ind w:left="0" w:leftChars="0" w:right="0" w:rightChars="0"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7.2招标人在投标截止期前对招标文件的所作澄清、答疑、修改作为招标文件的组成部分，对招标人、投标人均具有约束力。</w:t>
      </w:r>
    </w:p>
    <w:p>
      <w:pPr>
        <w:pageBreakBefore w:val="0"/>
        <w:widowControl w:val="0"/>
        <w:kinsoku/>
        <w:wordWrap/>
        <w:overflowPunct/>
        <w:topLinePunct w:val="0"/>
        <w:bidi w:val="0"/>
        <w:snapToGrid w:val="0"/>
        <w:spacing w:line="360" w:lineRule="auto"/>
        <w:ind w:left="0" w:leftChars="0" w:right="0" w:rightChars="0" w:firstLine="48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7.3招标文件的答疑内容前后期相互矛盾时，以时间在后的文件为准。</w:t>
      </w:r>
    </w:p>
    <w:p>
      <w:pPr>
        <w:pStyle w:val="7"/>
        <w:pageBreakBefore w:val="0"/>
        <w:widowControl w:val="0"/>
        <w:kinsoku/>
        <w:wordWrap/>
        <w:overflowPunct/>
        <w:topLinePunct w:val="0"/>
        <w:bidi w:val="0"/>
        <w:snapToGrid w:val="0"/>
        <w:spacing w:before="0" w:after="0" w:line="360" w:lineRule="auto"/>
        <w:ind w:left="0" w:leftChars="0" w:right="0" w:righ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（三）投标文件</w:t>
      </w:r>
    </w:p>
    <w:p>
      <w:pPr>
        <w:pageBreakBefore w:val="0"/>
        <w:widowControl w:val="0"/>
        <w:kinsoku/>
        <w:wordWrap/>
        <w:overflowPunct/>
        <w:topLinePunct w:val="0"/>
        <w:bidi w:val="0"/>
        <w:snapToGrid w:val="0"/>
        <w:spacing w:line="360" w:lineRule="auto"/>
        <w:ind w:left="0" w:leftChars="0" w:right="0" w:rightChars="0"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rPr>
        <w:t xml:space="preserve">8. </w:t>
      </w:r>
      <w:r>
        <w:rPr>
          <w:rFonts w:hint="eastAsia" w:ascii="宋体" w:hAnsi="宋体" w:eastAsia="宋体" w:cs="宋体"/>
          <w:color w:val="auto"/>
          <w:sz w:val="21"/>
          <w:szCs w:val="21"/>
          <w:highlight w:val="none"/>
        </w:rPr>
        <w:t>投标人应认真阅读招标文件所有内容，未按招标文件要求编制的投标文件将被拒绝或者作为废标处理。</w:t>
      </w:r>
    </w:p>
    <w:p>
      <w:pPr>
        <w:pageBreakBefore w:val="0"/>
        <w:widowControl w:val="0"/>
        <w:kinsoku/>
        <w:wordWrap/>
        <w:overflowPunct/>
        <w:topLinePunct w:val="0"/>
        <w:bidi w:val="0"/>
        <w:snapToGrid w:val="0"/>
        <w:spacing w:line="360" w:lineRule="auto"/>
        <w:ind w:left="0" w:leftChars="0" w:right="0" w:rightChars="0"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rPr>
        <w:t xml:space="preserve">9. </w:t>
      </w:r>
      <w:r>
        <w:rPr>
          <w:rFonts w:hint="eastAsia" w:ascii="宋体" w:hAnsi="宋体" w:eastAsia="宋体" w:cs="宋体"/>
          <w:color w:val="auto"/>
          <w:sz w:val="21"/>
          <w:szCs w:val="21"/>
          <w:highlight w:val="none"/>
        </w:rPr>
        <w:t>本工程投标文件由</w:t>
      </w:r>
      <w:r>
        <w:rPr>
          <w:rFonts w:hint="eastAsia" w:ascii="宋体" w:hAnsi="宋体" w:eastAsia="宋体" w:cs="宋体"/>
          <w:b/>
          <w:color w:val="auto"/>
          <w:sz w:val="21"/>
          <w:szCs w:val="21"/>
          <w:highlight w:val="none"/>
          <w:u w:val="single"/>
        </w:rPr>
        <w:t>电子投标文件(U盘)、纸质投标文件（资格审查资料、商务标）</w:t>
      </w:r>
      <w:r>
        <w:rPr>
          <w:rFonts w:hint="eastAsia" w:ascii="宋体" w:hAnsi="宋体" w:cs="宋体"/>
          <w:b/>
          <w:color w:val="auto"/>
          <w:sz w:val="21"/>
          <w:szCs w:val="21"/>
          <w:highlight w:val="none"/>
          <w:u w:val="single"/>
          <w:lang w:eastAsia="zh-CN"/>
        </w:rPr>
        <w:t>、</w:t>
      </w:r>
      <w:r>
        <w:rPr>
          <w:rFonts w:hint="eastAsia" w:ascii="宋体" w:hAnsi="宋体" w:cs="宋体"/>
          <w:b/>
          <w:color w:val="auto"/>
          <w:sz w:val="21"/>
          <w:szCs w:val="21"/>
          <w:highlight w:val="none"/>
          <w:u w:val="single"/>
          <w:lang w:val="en-US" w:eastAsia="zh-CN"/>
        </w:rPr>
        <w:t>原件包（仅备查）</w:t>
      </w:r>
      <w:r>
        <w:rPr>
          <w:rFonts w:hint="eastAsia" w:ascii="宋体" w:hAnsi="宋体" w:eastAsia="宋体" w:cs="宋体"/>
          <w:color w:val="auto"/>
          <w:sz w:val="21"/>
          <w:szCs w:val="21"/>
          <w:highlight w:val="none"/>
        </w:rPr>
        <w:t>组成，具体应包括以下内容：</w:t>
      </w:r>
    </w:p>
    <w:p>
      <w:pPr>
        <w:pageBreakBefore w:val="0"/>
        <w:widowControl w:val="0"/>
        <w:kinsoku/>
        <w:wordWrap/>
        <w:overflowPunct/>
        <w:topLinePunct w:val="0"/>
        <w:bidi w:val="0"/>
        <w:snapToGrid w:val="0"/>
        <w:spacing w:line="360" w:lineRule="auto"/>
        <w:ind w:left="0" w:leftChars="0" w:right="0" w:rightChars="0" w:firstLine="480"/>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9.1电子投标文件包括</w:t>
      </w:r>
      <w:r>
        <w:rPr>
          <w:rFonts w:hint="eastAsia" w:ascii="宋体" w:hAnsi="宋体" w:eastAsia="宋体" w:cs="宋体"/>
          <w:b/>
          <w:bCs/>
          <w:color w:val="auto"/>
          <w:sz w:val="21"/>
          <w:szCs w:val="21"/>
          <w:highlight w:val="none"/>
          <w:u w:val="single"/>
        </w:rPr>
        <w:t xml:space="preserve">9.2.1 </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u w:val="single"/>
        </w:rPr>
        <w:t>9.2.2</w:t>
      </w:r>
      <w:r>
        <w:rPr>
          <w:rFonts w:hint="eastAsia" w:ascii="宋体" w:hAnsi="宋体" w:eastAsia="宋体" w:cs="宋体"/>
          <w:b/>
          <w:bCs/>
          <w:color w:val="auto"/>
          <w:sz w:val="21"/>
          <w:szCs w:val="21"/>
          <w:highlight w:val="none"/>
        </w:rPr>
        <w:t>所有内容，投标人应将所有资料</w:t>
      </w:r>
      <w:r>
        <w:rPr>
          <w:rFonts w:hint="eastAsia" w:ascii="宋体" w:hAnsi="宋体" w:eastAsia="宋体" w:cs="宋体"/>
          <w:b/>
          <w:color w:val="auto"/>
          <w:sz w:val="21"/>
          <w:szCs w:val="21"/>
          <w:highlight w:val="none"/>
        </w:rPr>
        <w:t>刻录于U盘。</w:t>
      </w:r>
      <w:r>
        <w:rPr>
          <w:rFonts w:hint="eastAsia" w:ascii="宋体" w:hAnsi="宋体" w:eastAsia="宋体" w:cs="宋体"/>
          <w:b/>
          <w:bCs/>
          <w:color w:val="auto"/>
          <w:sz w:val="21"/>
          <w:szCs w:val="21"/>
          <w:highlight w:val="none"/>
        </w:rPr>
        <w:t>电子投标文件</w:t>
      </w:r>
      <w:r>
        <w:rPr>
          <w:rFonts w:hint="eastAsia" w:ascii="宋体" w:hAnsi="宋体" w:eastAsia="宋体" w:cs="宋体"/>
          <w:b/>
          <w:color w:val="auto"/>
          <w:sz w:val="21"/>
          <w:szCs w:val="21"/>
          <w:highlight w:val="none"/>
        </w:rPr>
        <w:t>与纸质投标文件须同时提交，并单独密封，封袋上加盖投标人单位公章和法定代表人印章。</w:t>
      </w:r>
    </w:p>
    <w:p>
      <w:pPr>
        <w:pageBreakBefore w:val="0"/>
        <w:widowControl w:val="0"/>
        <w:kinsoku/>
        <w:wordWrap/>
        <w:overflowPunct/>
        <w:topLinePunct w:val="0"/>
        <w:bidi w:val="0"/>
        <w:snapToGrid w:val="0"/>
        <w:spacing w:line="360" w:lineRule="auto"/>
        <w:ind w:left="0" w:leftChars="0" w:right="0" w:rightChars="0" w:firstLine="480"/>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9.1.1电子投标文件格式要求：</w:t>
      </w:r>
      <w:r>
        <w:rPr>
          <w:rFonts w:hint="eastAsia" w:ascii="宋体" w:hAnsi="宋体" w:eastAsia="宋体" w:cs="宋体"/>
          <w:b/>
          <w:color w:val="auto"/>
          <w:sz w:val="21"/>
          <w:szCs w:val="21"/>
          <w:highlight w:val="none"/>
        </w:rPr>
        <w:t>应将</w:t>
      </w:r>
      <w:r>
        <w:rPr>
          <w:rFonts w:hint="eastAsia" w:ascii="宋体" w:hAnsi="宋体" w:eastAsia="宋体" w:cs="宋体"/>
          <w:b/>
          <w:color w:val="auto"/>
          <w:sz w:val="21"/>
          <w:szCs w:val="21"/>
          <w:highlight w:val="none"/>
          <w:u w:val="single"/>
        </w:rPr>
        <w:t xml:space="preserve"> 9.2.1、9.2.2条所有内容</w:t>
      </w:r>
      <w:r>
        <w:rPr>
          <w:rFonts w:hint="eastAsia" w:ascii="宋体" w:hAnsi="宋体" w:eastAsia="宋体" w:cs="宋体"/>
          <w:b/>
          <w:color w:val="auto"/>
          <w:sz w:val="21"/>
          <w:szCs w:val="21"/>
          <w:highlight w:val="none"/>
        </w:rPr>
        <w:t>在盖章签字后扫描并保存为pdf格式。投标人须对所提供资料的真实性承担相应的法律责任。纸质投标文件须与电子投标文件完全一致。</w:t>
      </w:r>
    </w:p>
    <w:p>
      <w:pPr>
        <w:pageBreakBefore w:val="0"/>
        <w:widowControl w:val="0"/>
        <w:kinsoku/>
        <w:wordWrap/>
        <w:overflowPunct/>
        <w:topLinePunct w:val="0"/>
        <w:bidi w:val="0"/>
        <w:snapToGrid w:val="0"/>
        <w:spacing w:line="360" w:lineRule="auto"/>
        <w:ind w:left="0" w:leftChars="0" w:right="0" w:rightChars="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9.2.1 资格审查资料包括内容：</w:t>
      </w:r>
    </w:p>
    <w:p>
      <w:pPr>
        <w:pageBreakBefore w:val="0"/>
        <w:widowControl w:val="0"/>
        <w:numPr>
          <w:ilvl w:val="0"/>
          <w:numId w:val="1"/>
        </w:numPr>
        <w:kinsoku/>
        <w:wordWrap/>
        <w:overflowPunct/>
        <w:topLinePunct w:val="0"/>
        <w:bidi w:val="0"/>
        <w:snapToGrid w:val="0"/>
        <w:spacing w:line="360" w:lineRule="auto"/>
        <w:ind w:left="0" w:leftChars="0"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有效的法定代表人身份证明书原件；</w:t>
      </w:r>
    </w:p>
    <w:p>
      <w:pPr>
        <w:pageBreakBefore w:val="0"/>
        <w:widowControl w:val="0"/>
        <w:numPr>
          <w:ilvl w:val="0"/>
          <w:numId w:val="1"/>
        </w:numPr>
        <w:kinsoku/>
        <w:wordWrap/>
        <w:overflowPunct/>
        <w:topLinePunct w:val="0"/>
        <w:bidi w:val="0"/>
        <w:snapToGrid w:val="0"/>
        <w:spacing w:line="360" w:lineRule="auto"/>
        <w:ind w:left="0" w:leftChars="0"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有效的授权委托书原件(如有授权)；</w:t>
      </w:r>
    </w:p>
    <w:p>
      <w:pPr>
        <w:pageBreakBefore w:val="0"/>
        <w:widowControl w:val="0"/>
        <w:numPr>
          <w:ilvl w:val="0"/>
          <w:numId w:val="1"/>
        </w:numPr>
        <w:kinsoku/>
        <w:wordWrap/>
        <w:overflowPunct/>
        <w:topLinePunct w:val="0"/>
        <w:bidi w:val="0"/>
        <w:snapToGrid w:val="0"/>
        <w:spacing w:line="360" w:lineRule="auto"/>
        <w:ind w:left="0" w:leftChars="0"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有效的企业营业执照复印件；</w:t>
      </w:r>
    </w:p>
    <w:p>
      <w:pPr>
        <w:pageBreakBefore w:val="0"/>
        <w:widowControl w:val="0"/>
        <w:numPr>
          <w:ilvl w:val="0"/>
          <w:numId w:val="1"/>
        </w:numPr>
        <w:kinsoku/>
        <w:wordWrap/>
        <w:overflowPunct/>
        <w:topLinePunct w:val="0"/>
        <w:bidi w:val="0"/>
        <w:snapToGrid w:val="0"/>
        <w:spacing w:line="360" w:lineRule="auto"/>
        <w:ind w:left="0" w:leftChars="0"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有效的经营许可证或资质证书复印件；</w:t>
      </w:r>
    </w:p>
    <w:p>
      <w:pPr>
        <w:pageBreakBefore w:val="0"/>
        <w:widowControl w:val="0"/>
        <w:numPr>
          <w:ilvl w:val="0"/>
          <w:numId w:val="1"/>
        </w:numPr>
        <w:kinsoku/>
        <w:wordWrap/>
        <w:overflowPunct/>
        <w:topLinePunct w:val="0"/>
        <w:bidi w:val="0"/>
        <w:snapToGrid w:val="0"/>
        <w:spacing w:line="360" w:lineRule="auto"/>
        <w:ind w:left="0" w:leftChars="0"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有效的企业安全生产许可证复印件（如投标人为通信工程施工总承包三级及以上资质须提供）；</w:t>
      </w:r>
    </w:p>
    <w:p>
      <w:pPr>
        <w:numPr>
          <w:ilvl w:val="0"/>
          <w:numId w:val="1"/>
        </w:numPr>
        <w:spacing w:line="360" w:lineRule="auto"/>
        <w:ind w:left="0" w:firstLine="420" w:firstLineChars="200"/>
        <w:rPr>
          <w:color w:val="auto"/>
          <w:szCs w:val="21"/>
          <w:highlight w:val="none"/>
        </w:rPr>
      </w:pPr>
      <w:r>
        <w:rPr>
          <w:rFonts w:hAnsi="宋体"/>
          <w:color w:val="auto"/>
          <w:szCs w:val="21"/>
          <w:highlight w:val="none"/>
        </w:rPr>
        <w:t>拟派项目负责人</w:t>
      </w:r>
      <w:r>
        <w:rPr>
          <w:rFonts w:hint="eastAsia" w:hAnsi="宋体"/>
          <w:color w:val="auto"/>
          <w:szCs w:val="21"/>
          <w:highlight w:val="none"/>
        </w:rPr>
        <w:t>有效的①职称证书或②注册</w:t>
      </w:r>
      <w:r>
        <w:rPr>
          <w:rFonts w:hAnsi="宋体"/>
          <w:color w:val="auto"/>
          <w:szCs w:val="21"/>
          <w:highlight w:val="none"/>
        </w:rPr>
        <w:t>建造师资格证书</w:t>
      </w:r>
      <w:r>
        <w:rPr>
          <w:rFonts w:hint="eastAsia" w:hAnsi="宋体"/>
          <w:color w:val="auto"/>
          <w:szCs w:val="21"/>
          <w:highlight w:val="none"/>
        </w:rPr>
        <w:t>、安全生产考核合格证（B证）</w:t>
      </w:r>
      <w:r>
        <w:rPr>
          <w:rFonts w:hAnsi="宋体"/>
          <w:color w:val="auto"/>
          <w:szCs w:val="21"/>
          <w:highlight w:val="none"/>
        </w:rPr>
        <w:t>复印件；</w:t>
      </w:r>
    </w:p>
    <w:p>
      <w:pPr>
        <w:pageBreakBefore w:val="0"/>
        <w:widowControl w:val="0"/>
        <w:numPr>
          <w:ilvl w:val="0"/>
          <w:numId w:val="1"/>
        </w:numPr>
        <w:kinsoku/>
        <w:wordWrap/>
        <w:overflowPunct/>
        <w:topLinePunct w:val="0"/>
        <w:bidi w:val="0"/>
        <w:snapToGrid w:val="0"/>
        <w:spacing w:line="360" w:lineRule="auto"/>
        <w:ind w:left="0" w:leftChars="0"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拟派项目负责人为投标企业正式人员证明材料复印件；</w:t>
      </w:r>
    </w:p>
    <w:p>
      <w:pPr>
        <w:pageBreakBefore w:val="0"/>
        <w:widowControl w:val="0"/>
        <w:numPr>
          <w:ilvl w:val="0"/>
          <w:numId w:val="1"/>
        </w:numPr>
        <w:kinsoku/>
        <w:wordWrap/>
        <w:overflowPunct/>
        <w:topLinePunct w:val="0"/>
        <w:bidi w:val="0"/>
        <w:snapToGrid w:val="0"/>
        <w:spacing w:line="360" w:lineRule="auto"/>
        <w:ind w:left="0" w:leftChars="0"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有效的诚信承诺书原件；</w:t>
      </w:r>
    </w:p>
    <w:p>
      <w:pPr>
        <w:pageBreakBefore w:val="0"/>
        <w:widowControl w:val="0"/>
        <w:numPr>
          <w:ilvl w:val="0"/>
          <w:numId w:val="1"/>
        </w:numPr>
        <w:kinsoku/>
        <w:wordWrap/>
        <w:overflowPunct/>
        <w:topLinePunct w:val="0"/>
        <w:bidi w:val="0"/>
        <w:snapToGrid w:val="0"/>
        <w:spacing w:line="360" w:lineRule="auto"/>
        <w:ind w:left="0" w:leftChars="0"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工程完工证明复印件</w:t>
      </w:r>
      <w:r>
        <w:rPr>
          <w:rFonts w:hint="eastAsia" w:ascii="宋体" w:hAnsi="宋体" w:eastAsia="宋体" w:cs="宋体"/>
          <w:b/>
          <w:color w:val="auto"/>
          <w:sz w:val="21"/>
          <w:szCs w:val="21"/>
          <w:highlight w:val="none"/>
        </w:rPr>
        <w:t>（如有）</w:t>
      </w:r>
    </w:p>
    <w:p>
      <w:pPr>
        <w:pageBreakBefore w:val="0"/>
        <w:widowControl w:val="0"/>
        <w:kinsoku/>
        <w:wordWrap/>
        <w:overflowPunct/>
        <w:topLinePunct w:val="0"/>
        <w:bidi w:val="0"/>
        <w:snapToGrid w:val="0"/>
        <w:spacing w:line="360" w:lineRule="auto"/>
        <w:ind w:left="0" w:leftChars="0"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派项目经理在崇川区范围内有在建工程的，虽然未正式竣工验收但工程确已完工的，必须有由建设单位出具“工程已完工，同意项目经理参加其他工程招投标活动”的证明。无此证明的一律做废标处理。证明格式详见第七章—工程完工证明</w:t>
      </w:r>
    </w:p>
    <w:p>
      <w:pPr>
        <w:pageBreakBefore w:val="0"/>
        <w:widowControl w:val="0"/>
        <w:kinsoku/>
        <w:wordWrap/>
        <w:overflowPunct/>
        <w:topLinePunct w:val="0"/>
        <w:bidi w:val="0"/>
        <w:snapToGrid w:val="0"/>
        <w:spacing w:line="360" w:lineRule="auto"/>
        <w:ind w:left="0" w:leftChars="0" w:right="0" w:rightChars="0" w:firstLine="527" w:firstLineChars="25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u w:val="single"/>
        </w:rPr>
        <w:t>具体要求详见本招标文件第二章中附件《资格审查标准汇总表》。提供的资格审查材料及审查标准，前后矛盾的以《资格审查标准汇总表》为准。</w:t>
      </w:r>
    </w:p>
    <w:p>
      <w:pPr>
        <w:pageBreakBefore w:val="0"/>
        <w:widowControl w:val="0"/>
        <w:kinsoku/>
        <w:wordWrap/>
        <w:overflowPunct/>
        <w:topLinePunct w:val="0"/>
        <w:bidi w:val="0"/>
        <w:snapToGrid w:val="0"/>
        <w:spacing w:line="360" w:lineRule="auto"/>
        <w:ind w:left="0" w:leftChars="0" w:right="0" w:rightChars="0" w:firstLine="527" w:firstLineChars="25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u w:val="single"/>
        </w:rPr>
        <w:t>以上材料均须加盖投标单位公章，复印件为有效证明材料复印件，所有材料须统一密封在一个封袋中，并在封袋上加盖投标人单位公章和法定代表人印章。</w:t>
      </w:r>
    </w:p>
    <w:p>
      <w:pPr>
        <w:pageBreakBefore w:val="0"/>
        <w:widowControl w:val="0"/>
        <w:kinsoku/>
        <w:wordWrap/>
        <w:overflowPunct/>
        <w:topLinePunct w:val="0"/>
        <w:bidi w:val="0"/>
        <w:snapToGrid w:val="0"/>
        <w:spacing w:line="360" w:lineRule="auto"/>
        <w:ind w:left="0" w:leftChars="0" w:right="0" w:rightChars="0" w:firstLine="422" w:firstLineChars="200"/>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u w:val="single"/>
        </w:rPr>
        <w:t>本项目资格审查以资格审查资料包的内容为准，招标文件中要求提交的资料请各投标人务必提供齐全。所有原件须带至开标现场备查，原件仅在资格审查文件内容存在字迹模糊、分辨不清等情形时予以查验。</w:t>
      </w:r>
    </w:p>
    <w:p>
      <w:pPr>
        <w:keepNext w:val="0"/>
        <w:keepLines w:val="0"/>
        <w:pageBreakBefore w:val="0"/>
        <w:widowControl w:val="0"/>
        <w:kinsoku/>
        <w:wordWrap/>
        <w:overflowPunct/>
        <w:topLinePunct w:val="0"/>
        <w:autoSpaceDE/>
        <w:autoSpaceDN/>
        <w:bidi w:val="0"/>
        <w:snapToGrid w:val="0"/>
        <w:spacing w:line="360" w:lineRule="auto"/>
        <w:ind w:left="0" w:leftChars="0" w:right="0" w:rightChars="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9.2.2 商务标</w:t>
      </w:r>
    </w:p>
    <w:p>
      <w:pPr>
        <w:keepNext w:val="0"/>
        <w:keepLines w:val="0"/>
        <w:pageBreakBefore w:val="0"/>
        <w:widowControl w:val="0"/>
        <w:kinsoku/>
        <w:wordWrap/>
        <w:overflowPunct/>
        <w:topLinePunct w:val="0"/>
        <w:autoSpaceDE/>
        <w:autoSpaceDN/>
        <w:bidi w:val="0"/>
        <w:snapToGrid w:val="0"/>
        <w:spacing w:line="360" w:lineRule="auto"/>
        <w:ind w:left="0" w:leftChars="0"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（1）投标函；</w:t>
      </w:r>
    </w:p>
    <w:p>
      <w:pPr>
        <w:keepNext w:val="0"/>
        <w:keepLines w:val="0"/>
        <w:pageBreakBefore w:val="0"/>
        <w:widowControl w:val="0"/>
        <w:kinsoku/>
        <w:wordWrap/>
        <w:overflowPunct/>
        <w:topLinePunct w:val="0"/>
        <w:autoSpaceDE/>
        <w:autoSpaceDN/>
        <w:bidi w:val="0"/>
        <w:snapToGrid w:val="0"/>
        <w:spacing w:line="360" w:lineRule="auto"/>
        <w:ind w:right="0" w:righ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（2）计划投入的主要施工机械设备表、主要施工管理人员表。</w:t>
      </w:r>
    </w:p>
    <w:p>
      <w:pPr>
        <w:pStyle w:val="3"/>
        <w:keepNext w:val="0"/>
        <w:keepLines w:val="0"/>
        <w:pageBreakBefore w:val="0"/>
        <w:widowControl w:val="0"/>
        <w:kinsoku/>
        <w:wordWrap/>
        <w:overflowPunct/>
        <w:topLinePunct w:val="0"/>
        <w:autoSpaceDE/>
        <w:autoSpaceDN/>
        <w:bidi w:val="0"/>
        <w:snapToGrid w:val="0"/>
        <w:spacing w:after="0" w:line="360" w:lineRule="auto"/>
        <w:ind w:left="0" w:leftChars="0" w:right="0" w:rightChars="0"/>
        <w:jc w:val="both"/>
        <w:rPr>
          <w:rFonts w:hint="eastAsia" w:ascii="宋体" w:hAnsi="宋体" w:eastAsia="宋体" w:cs="宋体"/>
          <w:b/>
          <w:color w:val="auto"/>
          <w:sz w:val="21"/>
          <w:szCs w:val="21"/>
          <w:highlight w:val="none"/>
          <w:u w:val="single"/>
        </w:rPr>
      </w:pPr>
      <w:r>
        <w:rPr>
          <w:rFonts w:hint="eastAsia" w:ascii="宋体" w:hAnsi="宋体" w:eastAsia="宋体" w:cs="宋体"/>
          <w:color w:val="auto"/>
          <w:sz w:val="21"/>
          <w:szCs w:val="21"/>
          <w:highlight w:val="none"/>
        </w:rPr>
        <w:t xml:space="preserve">  </w:t>
      </w:r>
      <w:r>
        <w:rPr>
          <w:rFonts w:hint="eastAsia" w:ascii="宋体" w:hAnsi="宋体" w:eastAsia="宋体" w:cs="宋体"/>
          <w:b/>
          <w:color w:val="auto"/>
          <w:sz w:val="21"/>
          <w:szCs w:val="21"/>
          <w:highlight w:val="none"/>
          <w:u w:val="single"/>
        </w:rPr>
        <w:t>以上材料均须加盖投标单位公章，复印件为有效证明材料复印件，所有材料须统一密封在一个封袋中，并在封袋上加盖投标人单位公章和法定代表人印章。</w:t>
      </w:r>
    </w:p>
    <w:p>
      <w:pPr>
        <w:keepNext w:val="0"/>
        <w:keepLines w:val="0"/>
        <w:pageBreakBefore w:val="0"/>
        <w:widowControl w:val="0"/>
        <w:kinsoku/>
        <w:wordWrap/>
        <w:overflowPunct/>
        <w:topLinePunct w:val="0"/>
        <w:autoSpaceDE/>
        <w:autoSpaceDN/>
        <w:bidi w:val="0"/>
        <w:snapToGrid w:val="0"/>
        <w:spacing w:line="360" w:lineRule="auto"/>
        <w:ind w:left="0" w:leftChars="0" w:right="0" w:rightChars="0" w:firstLine="422" w:firstLineChars="200"/>
        <w:outlineLvl w:val="3"/>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9.2.3原件包（仅备查）</w:t>
      </w:r>
    </w:p>
    <w:p>
      <w:pPr>
        <w:keepNext w:val="0"/>
        <w:keepLines w:val="0"/>
        <w:pageBreakBefore w:val="0"/>
        <w:widowControl w:val="0"/>
        <w:kinsoku/>
        <w:wordWrap/>
        <w:overflowPunct/>
        <w:topLinePunct w:val="0"/>
        <w:autoSpaceDE/>
        <w:autoSpaceDN/>
        <w:bidi w:val="0"/>
        <w:snapToGrid w:val="0"/>
        <w:spacing w:line="360" w:lineRule="auto"/>
        <w:ind w:left="0" w:leftChars="0" w:right="0" w:rightChars="0" w:firstLine="420" w:firstLineChars="200"/>
        <w:outlineLvl w:val="3"/>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资格审查和商务标涉及到的所有原件。</w:t>
      </w:r>
    </w:p>
    <w:p>
      <w:pPr>
        <w:keepNext w:val="0"/>
        <w:keepLines w:val="0"/>
        <w:pageBreakBefore w:val="0"/>
        <w:widowControl w:val="0"/>
        <w:kinsoku/>
        <w:wordWrap/>
        <w:overflowPunct/>
        <w:topLinePunct w:val="0"/>
        <w:autoSpaceDE/>
        <w:autoSpaceDN/>
        <w:bidi w:val="0"/>
        <w:snapToGrid w:val="0"/>
        <w:spacing w:line="360" w:lineRule="auto"/>
        <w:ind w:left="0" w:leftChars="0" w:right="0" w:rightChars="0" w:firstLine="422" w:firstLineChars="200"/>
        <w:outlineLvl w:val="3"/>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招标文</w:t>
      </w:r>
      <w:r>
        <w:rPr>
          <w:rFonts w:hint="eastAsia" w:ascii="宋体" w:hAnsi="宋体" w:eastAsia="宋体" w:cs="宋体"/>
          <w:color w:val="auto"/>
          <w:sz w:val="21"/>
          <w:szCs w:val="21"/>
          <w:highlight w:val="none"/>
        </w:rPr>
        <w:t>件提供的文件格式(第六章、第七章)投标人必须使用。但表式可以按同样格式进行扩展。</w:t>
      </w:r>
    </w:p>
    <w:p>
      <w:pPr>
        <w:keepNext w:val="0"/>
        <w:keepLines w:val="0"/>
        <w:pageBreakBefore w:val="0"/>
        <w:widowControl w:val="0"/>
        <w:kinsoku/>
        <w:wordWrap/>
        <w:overflowPunct/>
        <w:topLinePunct w:val="0"/>
        <w:autoSpaceDE/>
        <w:autoSpaceDN/>
        <w:bidi w:val="0"/>
        <w:snapToGrid w:val="0"/>
        <w:spacing w:line="360" w:lineRule="auto"/>
        <w:ind w:left="0" w:leftChars="0" w:right="0" w:rightChars="0" w:firstLine="422" w:firstLineChars="200"/>
        <w:outlineLvl w:val="3"/>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rPr>
        <w:t>11.</w:t>
      </w:r>
      <w:r>
        <w:rPr>
          <w:rFonts w:hint="eastAsia" w:ascii="宋体" w:hAnsi="宋体" w:eastAsia="宋体" w:cs="宋体"/>
          <w:color w:val="auto"/>
          <w:sz w:val="21"/>
          <w:szCs w:val="21"/>
          <w:highlight w:val="none"/>
        </w:rPr>
        <w:t>纸质投标文件正本须用不能擦去的墨水书写或打印，投标文件副本可以复印，其正、副本都应装订成册，并在封面上正确标明“正本”、“副本”字样。电子投标文件、资格审查资料、商务标</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原件包</w:t>
      </w:r>
      <w:r>
        <w:rPr>
          <w:rFonts w:hint="eastAsia" w:ascii="宋体" w:hAnsi="宋体" w:eastAsia="宋体" w:cs="宋体"/>
          <w:color w:val="auto"/>
          <w:sz w:val="21"/>
          <w:szCs w:val="21"/>
          <w:highlight w:val="none"/>
        </w:rPr>
        <w:t>分开装袋密封。</w:t>
      </w:r>
    </w:p>
    <w:p>
      <w:pPr>
        <w:keepNext w:val="0"/>
        <w:keepLines w:val="0"/>
        <w:pageBreakBefore w:val="0"/>
        <w:widowControl w:val="0"/>
        <w:kinsoku/>
        <w:wordWrap/>
        <w:overflowPunct/>
        <w:topLinePunct w:val="0"/>
        <w:autoSpaceDE/>
        <w:autoSpaceDN/>
        <w:bidi w:val="0"/>
        <w:snapToGrid w:val="0"/>
        <w:spacing w:line="360" w:lineRule="auto"/>
        <w:ind w:left="0" w:leftChars="0" w:right="0" w:rightChars="0" w:firstLine="420" w:firstLineChars="200"/>
        <w:outlineLvl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全套投标文件应无修改和行间插字。如有修改，须在修改处加盖投标人法定代表人或其代理人的印鉴。</w:t>
      </w:r>
    </w:p>
    <w:p>
      <w:pPr>
        <w:pageBreakBefore w:val="0"/>
        <w:widowControl w:val="0"/>
        <w:kinsoku/>
        <w:wordWrap/>
        <w:overflowPunct/>
        <w:topLinePunct w:val="0"/>
        <w:autoSpaceDE w:val="0"/>
        <w:autoSpaceDN w:val="0"/>
        <w:bidi w:val="0"/>
        <w:adjustRightInd w:val="0"/>
        <w:snapToGrid w:val="0"/>
        <w:spacing w:line="360" w:lineRule="auto"/>
        <w:ind w:left="0" w:leftChars="0" w:right="0" w:rightChars="0"/>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12.投标有效期</w:t>
      </w:r>
    </w:p>
    <w:p>
      <w:pPr>
        <w:pageBreakBefore w:val="0"/>
        <w:widowControl w:val="0"/>
        <w:kinsoku/>
        <w:wordWrap/>
        <w:overflowPunct/>
        <w:topLinePunct w:val="0"/>
        <w:autoSpaceDE w:val="0"/>
        <w:autoSpaceDN w:val="0"/>
        <w:bidi w:val="0"/>
        <w:adjustRightInd w:val="0"/>
        <w:snapToGrid w:val="0"/>
        <w:spacing w:line="360" w:lineRule="auto"/>
        <w:ind w:left="0" w:leftChars="0" w:right="0" w:rightChars="0"/>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投标文件自投标截止时间起至投标须知前附表规定的时间内有效。</w:t>
      </w:r>
    </w:p>
    <w:p>
      <w:pPr>
        <w:pageBreakBefore w:val="0"/>
        <w:widowControl w:val="0"/>
        <w:numPr>
          <w:ilvl w:val="0"/>
          <w:numId w:val="2"/>
        </w:numPr>
        <w:kinsoku/>
        <w:wordWrap/>
        <w:overflowPunct/>
        <w:topLinePunct w:val="0"/>
        <w:autoSpaceDE w:val="0"/>
        <w:autoSpaceDN w:val="0"/>
        <w:bidi w:val="0"/>
        <w:adjustRightInd w:val="0"/>
        <w:snapToGrid w:val="0"/>
        <w:spacing w:line="360" w:lineRule="auto"/>
        <w:ind w:left="0" w:leftChars="0" w:right="0" w:rightChars="0"/>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投标保证金</w:t>
      </w:r>
    </w:p>
    <w:p>
      <w:pPr>
        <w:pageBreakBefore w:val="0"/>
        <w:widowControl w:val="0"/>
        <w:kinsoku/>
        <w:wordWrap/>
        <w:overflowPunct/>
        <w:topLinePunct w:val="0"/>
        <w:bidi w:val="0"/>
        <w:adjustRightInd w:val="0"/>
        <w:snapToGrid w:val="0"/>
        <w:spacing w:beforeAutospacing="0" w:afterAutospacing="0" w:line="360" w:lineRule="auto"/>
        <w:ind w:left="0" w:leftChars="0" w:right="0" w:rightChars="0"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1）如投标保证金采用银行汇票形式，须同时递交投标保证金银行汇票原件（无须密封）和基本账户开户许可证（或基本存款账户信息）复印件（复印件须加盖单位公章，无须密封）供招标人代表查验，否则其投标文件不予接收。</w:t>
      </w:r>
    </w:p>
    <w:p>
      <w:pPr>
        <w:pageBreakBefore w:val="0"/>
        <w:widowControl w:val="0"/>
        <w:kinsoku/>
        <w:wordWrap/>
        <w:overflowPunct/>
        <w:topLinePunct w:val="0"/>
        <w:bidi w:val="0"/>
        <w:snapToGrid w:val="0"/>
        <w:spacing w:line="360" w:lineRule="auto"/>
        <w:ind w:left="0" w:leftChars="0" w:right="0" w:rightChars="0" w:firstLine="422" w:firstLineChars="200"/>
        <w:outlineLvl w:val="3"/>
        <w:rPr>
          <w:rFonts w:hint="eastAsia" w:ascii="宋体" w:hAnsi="宋体" w:eastAsia="宋体" w:cs="宋体"/>
          <w:b/>
          <w:color w:val="auto"/>
          <w:spacing w:val="0"/>
          <w:kern w:val="0"/>
          <w:position w:val="0"/>
          <w:sz w:val="21"/>
          <w:szCs w:val="21"/>
          <w:highlight w:val="none"/>
          <w:lang w:eastAsia="zh-CN"/>
        </w:rPr>
      </w:pPr>
      <w:r>
        <w:rPr>
          <w:rFonts w:hint="eastAsia" w:ascii="宋体" w:hAnsi="宋体" w:eastAsia="宋体" w:cs="宋体"/>
          <w:b/>
          <w:bCs/>
          <w:color w:val="auto"/>
          <w:sz w:val="21"/>
          <w:szCs w:val="21"/>
          <w:highlight w:val="none"/>
        </w:rPr>
        <w:t>投标保证金（银行汇票形式）上必须注明：</w:t>
      </w:r>
      <w:r>
        <w:rPr>
          <w:rFonts w:hint="eastAsia" w:ascii="宋体" w:hAnsi="宋体" w:eastAsia="宋体" w:cs="宋体"/>
          <w:b/>
          <w:color w:val="auto"/>
          <w:sz w:val="21"/>
          <w:szCs w:val="21"/>
          <w:highlight w:val="none"/>
        </w:rPr>
        <w:t>收款人</w:t>
      </w:r>
      <w:r>
        <w:rPr>
          <w:rFonts w:hint="eastAsia" w:ascii="宋体" w:hAnsi="宋体" w:eastAsia="宋体" w:cs="宋体"/>
          <w:color w:val="auto"/>
          <w:sz w:val="21"/>
          <w:szCs w:val="21"/>
          <w:highlight w:val="none"/>
        </w:rPr>
        <w:t>：</w:t>
      </w:r>
      <w:bookmarkStart w:id="27" w:name="OLE_LINK4"/>
      <w:r>
        <w:rPr>
          <w:rFonts w:hint="eastAsia" w:ascii="宋体" w:hAnsi="宋体" w:eastAsia="宋体" w:cs="宋体"/>
          <w:color w:val="auto"/>
          <w:sz w:val="21"/>
          <w:szCs w:val="21"/>
          <w:highlight w:val="none"/>
          <w:u w:val="single"/>
        </w:rPr>
        <w:t>鑫兴绿色（南通）产业发展有限公司</w:t>
      </w:r>
      <w:bookmarkEnd w:id="27"/>
      <w:r>
        <w:rPr>
          <w:rFonts w:hint="eastAsia" w:ascii="宋体" w:hAnsi="宋体" w:eastAsia="宋体" w:cs="宋体"/>
          <w:color w:val="auto"/>
          <w:sz w:val="21"/>
          <w:szCs w:val="21"/>
          <w:highlight w:val="none"/>
        </w:rPr>
        <w:t>，</w:t>
      </w:r>
      <w:r>
        <w:rPr>
          <w:rFonts w:hint="eastAsia" w:ascii="宋体" w:hAnsi="宋体" w:eastAsia="宋体" w:cs="宋体"/>
          <w:b/>
          <w:color w:val="auto"/>
          <w:sz w:val="21"/>
          <w:szCs w:val="21"/>
          <w:highlight w:val="none"/>
        </w:rPr>
        <w:t>用途</w:t>
      </w:r>
      <w:r>
        <w:rPr>
          <w:rFonts w:hint="eastAsia" w:ascii="宋体" w:hAnsi="宋体" w:eastAsia="宋体" w:cs="宋体"/>
          <w:bCs/>
          <w:color w:val="auto"/>
          <w:sz w:val="21"/>
          <w:szCs w:val="21"/>
          <w:highlight w:val="none"/>
        </w:rPr>
        <w:t>：</w:t>
      </w:r>
      <w:r>
        <w:rPr>
          <w:rFonts w:hint="eastAsia" w:ascii="宋体" w:hAnsi="宋体" w:eastAsia="宋体" w:cs="宋体"/>
          <w:b/>
          <w:bCs w:val="0"/>
          <w:color w:val="auto"/>
          <w:sz w:val="32"/>
          <w:szCs w:val="32"/>
          <w:highlight w:val="none"/>
          <w:u w:val="single"/>
          <w:lang w:val="en-US" w:eastAsia="zh-CN"/>
        </w:rPr>
        <w:t xml:space="preserve"> </w:t>
      </w:r>
      <w:r>
        <w:rPr>
          <w:rFonts w:hint="eastAsia" w:ascii="宋体" w:hAnsi="宋体" w:cs="宋体"/>
          <w:b/>
          <w:bCs w:val="0"/>
          <w:color w:val="auto"/>
          <w:sz w:val="32"/>
          <w:szCs w:val="32"/>
          <w:highlight w:val="none"/>
          <w:u w:val="single"/>
          <w:lang w:val="en-US" w:eastAsia="zh-CN"/>
        </w:rPr>
        <w:t>23</w:t>
      </w:r>
      <w:r>
        <w:rPr>
          <w:rFonts w:hint="eastAsia" w:ascii="宋体" w:hAnsi="宋体" w:eastAsia="宋体" w:cs="宋体"/>
          <w:b/>
          <w:bCs w:val="0"/>
          <w:color w:val="auto"/>
          <w:sz w:val="32"/>
          <w:szCs w:val="32"/>
          <w:highlight w:val="none"/>
          <w:u w:val="single"/>
        </w:rPr>
        <w:t>号投标保证金</w:t>
      </w:r>
      <w:r>
        <w:rPr>
          <w:rFonts w:hint="eastAsia" w:ascii="宋体" w:hAnsi="宋体" w:eastAsia="宋体" w:cs="宋体"/>
          <w:b/>
          <w:color w:val="auto"/>
          <w:sz w:val="21"/>
          <w:szCs w:val="21"/>
          <w:highlight w:val="none"/>
          <w:u w:val="single"/>
        </w:rPr>
        <w:t>。</w:t>
      </w:r>
      <w:r>
        <w:rPr>
          <w:rFonts w:hint="eastAsia" w:ascii="宋体" w:hAnsi="宋体" w:eastAsia="宋体" w:cs="宋体"/>
          <w:b/>
          <w:color w:val="auto"/>
          <w:sz w:val="21"/>
          <w:szCs w:val="21"/>
          <w:highlight w:val="none"/>
        </w:rPr>
        <w:t>汇款人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投标单位名称</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rPr>
        <w:t>（</w:t>
      </w:r>
      <w:r>
        <w:rPr>
          <w:rFonts w:hint="eastAsia" w:ascii="宋体" w:hAnsi="宋体" w:eastAsia="宋体" w:cs="宋体"/>
          <w:b/>
          <w:color w:val="auto"/>
          <w:sz w:val="21"/>
          <w:szCs w:val="21"/>
          <w:highlight w:val="none"/>
        </w:rPr>
        <w:t>账户名：鑫兴绿色（南通）产业发展有限公司，开户行：江苏银行股份有限公司南通港闸支行，账号：50230188000738229</w:t>
      </w:r>
      <w:r>
        <w:rPr>
          <w:rFonts w:hint="eastAsia" w:ascii="宋体" w:hAnsi="宋体" w:eastAsia="宋体" w:cs="宋体"/>
          <w:color w:val="auto"/>
          <w:sz w:val="21"/>
          <w:szCs w:val="21"/>
          <w:highlight w:val="none"/>
        </w:rPr>
        <w:t>）</w:t>
      </w:r>
      <w:r>
        <w:rPr>
          <w:rFonts w:hint="eastAsia" w:ascii="宋体" w:hAnsi="宋体" w:eastAsia="宋体" w:cs="宋体"/>
          <w:b/>
          <w:bCs/>
          <w:color w:val="auto"/>
          <w:sz w:val="21"/>
          <w:szCs w:val="21"/>
          <w:highlight w:val="none"/>
        </w:rPr>
        <w:t>。中标单位的投标保证金有效期在投标截止日后60天内有效，在缴纳履约保证金前，如投标保证金已失效，中标单位应主动延续投标保证金的有效期，否则招标人有权在保证金失效后取消中标人的中标资格</w:t>
      </w:r>
      <w:r>
        <w:rPr>
          <w:rFonts w:hint="eastAsia" w:ascii="宋体" w:hAnsi="宋体" w:eastAsia="宋体" w:cs="宋体"/>
          <w:color w:val="auto"/>
          <w:sz w:val="21"/>
          <w:szCs w:val="21"/>
          <w:highlight w:val="none"/>
          <w:lang w:eastAsia="zh-CN"/>
        </w:rPr>
        <w:t>。</w:t>
      </w:r>
    </w:p>
    <w:p>
      <w:pPr>
        <w:pageBreakBefore w:val="0"/>
        <w:widowControl w:val="0"/>
        <w:kinsoku/>
        <w:wordWrap/>
        <w:overflowPunct/>
        <w:topLinePunct w:val="0"/>
        <w:bidi w:val="0"/>
        <w:adjustRightInd w:val="0"/>
        <w:snapToGrid w:val="0"/>
        <w:spacing w:beforeAutospacing="0" w:afterAutospacing="0" w:line="360" w:lineRule="auto"/>
        <w:ind w:left="0" w:leftChars="0" w:right="0" w:rightChars="0"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（2）如投标保证金采用保函或保险形式，</w:t>
      </w:r>
      <w:r>
        <w:rPr>
          <w:rFonts w:hint="eastAsia" w:ascii="宋体" w:hAnsi="宋体" w:eastAsia="宋体" w:cs="宋体"/>
          <w:b/>
          <w:bCs/>
          <w:color w:val="auto"/>
          <w:spacing w:val="0"/>
          <w:kern w:val="0"/>
          <w:position w:val="0"/>
          <w:sz w:val="21"/>
          <w:szCs w:val="21"/>
          <w:highlight w:val="none"/>
        </w:rPr>
        <w:t>须提供保函或保险保单原件供招标人代表查验，否则其投标文件不予接收</w:t>
      </w:r>
      <w:r>
        <w:rPr>
          <w:rFonts w:hint="eastAsia" w:ascii="宋体" w:hAnsi="宋体" w:eastAsia="宋体" w:cs="宋体"/>
          <w:b/>
          <w:color w:val="auto"/>
          <w:spacing w:val="0"/>
          <w:kern w:val="0"/>
          <w:position w:val="0"/>
          <w:sz w:val="21"/>
          <w:szCs w:val="21"/>
          <w:highlight w:val="none"/>
        </w:rPr>
        <w:t>。投标保证金（保函或保险形式）开具对象为</w:t>
      </w:r>
      <w:r>
        <w:rPr>
          <w:rFonts w:hint="eastAsia" w:ascii="宋体" w:hAnsi="宋体" w:eastAsia="宋体" w:cs="宋体"/>
          <w:b/>
          <w:color w:val="auto"/>
          <w:spacing w:val="0"/>
          <w:kern w:val="0"/>
          <w:position w:val="0"/>
          <w:sz w:val="21"/>
          <w:szCs w:val="21"/>
          <w:highlight w:val="none"/>
          <w:u w:val="single"/>
        </w:rPr>
        <w:t>鑫兴绿色（南通）产业发展有限公司</w:t>
      </w:r>
      <w:r>
        <w:rPr>
          <w:rFonts w:hint="eastAsia" w:ascii="宋体" w:hAnsi="宋体" w:eastAsia="宋体" w:cs="宋体"/>
          <w:b/>
          <w:color w:val="auto"/>
          <w:spacing w:val="0"/>
          <w:kern w:val="0"/>
          <w:position w:val="0"/>
          <w:sz w:val="21"/>
          <w:szCs w:val="21"/>
          <w:highlight w:val="none"/>
        </w:rPr>
        <w:t>。投标保函（保险）上投保的投标保证金须在投标有效期内持续有效。</w:t>
      </w:r>
    </w:p>
    <w:p>
      <w:pPr>
        <w:pageBreakBefore w:val="0"/>
        <w:widowControl w:val="0"/>
        <w:kinsoku/>
        <w:wordWrap/>
        <w:overflowPunct/>
        <w:topLinePunct w:val="0"/>
        <w:bidi w:val="0"/>
        <w:adjustRightInd w:val="0"/>
        <w:snapToGrid w:val="0"/>
        <w:spacing w:beforeAutospacing="0" w:afterAutospacing="0" w:line="360" w:lineRule="auto"/>
        <w:ind w:left="0" w:leftChars="0" w:right="0" w:rightChars="0"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特别提醒：</w:t>
      </w:r>
    </w:p>
    <w:p>
      <w:pPr>
        <w:pageBreakBefore w:val="0"/>
        <w:widowControl w:val="0"/>
        <w:kinsoku/>
        <w:wordWrap/>
        <w:overflowPunct/>
        <w:topLinePunct w:val="0"/>
        <w:bidi w:val="0"/>
        <w:adjustRightInd w:val="0"/>
        <w:snapToGrid w:val="0"/>
        <w:spacing w:beforeAutospacing="0" w:afterAutospacing="0" w:line="360" w:lineRule="auto"/>
        <w:ind w:left="0" w:leftChars="0" w:right="0" w:rightChars="0"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（1）本工程投标保证金的形式为银行汇票或保函或保险形式（并非将保证金款打入指定账户）。</w:t>
      </w:r>
    </w:p>
    <w:p>
      <w:pPr>
        <w:pageBreakBefore w:val="0"/>
        <w:widowControl w:val="0"/>
        <w:kinsoku/>
        <w:wordWrap/>
        <w:overflowPunct/>
        <w:topLinePunct w:val="0"/>
        <w:bidi w:val="0"/>
        <w:adjustRightInd w:val="0"/>
        <w:snapToGrid w:val="0"/>
        <w:spacing w:beforeAutospacing="0" w:afterAutospacing="0" w:line="360" w:lineRule="auto"/>
        <w:ind w:left="0" w:leftChars="0" w:right="0" w:rightChars="0"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（2）保证金形式，收款人、用途、汇款人、保函或保险开具对象等必须符合招标文件规定，否则其投标文件不予接收。</w:t>
      </w:r>
    </w:p>
    <w:p>
      <w:pPr>
        <w:pageBreakBefore w:val="0"/>
        <w:widowControl w:val="0"/>
        <w:kinsoku/>
        <w:wordWrap/>
        <w:overflowPunct/>
        <w:topLinePunct w:val="0"/>
        <w:bidi w:val="0"/>
        <w:adjustRightInd w:val="0"/>
        <w:snapToGrid w:val="0"/>
        <w:spacing w:beforeAutospacing="0" w:afterAutospacing="0" w:line="360" w:lineRule="auto"/>
        <w:ind w:left="0" w:leftChars="0" w:right="0" w:rightChars="0"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（3）投标保证金（银行汇票形式）必须由企业法人基本存款账户汇出，否则不予接受。</w:t>
      </w:r>
    </w:p>
    <w:p>
      <w:pPr>
        <w:pageBreakBefore w:val="0"/>
        <w:widowControl w:val="0"/>
        <w:kinsoku/>
        <w:wordWrap/>
        <w:overflowPunct/>
        <w:topLinePunct w:val="0"/>
        <w:bidi w:val="0"/>
        <w:adjustRightInd w:val="0"/>
        <w:snapToGrid w:val="0"/>
        <w:spacing w:beforeAutospacing="0" w:afterAutospacing="0" w:line="360" w:lineRule="auto"/>
        <w:ind w:left="0" w:leftChars="0" w:right="0" w:rightChars="0"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pacing w:val="0"/>
          <w:kern w:val="0"/>
          <w:position w:val="0"/>
          <w:sz w:val="21"/>
          <w:szCs w:val="21"/>
          <w:highlight w:val="none"/>
        </w:rPr>
        <w:t>（4）中标单位的投标保证金有效期在投标截止日后60天内有效，在缴纳履约保证金前，如投标保证金已失效，中标单位应主动延续投标保证金的有效期，否则招标人有权在保证金失效后取消中标人的中标资格，并自认定之日起一年内不得参与崇川区平台招标活动。</w:t>
      </w:r>
    </w:p>
    <w:p>
      <w:pPr>
        <w:pageBreakBefore w:val="0"/>
        <w:widowControl w:val="0"/>
        <w:kinsoku/>
        <w:wordWrap/>
        <w:overflowPunct/>
        <w:topLinePunct w:val="0"/>
        <w:bidi w:val="0"/>
        <w:snapToGrid w:val="0"/>
        <w:spacing w:line="360" w:lineRule="auto"/>
        <w:ind w:left="0" w:leftChars="0" w:right="0" w:rightChars="0" w:firstLine="422" w:firstLineChars="200"/>
        <w:outlineLvl w:val="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14.投标保证金退还</w:t>
      </w:r>
    </w:p>
    <w:p>
      <w:pPr>
        <w:pageBreakBefore w:val="0"/>
        <w:widowControl w:val="0"/>
        <w:kinsoku/>
        <w:wordWrap/>
        <w:overflowPunct/>
        <w:topLinePunct w:val="0"/>
        <w:bidi w:val="0"/>
        <w:snapToGrid w:val="0"/>
        <w:spacing w:line="360" w:lineRule="auto"/>
        <w:ind w:left="0" w:leftChars="0" w:right="0" w:rightChars="0" w:firstLine="422" w:firstLineChars="200"/>
        <w:outlineLvl w:val="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14.1 未中标单位的投标保证金在其定标后予以退还。</w:t>
      </w:r>
    </w:p>
    <w:p>
      <w:pPr>
        <w:pageBreakBefore w:val="0"/>
        <w:widowControl w:val="0"/>
        <w:kinsoku/>
        <w:wordWrap/>
        <w:overflowPunct/>
        <w:topLinePunct w:val="0"/>
        <w:bidi w:val="0"/>
        <w:snapToGrid w:val="0"/>
        <w:spacing w:line="360" w:lineRule="auto"/>
        <w:ind w:left="0" w:leftChars="0" w:right="0" w:rightChars="0" w:firstLine="422" w:firstLineChars="200"/>
        <w:outlineLvl w:val="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14.2 中标单位的投标保证金在施工合同生效后5日内予以退还。</w:t>
      </w:r>
    </w:p>
    <w:p>
      <w:pPr>
        <w:pageBreakBefore w:val="0"/>
        <w:widowControl w:val="0"/>
        <w:kinsoku/>
        <w:wordWrap/>
        <w:overflowPunct/>
        <w:topLinePunct w:val="0"/>
        <w:bidi w:val="0"/>
        <w:snapToGrid w:val="0"/>
        <w:spacing w:line="360" w:lineRule="auto"/>
        <w:ind w:left="0" w:leftChars="0" w:right="0" w:rightChars="0" w:firstLine="422" w:firstLineChars="200"/>
        <w:outlineLvl w:val="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14.3 投标人出现下列情况，其投标保证金一律不予退还：</w:t>
      </w:r>
    </w:p>
    <w:p>
      <w:pPr>
        <w:pageBreakBefore w:val="0"/>
        <w:widowControl w:val="0"/>
        <w:kinsoku/>
        <w:wordWrap/>
        <w:overflowPunct/>
        <w:topLinePunct w:val="0"/>
        <w:bidi w:val="0"/>
        <w:snapToGrid w:val="0"/>
        <w:spacing w:line="360" w:lineRule="auto"/>
        <w:ind w:left="0" w:leftChars="0" w:right="0" w:rightChars="0" w:firstLine="422" w:firstLineChars="200"/>
        <w:outlineLvl w:val="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14.3.1投标人在投标有效期内撤回其投标文件；</w:t>
      </w:r>
    </w:p>
    <w:p>
      <w:pPr>
        <w:pageBreakBefore w:val="0"/>
        <w:widowControl w:val="0"/>
        <w:kinsoku/>
        <w:wordWrap/>
        <w:overflowPunct/>
        <w:topLinePunct w:val="0"/>
        <w:bidi w:val="0"/>
        <w:snapToGrid w:val="0"/>
        <w:spacing w:line="360" w:lineRule="auto"/>
        <w:ind w:left="0" w:leftChars="0" w:right="0" w:rightChars="0" w:firstLine="422" w:firstLineChars="200"/>
        <w:outlineLvl w:val="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14.3.2投标人存在《江苏省房屋建筑和市政基础设施工程招标投标中串通投标和弄虚作假行为认定处理办法（试行）》（苏建规字〔2014〕2号）第四条、第五条、第六条、第七条规定的串通投标、弄虚作假等行为的；</w:t>
      </w:r>
    </w:p>
    <w:p>
      <w:pPr>
        <w:pageBreakBefore w:val="0"/>
        <w:widowControl w:val="0"/>
        <w:kinsoku/>
        <w:wordWrap/>
        <w:overflowPunct/>
        <w:topLinePunct w:val="0"/>
        <w:bidi w:val="0"/>
        <w:snapToGrid w:val="0"/>
        <w:spacing w:line="360" w:lineRule="auto"/>
        <w:ind w:left="0" w:leftChars="0" w:right="0" w:rightChars="0" w:firstLine="422" w:firstLineChars="200"/>
        <w:outlineLvl w:val="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14.3.3不同投标人的投标文件、已标价的工程量清单经清标软件分析，出现了评标委员会认为不应当雷同的情况（相同错误）的，且被评委认定为串标的。</w:t>
      </w:r>
    </w:p>
    <w:p>
      <w:pPr>
        <w:pageBreakBefore w:val="0"/>
        <w:widowControl w:val="0"/>
        <w:kinsoku/>
        <w:wordWrap/>
        <w:overflowPunct/>
        <w:topLinePunct w:val="0"/>
        <w:bidi w:val="0"/>
        <w:snapToGrid w:val="0"/>
        <w:spacing w:line="360" w:lineRule="auto"/>
        <w:ind w:left="0" w:leftChars="0" w:right="0" w:rightChars="0" w:firstLine="422" w:firstLineChars="200"/>
        <w:outlineLvl w:val="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14.3.4投标人已签订《诚信承诺书》（详见招标文件标准格式）的，自投标之日起，中标公示结束之日止，经举报或区招标监管机构（评标委员会）复核，有悖于《诚信承诺书》相关承诺的，且查证属实的。</w:t>
      </w:r>
    </w:p>
    <w:p>
      <w:pPr>
        <w:pageBreakBefore w:val="0"/>
        <w:widowControl w:val="0"/>
        <w:kinsoku/>
        <w:wordWrap/>
        <w:overflowPunct/>
        <w:topLinePunct w:val="0"/>
        <w:bidi w:val="0"/>
        <w:snapToGrid w:val="0"/>
        <w:spacing w:line="360" w:lineRule="auto"/>
        <w:ind w:left="0" w:leftChars="0" w:right="0" w:rightChars="0" w:firstLine="422" w:firstLineChars="200"/>
        <w:outlineLvl w:val="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14.4中标通知书发出后，除不可抗力情况外，中标人出现下列情形之一的，招标人必须取消其中标资格，并不予退还其投标保证金：</w:t>
      </w:r>
    </w:p>
    <w:p>
      <w:pPr>
        <w:pageBreakBefore w:val="0"/>
        <w:widowControl w:val="0"/>
        <w:kinsoku/>
        <w:wordWrap/>
        <w:overflowPunct/>
        <w:topLinePunct w:val="0"/>
        <w:bidi w:val="0"/>
        <w:snapToGrid w:val="0"/>
        <w:spacing w:line="360" w:lineRule="auto"/>
        <w:ind w:left="0" w:leftChars="0" w:right="0" w:rightChars="0" w:firstLine="422" w:firstLineChars="200"/>
        <w:outlineLvl w:val="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14.4.1放弃中标项目的；</w:t>
      </w:r>
    </w:p>
    <w:p>
      <w:pPr>
        <w:pageBreakBefore w:val="0"/>
        <w:widowControl w:val="0"/>
        <w:kinsoku/>
        <w:wordWrap/>
        <w:overflowPunct/>
        <w:topLinePunct w:val="0"/>
        <w:bidi w:val="0"/>
        <w:snapToGrid w:val="0"/>
        <w:spacing w:line="360" w:lineRule="auto"/>
        <w:ind w:left="0" w:leftChars="0" w:right="0" w:rightChars="0" w:firstLine="422" w:firstLineChars="200"/>
        <w:outlineLvl w:val="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14.4.2拒不按照招标文件的要求提交履约保证金的；</w:t>
      </w:r>
    </w:p>
    <w:p>
      <w:pPr>
        <w:pageBreakBefore w:val="0"/>
        <w:widowControl w:val="0"/>
        <w:kinsoku/>
        <w:wordWrap/>
        <w:overflowPunct/>
        <w:topLinePunct w:val="0"/>
        <w:bidi w:val="0"/>
        <w:snapToGrid w:val="0"/>
        <w:spacing w:line="360" w:lineRule="auto"/>
        <w:ind w:left="0" w:leftChars="0" w:right="0" w:rightChars="0" w:firstLine="422" w:firstLineChars="200"/>
        <w:outlineLvl w:val="3"/>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14.4.3除不可抗力情况外不执行本招标文件第一章第34条款、35条款的</w:t>
      </w:r>
      <w:r>
        <w:rPr>
          <w:rFonts w:hint="eastAsia" w:ascii="宋体" w:hAnsi="宋体" w:eastAsia="宋体" w:cs="宋体"/>
          <w:b/>
          <w:bCs/>
          <w:color w:val="auto"/>
          <w:sz w:val="21"/>
          <w:szCs w:val="21"/>
          <w:highlight w:val="none"/>
          <w:lang w:eastAsia="zh-CN"/>
        </w:rPr>
        <w:t>；</w:t>
      </w:r>
    </w:p>
    <w:p>
      <w:pPr>
        <w:pageBreakBefore w:val="0"/>
        <w:widowControl w:val="0"/>
        <w:kinsoku/>
        <w:wordWrap/>
        <w:overflowPunct/>
        <w:topLinePunct w:val="0"/>
        <w:bidi w:val="0"/>
        <w:snapToGrid w:val="0"/>
        <w:spacing w:line="360" w:lineRule="auto"/>
        <w:ind w:left="0" w:leftChars="0" w:right="0" w:rightChars="0" w:firstLine="422" w:firstLineChars="200"/>
        <w:outlineLvl w:val="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14.4.4不与招标人签订合同的，或者在签订合同时向招标人提出附加条件或者更改合同实质性内容的。</w:t>
      </w:r>
    </w:p>
    <w:p>
      <w:pPr>
        <w:pageBreakBefore w:val="0"/>
        <w:widowControl w:val="0"/>
        <w:kinsoku/>
        <w:wordWrap/>
        <w:overflowPunct/>
        <w:topLinePunct w:val="0"/>
        <w:bidi w:val="0"/>
        <w:spacing w:line="360" w:lineRule="auto"/>
        <w:ind w:left="0" w:leftChars="0" w:right="0" w:rightChars="0"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存在上述13.3—13.4行为的，招标人不退还投标保证金并上交国库，并自认定之日起一年内不得参与崇川区任何招投标活动，并在中国崇川网滚动公示直至解禁。参与投标的企业将视为遵守以上处理条款。</w:t>
      </w:r>
    </w:p>
    <w:p>
      <w:pPr>
        <w:pStyle w:val="26"/>
        <w:snapToGrid w:val="0"/>
        <w:spacing w:line="360" w:lineRule="auto"/>
        <w:outlineLvl w:val="1"/>
        <w:rPr>
          <w:b/>
          <w:color w:val="auto"/>
          <w:szCs w:val="24"/>
          <w:highlight w:val="none"/>
        </w:rPr>
      </w:pPr>
      <w:r>
        <w:rPr>
          <w:rFonts w:hAnsi="宋体"/>
          <w:b/>
          <w:color w:val="auto"/>
          <w:szCs w:val="24"/>
          <w:highlight w:val="none"/>
        </w:rPr>
        <w:t>（四）投标报价</w:t>
      </w:r>
      <w:bookmarkEnd w:id="23"/>
    </w:p>
    <w:p>
      <w:pPr>
        <w:keepNext w:val="0"/>
        <w:keepLines w:val="0"/>
        <w:pageBreakBefore w:val="0"/>
        <w:kinsoku/>
        <w:wordWrap/>
        <w:overflowPunct/>
        <w:topLinePunct w:val="0"/>
        <w:autoSpaceDE/>
        <w:autoSpaceDN/>
        <w:bidi w:val="0"/>
        <w:snapToGrid w:val="0"/>
        <w:spacing w:line="360" w:lineRule="auto"/>
        <w:ind w:righ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rPr>
        <w:t>15、</w:t>
      </w:r>
      <w:r>
        <w:rPr>
          <w:rFonts w:hint="eastAsia" w:ascii="宋体" w:hAnsi="宋体" w:eastAsia="宋体" w:cs="宋体"/>
          <w:color w:val="auto"/>
          <w:spacing w:val="-2"/>
          <w:sz w:val="21"/>
          <w:szCs w:val="21"/>
          <w:highlight w:val="none"/>
        </w:rPr>
        <w:t>投标报价应包括招标文件所确定的招标范围内相应工程内容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autoSpaceDE/>
        <w:autoSpaceDN/>
        <w:bidi w:val="0"/>
        <w:snapToGrid w:val="0"/>
        <w:spacing w:line="360" w:lineRule="auto"/>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招标文件后附的工程量清单标明的工程量清单表是投标人投标报价的共同基础。招标人提供的工程量清单，投标人应结合投标须知、投标须知前附表、合同条款、技术标准和要求与图纸一起阅读理解。</w:t>
      </w:r>
    </w:p>
    <w:p>
      <w:pPr>
        <w:keepNext w:val="0"/>
        <w:keepLines w:val="0"/>
        <w:pageBreakBefore w:val="0"/>
        <w:kinsoku/>
        <w:wordWrap/>
        <w:overflowPunct/>
        <w:topLinePunct w:val="0"/>
        <w:autoSpaceDE/>
        <w:autoSpaceDN/>
        <w:bidi w:val="0"/>
        <w:snapToGrid w:val="0"/>
        <w:spacing w:line="360" w:lineRule="auto"/>
        <w:ind w:right="0" w:firstLine="422" w:firstLineChars="200"/>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16、投标报价方式：</w:t>
      </w:r>
    </w:p>
    <w:p>
      <w:pPr>
        <w:keepNext w:val="0"/>
        <w:keepLines w:val="0"/>
        <w:pageBreakBefore w:val="0"/>
        <w:kinsoku/>
        <w:wordWrap/>
        <w:overflowPunct/>
        <w:topLinePunct w:val="0"/>
        <w:autoSpaceDE/>
        <w:autoSpaceDN/>
        <w:bidi w:val="0"/>
        <w:snapToGrid w:val="0"/>
        <w:spacing w:line="360" w:lineRule="auto"/>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16.1本工程项目采用</w:t>
      </w:r>
      <w:r>
        <w:rPr>
          <w:rFonts w:hint="eastAsia" w:ascii="宋体" w:hAnsi="宋体" w:eastAsia="宋体" w:cs="宋体"/>
          <w:b/>
          <w:color w:val="auto"/>
          <w:sz w:val="21"/>
          <w:szCs w:val="21"/>
          <w:highlight w:val="none"/>
          <w:u w:val="single"/>
        </w:rPr>
        <w:t>固定</w:t>
      </w:r>
      <w:r>
        <w:rPr>
          <w:rFonts w:hint="eastAsia" w:ascii="宋体" w:hAnsi="宋体" w:eastAsia="宋体" w:cs="宋体"/>
          <w:b/>
          <w:color w:val="auto"/>
          <w:sz w:val="21"/>
          <w:szCs w:val="21"/>
          <w:highlight w:val="none"/>
          <w:u w:val="single"/>
          <w:lang w:eastAsia="zh-CN"/>
        </w:rPr>
        <w:t>下浮率</w:t>
      </w:r>
      <w:r>
        <w:rPr>
          <w:rFonts w:hint="eastAsia" w:ascii="宋体" w:hAnsi="宋体" w:eastAsia="宋体" w:cs="宋体"/>
          <w:b/>
          <w:color w:val="auto"/>
          <w:sz w:val="21"/>
          <w:szCs w:val="21"/>
          <w:highlight w:val="none"/>
          <w:u w:val="single"/>
        </w:rPr>
        <w:t>报价</w:t>
      </w:r>
      <w:r>
        <w:rPr>
          <w:rFonts w:hint="eastAsia" w:ascii="宋体" w:hAnsi="宋体" w:eastAsia="宋体" w:cs="宋体"/>
          <w:color w:val="auto"/>
          <w:sz w:val="21"/>
          <w:szCs w:val="21"/>
          <w:highlight w:val="none"/>
        </w:rPr>
        <w:t>方式。投标人报价时应充分考虑施工期间各类建材及人工工资调整的市场风险。工程量、价的风险均由承包人承担。</w:t>
      </w:r>
    </w:p>
    <w:p>
      <w:pPr>
        <w:keepNext w:val="0"/>
        <w:keepLines w:val="0"/>
        <w:pageBreakBefore w:val="0"/>
        <w:widowControl/>
        <w:kinsoku/>
        <w:wordWrap/>
        <w:overflowPunct/>
        <w:topLinePunct w:val="0"/>
        <w:autoSpaceDE/>
        <w:autoSpaceDN/>
        <w:bidi w:val="0"/>
        <w:snapToGrid w:val="0"/>
        <w:spacing w:line="360" w:lineRule="auto"/>
        <w:ind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16.2除合同中另有规定的内容可调整外，其余不可调整。</w:t>
      </w:r>
    </w:p>
    <w:p>
      <w:pPr>
        <w:keepNext w:val="0"/>
        <w:keepLines w:val="0"/>
        <w:pageBreakBefore w:val="0"/>
        <w:kinsoku/>
        <w:wordWrap/>
        <w:overflowPunct/>
        <w:topLinePunct w:val="0"/>
        <w:autoSpaceDE/>
        <w:autoSpaceDN/>
        <w:bidi w:val="0"/>
        <w:snapToGrid w:val="0"/>
        <w:spacing w:line="360" w:lineRule="auto"/>
        <w:ind w:right="0" w:firstLine="422" w:firstLineChars="200"/>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17、投标报价的计价方法</w:t>
      </w:r>
    </w:p>
    <w:p>
      <w:pPr>
        <w:keepNext w:val="0"/>
        <w:keepLines w:val="0"/>
        <w:pageBreakBefore w:val="0"/>
        <w:widowControl/>
        <w:kinsoku/>
        <w:wordWrap/>
        <w:overflowPunct/>
        <w:topLinePunct w:val="0"/>
        <w:autoSpaceDE/>
        <w:autoSpaceDN/>
        <w:bidi w:val="0"/>
        <w:snapToGrid w:val="0"/>
        <w:spacing w:line="360" w:lineRule="auto"/>
        <w:ind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由投标人根据现场实际情况、招标文件要求，并结合自身经验自行报价方式。</w:t>
      </w:r>
    </w:p>
    <w:p>
      <w:pPr>
        <w:keepNext w:val="0"/>
        <w:keepLines w:val="0"/>
        <w:pageBreakBefore w:val="0"/>
        <w:kinsoku/>
        <w:wordWrap/>
        <w:overflowPunct/>
        <w:topLinePunct w:val="0"/>
        <w:autoSpaceDE/>
        <w:autoSpaceDN/>
        <w:bidi w:val="0"/>
        <w:snapToGrid w:val="0"/>
        <w:spacing w:line="360" w:lineRule="auto"/>
        <w:ind w:right="0" w:firstLine="422" w:firstLineChars="200"/>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18．招标控制价</w:t>
      </w:r>
    </w:p>
    <w:p>
      <w:pPr>
        <w:keepNext w:val="0"/>
        <w:keepLines w:val="0"/>
        <w:pageBreakBefore w:val="0"/>
        <w:kinsoku/>
        <w:wordWrap/>
        <w:overflowPunct/>
        <w:topLinePunct w:val="0"/>
        <w:autoSpaceDE/>
        <w:autoSpaceDN/>
        <w:bidi w:val="0"/>
        <w:snapToGrid w:val="0"/>
        <w:spacing w:line="360" w:lineRule="auto"/>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w:t>
      </w:r>
      <w:r>
        <w:rPr>
          <w:rFonts w:hint="eastAsia" w:ascii="宋体" w:hAnsi="宋体" w:eastAsia="宋体" w:cs="宋体"/>
          <w:color w:val="auto"/>
          <w:sz w:val="21"/>
          <w:szCs w:val="21"/>
          <w:highlight w:val="none"/>
        </w:rPr>
        <w:t>投标人的投标报价</w:t>
      </w:r>
      <w:r>
        <w:rPr>
          <w:rFonts w:hint="eastAsia" w:ascii="宋体" w:hAnsi="宋体" w:cs="宋体"/>
          <w:color w:val="auto"/>
          <w:sz w:val="21"/>
          <w:szCs w:val="21"/>
          <w:highlight w:val="none"/>
          <w:lang w:val="en-US" w:eastAsia="zh-CN"/>
        </w:rPr>
        <w:t>低于</w:t>
      </w:r>
      <w:r>
        <w:rPr>
          <w:rFonts w:hint="eastAsia" w:ascii="宋体" w:hAnsi="宋体" w:eastAsia="宋体" w:cs="宋体"/>
          <w:color w:val="auto"/>
          <w:sz w:val="21"/>
          <w:szCs w:val="21"/>
          <w:highlight w:val="none"/>
        </w:rPr>
        <w:t>招标控制价的，</w:t>
      </w:r>
      <w:r>
        <w:rPr>
          <w:rFonts w:hint="eastAsia" w:ascii="宋体" w:hAnsi="宋体" w:eastAsia="宋体" w:cs="宋体"/>
          <w:color w:val="auto"/>
          <w:sz w:val="21"/>
          <w:szCs w:val="21"/>
          <w:highlight w:val="none"/>
        </w:rPr>
        <w:t>招标人应予拒绝。</w:t>
      </w:r>
    </w:p>
    <w:p>
      <w:pPr>
        <w:keepNext w:val="0"/>
        <w:keepLines w:val="0"/>
        <w:pageBreakBefore w:val="0"/>
        <w:numPr>
          <w:ilvl w:val="0"/>
          <w:numId w:val="3"/>
        </w:numPr>
        <w:kinsoku/>
        <w:wordWrap/>
        <w:overflowPunct/>
        <w:topLinePunct w:val="0"/>
        <w:autoSpaceDE/>
        <w:autoSpaceDN/>
        <w:bidi w:val="0"/>
        <w:snapToGrid w:val="0"/>
        <w:spacing w:line="360" w:lineRule="auto"/>
        <w:ind w:right="0"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投标报价编制要求</w:t>
      </w:r>
    </w:p>
    <w:p>
      <w:pPr>
        <w:pStyle w:val="20"/>
        <w:keepNext w:val="0"/>
        <w:keepLines w:val="0"/>
        <w:pageBreakBefore w:val="0"/>
        <w:numPr>
          <w:ilvl w:val="0"/>
          <w:numId w:val="0"/>
        </w:numPr>
        <w:kinsoku/>
        <w:wordWrap/>
        <w:overflowPunct/>
        <w:topLinePunct w:val="0"/>
        <w:autoSpaceDE/>
        <w:autoSpaceDN/>
        <w:bidi w:val="0"/>
        <w:spacing w:after="0" w:line="360" w:lineRule="auto"/>
        <w:ind w:right="0"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本工程采用下浮率招标，</w:t>
      </w:r>
      <w:r>
        <w:rPr>
          <w:rFonts w:hint="eastAsia" w:ascii="宋体" w:hAnsi="宋体" w:eastAsia="宋体" w:cs="宋体"/>
          <w:b/>
          <w:bCs/>
          <w:color w:val="auto"/>
          <w:sz w:val="21"/>
          <w:szCs w:val="21"/>
          <w:highlight w:val="none"/>
          <w:lang w:eastAsia="zh-CN"/>
        </w:rPr>
        <w:t>且至多保留2位小数</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如投标人投标报价为</w:t>
      </w:r>
      <w:r>
        <w:rPr>
          <w:rFonts w:hint="eastAsia" w:ascii="宋体" w:hAnsi="宋体" w:eastAsia="宋体" w:cs="宋体"/>
          <w:b/>
          <w:bCs/>
          <w:color w:val="auto"/>
          <w:sz w:val="21"/>
          <w:szCs w:val="21"/>
          <w:highlight w:val="none"/>
          <w:lang w:val="en-US" w:eastAsia="zh-CN"/>
        </w:rPr>
        <w:t>7.678%，则按四舍五入法调整为7.68%。</w:t>
      </w:r>
    </w:p>
    <w:p>
      <w:pPr>
        <w:pStyle w:val="31"/>
        <w:keepNext w:val="0"/>
        <w:keepLines w:val="0"/>
        <w:pageBreakBefore w:val="0"/>
        <w:kinsoku/>
        <w:wordWrap/>
        <w:overflowPunct/>
        <w:topLinePunct w:val="0"/>
        <w:autoSpaceDE/>
        <w:autoSpaceDN/>
        <w:bidi w:val="0"/>
        <w:snapToGrid w:val="0"/>
        <w:spacing w:line="360" w:lineRule="auto"/>
        <w:ind w:right="0" w:firstLine="422"/>
        <w:textAlignment w:val="auto"/>
        <w:rPr>
          <w:rFonts w:hint="eastAsia" w:ascii="宋体" w:hAnsi="宋体" w:eastAsia="宋体" w:cs="宋体"/>
          <w:b/>
          <w:bCs/>
          <w:color w:val="auto"/>
          <w:kern w:val="2"/>
          <w:sz w:val="21"/>
          <w:szCs w:val="21"/>
          <w:highlight w:val="none"/>
        </w:rPr>
      </w:pPr>
      <w:r>
        <w:rPr>
          <w:rFonts w:hint="eastAsia" w:ascii="宋体" w:hAnsi="宋体" w:eastAsia="宋体" w:cs="宋体"/>
          <w:b/>
          <w:bCs/>
          <w:color w:val="auto"/>
          <w:kern w:val="2"/>
          <w:sz w:val="21"/>
          <w:szCs w:val="21"/>
          <w:highlight w:val="none"/>
        </w:rPr>
        <w:t>19.1投标人报价时应充分考虑完成该项目所需的费用，投标报价中应包含文件中所确定的招标范围内三网融合通信及信号覆盖的全部内容，投标报价（以人民币计价）应包含设计费、设计方案报审、设备费、产品材料费、加工制作费、包装费、运输到指定地点的装运费用（含装卸力资）、二次搬运、相关辅助材料费、安装调试、管线穿越建筑物、构造物墙体开洞及封堵费用、管线穿越地下建筑、构筑障碍物的破损，清除费用、成品保护费、检测费、技术支持与培训、协调费用、验收费用（取得南通市通信行业协会颁发的验收证书）、信号开通、税费、售后服务与免费维保及相关劳务支出等工作所发生的全部费用以及企业利润、税金和政策性文件规定及合同包含的所有风险、责任等各项应有费用。即招标物交付使用前的所有费用以及质保期内的服务费用等所有费用。</w:t>
      </w:r>
    </w:p>
    <w:p>
      <w:pPr>
        <w:pStyle w:val="31"/>
        <w:keepNext w:val="0"/>
        <w:keepLines w:val="0"/>
        <w:pageBreakBefore w:val="0"/>
        <w:kinsoku/>
        <w:wordWrap/>
        <w:overflowPunct/>
        <w:topLinePunct w:val="0"/>
        <w:autoSpaceDE/>
        <w:autoSpaceDN/>
        <w:bidi w:val="0"/>
        <w:snapToGrid w:val="0"/>
        <w:spacing w:line="360" w:lineRule="auto"/>
        <w:ind w:right="0" w:firstLine="422"/>
        <w:textAlignment w:val="auto"/>
        <w:rPr>
          <w:rFonts w:hint="eastAsia" w:ascii="宋体" w:hAnsi="宋体" w:eastAsia="宋体" w:cs="宋体"/>
          <w:b/>
          <w:bCs/>
          <w:color w:val="auto"/>
          <w:kern w:val="2"/>
          <w:sz w:val="21"/>
          <w:szCs w:val="21"/>
          <w:highlight w:val="none"/>
        </w:rPr>
      </w:pPr>
      <w:r>
        <w:rPr>
          <w:rFonts w:hint="eastAsia" w:ascii="宋体" w:hAnsi="宋体" w:eastAsia="宋体" w:cs="宋体"/>
          <w:b/>
          <w:bCs/>
          <w:color w:val="auto"/>
          <w:kern w:val="2"/>
          <w:sz w:val="21"/>
          <w:szCs w:val="21"/>
          <w:highlight w:val="none"/>
        </w:rPr>
        <w:t>19.2投标人报价时应充分考虑施工期间政策性调整、各类建材、人工、机械的市场风险、施工过程中的临时安全设施、交通维护等费用、施工过程中出现的非人力不可抗拒灾害所造成的损失及预防自然灾害所采取的费用、及其他原因导致的工期延误所造成的其他所有风险，还有项目实施范围内外可能出现的阻挠施工等各方面的风险因素。</w:t>
      </w:r>
    </w:p>
    <w:p>
      <w:pPr>
        <w:pStyle w:val="31"/>
        <w:keepNext w:val="0"/>
        <w:keepLines w:val="0"/>
        <w:pageBreakBefore w:val="0"/>
        <w:kinsoku/>
        <w:wordWrap/>
        <w:overflowPunct/>
        <w:topLinePunct w:val="0"/>
        <w:autoSpaceDE/>
        <w:autoSpaceDN/>
        <w:bidi w:val="0"/>
        <w:snapToGrid w:val="0"/>
        <w:spacing w:line="360" w:lineRule="auto"/>
        <w:ind w:right="0" w:firstLine="422"/>
        <w:textAlignment w:val="auto"/>
        <w:rPr>
          <w:rFonts w:hint="eastAsia" w:ascii="宋体" w:hAnsi="宋体" w:eastAsia="宋体" w:cs="宋体"/>
          <w:b/>
          <w:bCs/>
          <w:color w:val="auto"/>
          <w:kern w:val="2"/>
          <w:sz w:val="21"/>
          <w:szCs w:val="21"/>
          <w:highlight w:val="none"/>
        </w:rPr>
      </w:pPr>
      <w:r>
        <w:rPr>
          <w:rFonts w:hint="eastAsia" w:ascii="宋体" w:hAnsi="宋体" w:eastAsia="宋体" w:cs="宋体"/>
          <w:b/>
          <w:bCs/>
          <w:color w:val="auto"/>
          <w:kern w:val="2"/>
          <w:sz w:val="21"/>
          <w:szCs w:val="21"/>
          <w:highlight w:val="none"/>
        </w:rPr>
        <w:t>19.3投标人投标时应充分考虑自身实力、市场风险等因素，合理报价。报价一经确认，总价不做调整。</w:t>
      </w:r>
    </w:p>
    <w:p>
      <w:pPr>
        <w:pStyle w:val="31"/>
        <w:keepNext w:val="0"/>
        <w:keepLines w:val="0"/>
        <w:pageBreakBefore w:val="0"/>
        <w:kinsoku/>
        <w:wordWrap/>
        <w:overflowPunct/>
        <w:topLinePunct w:val="0"/>
        <w:autoSpaceDE/>
        <w:autoSpaceDN/>
        <w:bidi w:val="0"/>
        <w:snapToGrid w:val="0"/>
        <w:spacing w:line="360" w:lineRule="auto"/>
        <w:ind w:right="0" w:firstLine="422"/>
        <w:textAlignment w:val="auto"/>
        <w:rPr>
          <w:rFonts w:hint="eastAsia" w:ascii="宋体" w:hAnsi="宋体" w:eastAsia="宋体" w:cs="宋体"/>
          <w:b/>
          <w:bCs/>
          <w:color w:val="auto"/>
          <w:kern w:val="2"/>
          <w:sz w:val="21"/>
          <w:szCs w:val="21"/>
          <w:highlight w:val="none"/>
        </w:rPr>
      </w:pPr>
      <w:r>
        <w:rPr>
          <w:rFonts w:hint="eastAsia" w:ascii="宋体" w:hAnsi="宋体" w:eastAsia="宋体" w:cs="宋体"/>
          <w:b/>
          <w:bCs/>
          <w:color w:val="auto"/>
          <w:kern w:val="2"/>
          <w:sz w:val="21"/>
          <w:szCs w:val="21"/>
          <w:highlight w:val="none"/>
        </w:rPr>
        <w:t>19.4中标人必须按标准化工地要求，做好场地清理及相关工作，清理标准必须达到招标人要求。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投标报价中。</w:t>
      </w:r>
    </w:p>
    <w:p>
      <w:pPr>
        <w:pStyle w:val="31"/>
        <w:keepNext w:val="0"/>
        <w:keepLines w:val="0"/>
        <w:pageBreakBefore w:val="0"/>
        <w:kinsoku/>
        <w:wordWrap/>
        <w:overflowPunct/>
        <w:topLinePunct w:val="0"/>
        <w:autoSpaceDE/>
        <w:autoSpaceDN/>
        <w:bidi w:val="0"/>
        <w:snapToGrid w:val="0"/>
        <w:spacing w:line="360" w:lineRule="auto"/>
        <w:ind w:right="0" w:firstLine="422"/>
        <w:textAlignment w:val="auto"/>
        <w:rPr>
          <w:rFonts w:hint="eastAsia" w:ascii="宋体" w:hAnsi="宋体" w:eastAsia="宋体" w:cs="宋体"/>
          <w:b/>
          <w:bCs/>
          <w:color w:val="auto"/>
          <w:kern w:val="2"/>
          <w:sz w:val="21"/>
          <w:szCs w:val="21"/>
          <w:highlight w:val="none"/>
        </w:rPr>
      </w:pPr>
      <w:r>
        <w:rPr>
          <w:rFonts w:hint="eastAsia" w:ascii="宋体" w:hAnsi="宋体" w:eastAsia="宋体" w:cs="宋体"/>
          <w:b/>
          <w:bCs/>
          <w:color w:val="auto"/>
          <w:kern w:val="2"/>
          <w:sz w:val="21"/>
          <w:szCs w:val="21"/>
          <w:highlight w:val="none"/>
        </w:rPr>
        <w:t>19.5中标人应接受招标人的现场管理，并做好安全文明施工管理、质量管理、进度管理、签证管理、信息管理、现场协调、现场材料合理布置和看管、消防工作、进场人员的安全技术交底工作并做好民工工资发放检查工作、成品保护、工程资料填写与报验、工序质量验收等工作。</w:t>
      </w:r>
    </w:p>
    <w:p>
      <w:pPr>
        <w:pStyle w:val="31"/>
        <w:keepNext w:val="0"/>
        <w:keepLines w:val="0"/>
        <w:pageBreakBefore w:val="0"/>
        <w:kinsoku/>
        <w:wordWrap/>
        <w:overflowPunct/>
        <w:topLinePunct w:val="0"/>
        <w:autoSpaceDE/>
        <w:autoSpaceDN/>
        <w:bidi w:val="0"/>
        <w:snapToGrid w:val="0"/>
        <w:spacing w:line="360" w:lineRule="auto"/>
        <w:ind w:right="0" w:firstLine="422"/>
        <w:textAlignment w:val="auto"/>
        <w:rPr>
          <w:rFonts w:hint="eastAsia" w:ascii="宋体" w:hAnsi="宋体" w:eastAsia="宋体" w:cs="宋体"/>
          <w:b/>
          <w:bCs/>
          <w:color w:val="auto"/>
          <w:kern w:val="2"/>
          <w:sz w:val="21"/>
          <w:szCs w:val="21"/>
          <w:highlight w:val="none"/>
        </w:rPr>
      </w:pPr>
      <w:r>
        <w:rPr>
          <w:rFonts w:hint="eastAsia" w:ascii="宋体" w:hAnsi="宋体" w:eastAsia="宋体" w:cs="宋体"/>
          <w:b/>
          <w:bCs/>
          <w:color w:val="auto"/>
          <w:kern w:val="2"/>
          <w:sz w:val="21"/>
          <w:szCs w:val="21"/>
          <w:highlight w:val="none"/>
        </w:rPr>
        <w:t>19.6与施工总承包单位、其他专业单位等承包商间的协调、配合、通信关系，由中标人自行解决，确保各分项工程满足设计图纸、验收规范等要求，发生的费用由投标人自行承担，并相互做好成品保护工作，并无条件接受施工总承包单位的总包管理,招标人不再另行支付任何涉及工序交叉影响的费用。</w:t>
      </w:r>
    </w:p>
    <w:p>
      <w:pPr>
        <w:pStyle w:val="31"/>
        <w:keepNext w:val="0"/>
        <w:keepLines w:val="0"/>
        <w:pageBreakBefore w:val="0"/>
        <w:kinsoku/>
        <w:wordWrap/>
        <w:overflowPunct/>
        <w:topLinePunct w:val="0"/>
        <w:autoSpaceDE/>
        <w:autoSpaceDN/>
        <w:bidi w:val="0"/>
        <w:snapToGrid w:val="0"/>
        <w:spacing w:line="360" w:lineRule="auto"/>
        <w:ind w:right="0" w:firstLine="422"/>
        <w:textAlignment w:val="auto"/>
        <w:rPr>
          <w:rFonts w:hint="eastAsia" w:ascii="宋体" w:hAnsi="宋体" w:eastAsia="宋体" w:cs="宋体"/>
          <w:b/>
          <w:bCs/>
          <w:color w:val="auto"/>
          <w:kern w:val="2"/>
          <w:sz w:val="21"/>
          <w:szCs w:val="21"/>
          <w:highlight w:val="none"/>
        </w:rPr>
      </w:pPr>
      <w:r>
        <w:rPr>
          <w:rFonts w:hint="eastAsia" w:ascii="宋体" w:hAnsi="宋体" w:eastAsia="宋体" w:cs="宋体"/>
          <w:b/>
          <w:bCs/>
          <w:color w:val="auto"/>
          <w:kern w:val="2"/>
          <w:sz w:val="21"/>
          <w:szCs w:val="21"/>
          <w:highlight w:val="none"/>
        </w:rPr>
        <w:t>19.7 对招标人的操作人员、维护人员等进行免费培训。</w:t>
      </w:r>
    </w:p>
    <w:p>
      <w:pPr>
        <w:keepNext w:val="0"/>
        <w:keepLines w:val="0"/>
        <w:pageBreakBefore w:val="0"/>
        <w:kinsoku/>
        <w:wordWrap/>
        <w:overflowPunct/>
        <w:topLinePunct w:val="0"/>
        <w:autoSpaceDE/>
        <w:autoSpaceDN/>
        <w:bidi w:val="0"/>
        <w:snapToGrid w:val="0"/>
        <w:spacing w:line="360" w:lineRule="auto"/>
        <w:ind w:right="0" w:firstLine="422" w:firstLineChars="200"/>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sz w:val="21"/>
          <w:szCs w:val="21"/>
          <w:highlight w:val="none"/>
        </w:rPr>
        <w:t>19.8 因为施工、验收需要做的所有内容，以及与</w:t>
      </w:r>
      <w:r>
        <w:rPr>
          <w:rFonts w:hint="eastAsia" w:ascii="宋体" w:hAnsi="宋体" w:eastAsia="宋体" w:cs="宋体"/>
          <w:b/>
          <w:bCs/>
          <w:color w:val="auto"/>
          <w:kern w:val="0"/>
          <w:sz w:val="21"/>
          <w:szCs w:val="21"/>
          <w:highlight w:val="none"/>
        </w:rPr>
        <w:t>其他承包商间的协调、配合、通信关系，由中标人自行解决，确保各分项工程满足设计图纸、验收规范等要求，发生的费用由中标人自行承担，并相互做好成品保护工作，并无条件接受招标人的管理，中标人应确保各分项工程满足设计图纸、验收规范等要求，减少工序交叉施工的影响，并做好成品保护工作，招标人不再另行支付任何涉及工序交叉影响的费用。</w:t>
      </w:r>
    </w:p>
    <w:p>
      <w:pPr>
        <w:keepNext w:val="0"/>
        <w:keepLines w:val="0"/>
        <w:pageBreakBefore w:val="0"/>
        <w:kinsoku/>
        <w:wordWrap/>
        <w:overflowPunct/>
        <w:topLinePunct w:val="0"/>
        <w:autoSpaceDE/>
        <w:autoSpaceDN/>
        <w:bidi w:val="0"/>
        <w:adjustRightInd w:val="0"/>
        <w:snapToGrid w:val="0"/>
        <w:spacing w:line="360" w:lineRule="auto"/>
        <w:ind w:right="0"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19.9 投标报价中应包括招标文件未明确列出但按常规应当包括的所有费用。</w:t>
      </w:r>
    </w:p>
    <w:p>
      <w:pPr>
        <w:keepNext w:val="0"/>
        <w:keepLines w:val="0"/>
        <w:pageBreakBefore w:val="0"/>
        <w:kinsoku/>
        <w:wordWrap/>
        <w:overflowPunct/>
        <w:topLinePunct w:val="0"/>
        <w:autoSpaceDE/>
        <w:autoSpaceDN/>
        <w:bidi w:val="0"/>
        <w:snapToGrid w:val="0"/>
        <w:spacing w:line="360" w:lineRule="auto"/>
        <w:ind w:right="0"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19.10 本工程施工期间涉及环保、消防、城市卫生、市政、居委会、派出所等相关部门收取的费用，以及夜间文明施工、保护周边地下管线和架空线的安全的费用等，投标人均应综合考虑在投标报价中，竣工结算时一律不作调整。</w:t>
      </w:r>
    </w:p>
    <w:p>
      <w:pPr>
        <w:keepNext w:val="0"/>
        <w:keepLines w:val="0"/>
        <w:pageBreakBefore w:val="0"/>
        <w:kinsoku/>
        <w:wordWrap/>
        <w:overflowPunct/>
        <w:topLinePunct w:val="0"/>
        <w:autoSpaceDE/>
        <w:autoSpaceDN/>
        <w:bidi w:val="0"/>
        <w:snapToGrid w:val="0"/>
        <w:spacing w:line="360" w:lineRule="auto"/>
        <w:ind w:right="0"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19.11</w:t>
      </w:r>
      <w:r>
        <w:rPr>
          <w:rFonts w:hint="eastAsia" w:ascii="宋体" w:hAnsi="宋体" w:eastAsia="宋体" w:cs="宋体"/>
          <w:b/>
          <w:color w:val="auto"/>
          <w:sz w:val="21"/>
          <w:szCs w:val="21"/>
          <w:highlight w:val="none"/>
        </w:rPr>
        <w:t xml:space="preserve"> 各投标人必须认真仔细踏勘施工现场并根据现场情况及本工程特点，并在投标报价时综合考虑赶工费、按质论价费、二次搬运费、特殊条件下施工增加费、冬雨季施工增加费、夜间施工增加费、临时设施费、已完工程及设备保护费等该类措施项目费由各投标人自行报价，一次性包定，结算时一律不作调整。如有已完工程及设备损坏，应按照不低于原设计标准恢复，费用列入报价。</w:t>
      </w:r>
    </w:p>
    <w:p>
      <w:pPr>
        <w:keepNext w:val="0"/>
        <w:keepLines w:val="0"/>
        <w:pageBreakBefore w:val="0"/>
        <w:kinsoku/>
        <w:wordWrap/>
        <w:overflowPunct/>
        <w:topLinePunct w:val="0"/>
        <w:autoSpaceDE/>
        <w:autoSpaceDN/>
        <w:bidi w:val="0"/>
        <w:snapToGrid w:val="0"/>
        <w:spacing w:line="360" w:lineRule="auto"/>
        <w:ind w:right="0"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19.12 </w:t>
      </w:r>
      <w:r>
        <w:rPr>
          <w:rFonts w:hint="eastAsia" w:ascii="宋体" w:hAnsi="宋体" w:eastAsia="宋体" w:cs="宋体"/>
          <w:b/>
          <w:bCs/>
          <w:color w:val="auto"/>
          <w:kern w:val="0"/>
          <w:sz w:val="21"/>
          <w:szCs w:val="21"/>
          <w:highlight w:val="none"/>
        </w:rPr>
        <w:t>投标人在施工期间应根据南通市人民政府办公室文件通政办法［2019］58 号文《关于开展南通市区施工扬尘专治整理的实施意见》中的相关要求，强化施工扬尘治理责任，严格根据工地扬尘防治标准执行，费用在投标报价时综合考虑。</w:t>
      </w:r>
    </w:p>
    <w:p>
      <w:pPr>
        <w:keepNext w:val="0"/>
        <w:keepLines w:val="0"/>
        <w:pageBreakBefore w:val="0"/>
        <w:kinsoku/>
        <w:wordWrap/>
        <w:overflowPunct/>
        <w:topLinePunct w:val="0"/>
        <w:autoSpaceDE/>
        <w:autoSpaceDN/>
        <w:bidi w:val="0"/>
        <w:snapToGrid w:val="0"/>
        <w:spacing w:line="360" w:lineRule="auto"/>
        <w:ind w:right="0" w:firstLine="422" w:firstLineChars="200"/>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color w:val="auto"/>
          <w:sz w:val="21"/>
          <w:szCs w:val="21"/>
          <w:highlight w:val="none"/>
        </w:rPr>
        <w:t xml:space="preserve">19.13 </w:t>
      </w:r>
      <w:r>
        <w:rPr>
          <w:rFonts w:hint="eastAsia" w:ascii="宋体" w:hAnsi="宋体" w:eastAsia="宋体" w:cs="宋体"/>
          <w:b/>
          <w:bCs/>
          <w:color w:val="auto"/>
          <w:kern w:val="0"/>
          <w:sz w:val="21"/>
          <w:szCs w:val="21"/>
          <w:highlight w:val="none"/>
        </w:rPr>
        <w:t>投标单位在投标报价时应充分考虑施工过程中对原有建筑工程结构、饰面及绿化、铺装等、公共设施等进行有效的保护，不得野蛮施工，若造成破损及损坏部分按原标准进行修复，使其恢复原样，所涉及的各项费用综合考虑在投标报价中，结算时不再另行支付其费用。如中标人不能及时按招标人要求恢复，招标人有权委托其他单位实施，相关费用从中标人结算价中予以扣除。</w:t>
      </w:r>
    </w:p>
    <w:p>
      <w:pPr>
        <w:keepNext w:val="0"/>
        <w:keepLines w:val="0"/>
        <w:pageBreakBefore w:val="0"/>
        <w:kinsoku/>
        <w:wordWrap/>
        <w:overflowPunct/>
        <w:topLinePunct w:val="0"/>
        <w:autoSpaceDE/>
        <w:autoSpaceDN/>
        <w:bidi w:val="0"/>
        <w:snapToGrid w:val="0"/>
        <w:spacing w:line="360" w:lineRule="auto"/>
        <w:ind w:right="0"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bCs/>
          <w:color w:val="auto"/>
          <w:kern w:val="0"/>
          <w:sz w:val="21"/>
          <w:szCs w:val="21"/>
          <w:highlight w:val="none"/>
        </w:rPr>
        <w:t>19.14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keepNext w:val="0"/>
        <w:keepLines w:val="0"/>
        <w:pageBreakBefore w:val="0"/>
        <w:kinsoku/>
        <w:wordWrap/>
        <w:overflowPunct/>
        <w:topLinePunct w:val="0"/>
        <w:autoSpaceDE/>
        <w:autoSpaceDN/>
        <w:bidi w:val="0"/>
        <w:snapToGrid w:val="0"/>
        <w:spacing w:line="360" w:lineRule="auto"/>
        <w:ind w:right="0" w:firstLine="422" w:firstLineChars="200"/>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color w:val="auto"/>
          <w:sz w:val="21"/>
          <w:szCs w:val="21"/>
          <w:highlight w:val="none"/>
        </w:rPr>
        <w:t xml:space="preserve">19.15 </w:t>
      </w:r>
      <w:r>
        <w:rPr>
          <w:rFonts w:hint="eastAsia" w:ascii="宋体" w:hAnsi="宋体" w:eastAsia="宋体" w:cs="宋体"/>
          <w:b/>
          <w:bCs/>
          <w:color w:val="auto"/>
          <w:kern w:val="0"/>
          <w:sz w:val="21"/>
          <w:szCs w:val="21"/>
          <w:highlight w:val="none"/>
        </w:rPr>
        <w:t>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使用不符合标准、规格、质量和品牌要求（包括建设单位供应材料由于承包人验收把关不严）的工程材料承包人无条件更换和返工，并按照不合格材料购进总额的 30%向发包人支付违约金。 如购进的材料设备与提供的样品不一致时，由承包人无条件退货，造成的损失由承包人负责。</w:t>
      </w:r>
    </w:p>
    <w:p>
      <w:pPr>
        <w:keepNext w:val="0"/>
        <w:keepLines w:val="0"/>
        <w:pageBreakBefore w:val="0"/>
        <w:kinsoku/>
        <w:wordWrap/>
        <w:overflowPunct/>
        <w:topLinePunct w:val="0"/>
        <w:autoSpaceDE/>
        <w:autoSpaceDN/>
        <w:bidi w:val="0"/>
        <w:snapToGrid w:val="0"/>
        <w:spacing w:line="360" w:lineRule="auto"/>
        <w:ind w:right="0"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19.16 </w:t>
      </w:r>
      <w:r>
        <w:rPr>
          <w:rFonts w:hint="eastAsia" w:ascii="宋体" w:hAnsi="宋体" w:eastAsia="宋体" w:cs="宋体"/>
          <w:b/>
          <w:bCs/>
          <w:color w:val="auto"/>
          <w:kern w:val="0"/>
          <w:sz w:val="21"/>
          <w:szCs w:val="21"/>
          <w:highlight w:val="none"/>
        </w:rPr>
        <w:t>因施工场地狭小、周边老旧建筑保护等发生的一切费用由各投标人自行考虑，所有费用包含在投标报价中，竣工结算时一律不作调整。</w:t>
      </w:r>
    </w:p>
    <w:p>
      <w:pPr>
        <w:keepNext w:val="0"/>
        <w:keepLines w:val="0"/>
        <w:pageBreakBefore w:val="0"/>
        <w:kinsoku/>
        <w:wordWrap/>
        <w:overflowPunct/>
        <w:topLinePunct w:val="0"/>
        <w:autoSpaceDE/>
        <w:autoSpaceDN/>
        <w:bidi w:val="0"/>
        <w:snapToGrid w:val="0"/>
        <w:spacing w:line="360" w:lineRule="auto"/>
        <w:ind w:right="0"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19.17 </w:t>
      </w:r>
      <w:r>
        <w:rPr>
          <w:rFonts w:hint="eastAsia" w:ascii="宋体" w:hAnsi="宋体" w:eastAsia="宋体" w:cs="宋体"/>
          <w:b/>
          <w:bCs/>
          <w:color w:val="auto"/>
          <w:kern w:val="0"/>
          <w:sz w:val="21"/>
          <w:szCs w:val="21"/>
          <w:highlight w:val="none"/>
        </w:rPr>
        <w:t>投标单位应充分了解工地位置、环境、道路、储存空间、装卸条件及任何其他足以影响承包价的情况。任何忽视、猜测或误解工地情况而导致的成本增加或工期延长等申请一律不予认可。</w:t>
      </w:r>
    </w:p>
    <w:p>
      <w:pPr>
        <w:keepNext w:val="0"/>
        <w:keepLines w:val="0"/>
        <w:pageBreakBefore w:val="0"/>
        <w:kinsoku/>
        <w:wordWrap/>
        <w:overflowPunct/>
        <w:topLinePunct w:val="0"/>
        <w:autoSpaceDE/>
        <w:autoSpaceDN/>
        <w:bidi w:val="0"/>
        <w:snapToGrid w:val="0"/>
        <w:spacing w:line="360" w:lineRule="auto"/>
        <w:ind w:right="0"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19.18 投标人应充分考虑开工时间、季节、气候问题对投标报价时的影响，一旦中标，不得提出额外增加费用的要求。</w:t>
      </w:r>
    </w:p>
    <w:p>
      <w:pPr>
        <w:keepNext w:val="0"/>
        <w:keepLines w:val="0"/>
        <w:pageBreakBefore w:val="0"/>
        <w:kinsoku/>
        <w:wordWrap/>
        <w:overflowPunct/>
        <w:topLinePunct w:val="0"/>
        <w:autoSpaceDE/>
        <w:autoSpaceDN/>
        <w:bidi w:val="0"/>
        <w:snapToGrid w:val="0"/>
        <w:spacing w:line="360" w:lineRule="auto"/>
        <w:ind w:right="0"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19.19 投标人确定投标报价，同时应考虑合同中包含的风险、责任等各项费用。</w:t>
      </w:r>
    </w:p>
    <w:p>
      <w:pPr>
        <w:keepNext w:val="0"/>
        <w:keepLines w:val="0"/>
        <w:pageBreakBefore w:val="0"/>
        <w:widowControl/>
        <w:kinsoku/>
        <w:wordWrap/>
        <w:overflowPunct/>
        <w:topLinePunct w:val="0"/>
        <w:autoSpaceDE/>
        <w:autoSpaceDN/>
        <w:bidi w:val="0"/>
        <w:snapToGrid w:val="0"/>
        <w:spacing w:line="360" w:lineRule="auto"/>
        <w:ind w:right="0"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19.20 承包人在施工过程中必须收集变更、签证及所有隐蔽项目的施工全过程影响视频资料以供后期审计使用，在送审结算资</w:t>
      </w:r>
      <w:r>
        <w:rPr>
          <w:rFonts w:hint="eastAsia" w:ascii="宋体" w:hAnsi="宋体" w:eastAsia="宋体" w:cs="宋体"/>
          <w:b/>
          <w:bCs/>
          <w:color w:val="auto"/>
          <w:kern w:val="0"/>
          <w:sz w:val="21"/>
          <w:szCs w:val="21"/>
          <w:highlight w:val="none"/>
        </w:rPr>
        <w:t xml:space="preserve">料中光盘或u盘必须一并提交。所有签证资料必须附有详细影像彩色照片，所摄照片必须有可参照性。如影像资料未能反映签证、掩蔽项目清单或招标文件等列明的工作内容则结算时该项内容不予认可。 </w:t>
      </w:r>
    </w:p>
    <w:p>
      <w:pPr>
        <w:keepNext w:val="0"/>
        <w:keepLines w:val="0"/>
        <w:pageBreakBefore w:val="0"/>
        <w:widowControl/>
        <w:kinsoku/>
        <w:wordWrap/>
        <w:overflowPunct/>
        <w:topLinePunct w:val="0"/>
        <w:autoSpaceDE/>
        <w:autoSpaceDN/>
        <w:bidi w:val="0"/>
        <w:snapToGrid w:val="0"/>
        <w:spacing w:line="360" w:lineRule="auto"/>
        <w:ind w:right="0" w:firstLine="422" w:firstLineChars="200"/>
        <w:jc w:val="left"/>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 xml:space="preserve">19.21 本工程中标人不得拒绝完成发包人在施工地点范围内的变更或要求增减的工程内容。 </w:t>
      </w:r>
    </w:p>
    <w:p>
      <w:pPr>
        <w:keepNext w:val="0"/>
        <w:keepLines w:val="0"/>
        <w:pageBreakBefore w:val="0"/>
        <w:kinsoku/>
        <w:wordWrap/>
        <w:overflowPunct/>
        <w:topLinePunct w:val="0"/>
        <w:autoSpaceDE/>
        <w:autoSpaceDN/>
        <w:bidi w:val="0"/>
        <w:snapToGrid w:val="0"/>
        <w:spacing w:line="360" w:lineRule="auto"/>
        <w:ind w:right="0" w:firstLine="422" w:firstLineChars="200"/>
        <w:jc w:val="left"/>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19.22 本工程如涉及到下井作业的情况，为确保施工人员的安全，下井作业的通风、防护等保障措施必须到位，该费用计入投标报价，结算时不做调整。</w:t>
      </w:r>
    </w:p>
    <w:p>
      <w:pPr>
        <w:keepNext w:val="0"/>
        <w:keepLines w:val="0"/>
        <w:pageBreakBefore w:val="0"/>
        <w:widowControl/>
        <w:kinsoku/>
        <w:wordWrap/>
        <w:overflowPunct/>
        <w:topLinePunct w:val="0"/>
        <w:autoSpaceDE/>
        <w:autoSpaceDN/>
        <w:bidi w:val="0"/>
        <w:snapToGrid w:val="0"/>
        <w:spacing w:line="360" w:lineRule="auto"/>
        <w:ind w:right="0" w:firstLine="422" w:firstLineChars="200"/>
        <w:jc w:val="left"/>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19.23 本工程如遇地下管线错综复杂，投标人须综合考虑保护费用，该费用计入投标报价，结算时不做调整。如发生破坏，须按要求恢复，一切损失由中标单位承担。</w:t>
      </w:r>
    </w:p>
    <w:p>
      <w:pPr>
        <w:keepNext w:val="0"/>
        <w:keepLines w:val="0"/>
        <w:pageBreakBefore w:val="0"/>
        <w:widowControl/>
        <w:kinsoku/>
        <w:wordWrap/>
        <w:overflowPunct/>
        <w:topLinePunct w:val="0"/>
        <w:autoSpaceDE/>
        <w:autoSpaceDN/>
        <w:bidi w:val="0"/>
        <w:snapToGrid w:val="0"/>
        <w:spacing w:line="360" w:lineRule="auto"/>
        <w:ind w:right="0" w:firstLine="422" w:firstLineChars="200"/>
        <w:jc w:val="left"/>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19.24 室外施工过程中，穿线井或手井因避让、配合其他专业管线需调整、移位、调整标高等事项由中标人自行考虑。</w:t>
      </w:r>
    </w:p>
    <w:p>
      <w:pPr>
        <w:keepNext w:val="0"/>
        <w:keepLines w:val="0"/>
        <w:pageBreakBefore w:val="0"/>
        <w:widowControl/>
        <w:kinsoku/>
        <w:wordWrap/>
        <w:overflowPunct/>
        <w:topLinePunct w:val="0"/>
        <w:autoSpaceDE/>
        <w:autoSpaceDN/>
        <w:bidi w:val="0"/>
        <w:snapToGrid w:val="0"/>
        <w:spacing w:line="360" w:lineRule="auto"/>
        <w:ind w:right="0" w:firstLine="422" w:firstLineChars="200"/>
        <w:jc w:val="left"/>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19.25符合《关于推进5G新型信息基础设施与传统基础实施项目协同建设的通知》苏发改投资发（2021）465号文、南通市通信行业协会（2021）20文要求；</w:t>
      </w:r>
    </w:p>
    <w:p>
      <w:pPr>
        <w:keepNext w:val="0"/>
        <w:keepLines w:val="0"/>
        <w:pageBreakBefore w:val="0"/>
        <w:widowControl/>
        <w:kinsoku/>
        <w:wordWrap/>
        <w:overflowPunct/>
        <w:topLinePunct w:val="0"/>
        <w:autoSpaceDE/>
        <w:autoSpaceDN/>
        <w:bidi w:val="0"/>
        <w:snapToGrid w:val="0"/>
        <w:spacing w:line="360" w:lineRule="auto"/>
        <w:ind w:right="0" w:firstLine="422" w:firstLineChars="200"/>
        <w:jc w:val="left"/>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19.26本工程各系统安装、对接、调试需到位，满足南通市通信行业协会验收规范要求，投标人根据现场情况，报价综合考虑，结算时不做调整；</w:t>
      </w:r>
    </w:p>
    <w:p>
      <w:pPr>
        <w:keepNext w:val="0"/>
        <w:keepLines w:val="0"/>
        <w:pageBreakBefore w:val="0"/>
        <w:widowControl/>
        <w:kinsoku/>
        <w:wordWrap/>
        <w:overflowPunct/>
        <w:topLinePunct w:val="0"/>
        <w:autoSpaceDE/>
        <w:autoSpaceDN/>
        <w:bidi w:val="0"/>
        <w:snapToGrid w:val="0"/>
        <w:spacing w:line="360" w:lineRule="auto"/>
        <w:ind w:right="0" w:firstLine="422" w:firstLineChars="200"/>
        <w:jc w:val="left"/>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19.27本工程涉及楼板、墙体开孔、套管安装、防水封堵、防火封堵、开槽补槽等由投标人在报价中综合考虑，结算时不做调整；</w:t>
      </w:r>
    </w:p>
    <w:p>
      <w:pPr>
        <w:keepNext w:val="0"/>
        <w:keepLines w:val="0"/>
        <w:pageBreakBefore w:val="0"/>
        <w:widowControl/>
        <w:kinsoku/>
        <w:wordWrap/>
        <w:overflowPunct/>
        <w:topLinePunct w:val="0"/>
        <w:autoSpaceDE/>
        <w:autoSpaceDN/>
        <w:bidi w:val="0"/>
        <w:snapToGrid w:val="0"/>
        <w:spacing w:line="360" w:lineRule="auto"/>
        <w:ind w:right="0"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rPr>
        <w:t>19.28本工程安装监控系统及安装门禁系统，包含与智能系统的安装、调试、对接等，投标人根据现场情况，报价综合考虑；</w:t>
      </w:r>
    </w:p>
    <w:p>
      <w:pPr>
        <w:keepNext w:val="0"/>
        <w:keepLines w:val="0"/>
        <w:pageBreakBefore w:val="0"/>
        <w:widowControl/>
        <w:kinsoku/>
        <w:wordWrap/>
        <w:overflowPunct/>
        <w:topLinePunct w:val="0"/>
        <w:autoSpaceDE/>
        <w:autoSpaceDN/>
        <w:bidi w:val="0"/>
        <w:snapToGrid w:val="0"/>
        <w:spacing w:line="360" w:lineRule="auto"/>
        <w:ind w:right="0" w:firstLine="422" w:firstLineChars="200"/>
        <w:jc w:val="left"/>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19.29本工程通信的统一联动调试工作且必须符合南通市通信行业协会验收(包含但不限于本合同范围内，亦包含与智能化工程等)由承包人负责，综合考虑在本次报价中，结算时一律不作调整。</w:t>
      </w:r>
    </w:p>
    <w:p>
      <w:pPr>
        <w:keepNext w:val="0"/>
        <w:keepLines w:val="0"/>
        <w:pageBreakBefore w:val="0"/>
        <w:widowControl/>
        <w:kinsoku/>
        <w:wordWrap/>
        <w:overflowPunct/>
        <w:topLinePunct w:val="0"/>
        <w:autoSpaceDE/>
        <w:autoSpaceDN/>
        <w:bidi w:val="0"/>
        <w:snapToGrid w:val="0"/>
        <w:spacing w:line="360" w:lineRule="auto"/>
        <w:ind w:right="0" w:firstLine="422" w:firstLineChars="200"/>
        <w:jc w:val="left"/>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19.30为满足交付使用功能及验收要求，在现有总包及其他专业分包预埋管线基础上进行调整的所有费用，该费用计入报价，结算时不做调整。</w:t>
      </w:r>
    </w:p>
    <w:p>
      <w:pPr>
        <w:keepNext w:val="0"/>
        <w:keepLines w:val="0"/>
        <w:pageBreakBefore w:val="0"/>
        <w:widowControl/>
        <w:kinsoku/>
        <w:wordWrap/>
        <w:overflowPunct/>
        <w:topLinePunct w:val="0"/>
        <w:autoSpaceDE/>
        <w:autoSpaceDN/>
        <w:bidi w:val="0"/>
        <w:snapToGrid w:val="0"/>
        <w:spacing w:line="360" w:lineRule="auto"/>
        <w:ind w:right="0" w:firstLine="422" w:firstLineChars="200"/>
        <w:jc w:val="left"/>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19.31若需要做综合布线检测的相关费用，承包人综合考虑在本次报价中，结算时一律不作调整。</w:t>
      </w:r>
    </w:p>
    <w:p>
      <w:pPr>
        <w:keepNext w:val="0"/>
        <w:keepLines w:val="0"/>
        <w:pageBreakBefore w:val="0"/>
        <w:widowControl/>
        <w:kinsoku/>
        <w:wordWrap/>
        <w:overflowPunct/>
        <w:topLinePunct w:val="0"/>
        <w:autoSpaceDE/>
        <w:autoSpaceDN/>
        <w:bidi w:val="0"/>
        <w:snapToGrid w:val="0"/>
        <w:spacing w:line="360" w:lineRule="auto"/>
        <w:ind w:right="0" w:firstLine="422" w:firstLineChars="200"/>
        <w:jc w:val="left"/>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19.32如中标人未如实履行双方签订的合同而导致违约和损害的，或因中标人履行合同引发与第三人发生纠纷，导致招标人也被牵连涉诉(仲裁)的，除每次应向招标人支付合同价款2%的违约金，并承担招标人为实现债权或主张权利而支付的一切费用(包括但不限于差旅费、资产处置费、诉讼费、仲裁费、律师费、评估鉴定费、保全费、误工费等)。招标人可在未付工程款或履约保证金直接扣除。</w:t>
      </w:r>
    </w:p>
    <w:p>
      <w:pPr>
        <w:keepNext w:val="0"/>
        <w:keepLines w:val="0"/>
        <w:pageBreakBefore w:val="0"/>
        <w:widowControl/>
        <w:kinsoku/>
        <w:wordWrap/>
        <w:overflowPunct/>
        <w:topLinePunct w:val="0"/>
        <w:autoSpaceDE/>
        <w:autoSpaceDN/>
        <w:bidi w:val="0"/>
        <w:snapToGrid w:val="0"/>
        <w:spacing w:line="360" w:lineRule="auto"/>
        <w:ind w:right="0" w:firstLine="422" w:firstLineChars="200"/>
        <w:jc w:val="left"/>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19.33其他未尽事宜在书面答疑中明确。</w:t>
      </w:r>
    </w:p>
    <w:p>
      <w:pPr>
        <w:pStyle w:val="20"/>
        <w:rPr>
          <w:rFonts w:hint="eastAsia"/>
          <w:color w:val="auto"/>
          <w:highlight w:val="none"/>
        </w:rPr>
      </w:pPr>
    </w:p>
    <w:p>
      <w:pPr>
        <w:pStyle w:val="26"/>
        <w:snapToGrid w:val="0"/>
        <w:spacing w:line="360" w:lineRule="auto"/>
        <w:outlineLvl w:val="1"/>
        <w:rPr>
          <w:rFonts w:hint="eastAsia" w:hAnsi="宋体"/>
          <w:b/>
          <w:bCs/>
          <w:color w:val="auto"/>
          <w:kern w:val="2"/>
          <w:szCs w:val="24"/>
          <w:highlight w:val="none"/>
        </w:rPr>
      </w:pPr>
      <w:r>
        <w:rPr>
          <w:rFonts w:hAnsi="宋体"/>
          <w:b/>
          <w:bCs/>
          <w:color w:val="auto"/>
          <w:kern w:val="2"/>
          <w:szCs w:val="24"/>
          <w:highlight w:val="none"/>
        </w:rPr>
        <w:t>(五) 投标文件的密封和递交</w:t>
      </w:r>
    </w:p>
    <w:p>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20、投标文件的密封与标志</w:t>
      </w:r>
    </w:p>
    <w:p>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20.1 本工程投标文件由</w:t>
      </w:r>
      <w:r>
        <w:rPr>
          <w:rFonts w:hint="eastAsia" w:ascii="宋体" w:hAnsi="宋体" w:eastAsia="宋体" w:cs="宋体"/>
          <w:b/>
          <w:color w:val="auto"/>
          <w:szCs w:val="21"/>
          <w:highlight w:val="none"/>
          <w:u w:val="single"/>
        </w:rPr>
        <w:t>电子投标文件（U盘）、纸质投标文件（资格审查资料、商务标）</w:t>
      </w:r>
      <w:r>
        <w:rPr>
          <w:rFonts w:hint="eastAsia" w:ascii="宋体" w:hAnsi="宋体" w:cs="宋体"/>
          <w:b/>
          <w:color w:val="auto"/>
          <w:szCs w:val="21"/>
          <w:highlight w:val="none"/>
          <w:u w:val="single"/>
          <w:lang w:eastAsia="zh-CN"/>
        </w:rPr>
        <w:t>、</w:t>
      </w:r>
      <w:r>
        <w:rPr>
          <w:rFonts w:hint="eastAsia" w:ascii="宋体" w:hAnsi="宋体" w:cs="宋体"/>
          <w:b/>
          <w:color w:val="auto"/>
          <w:szCs w:val="21"/>
          <w:highlight w:val="none"/>
          <w:u w:val="single"/>
          <w:lang w:val="en-US" w:eastAsia="zh-CN"/>
        </w:rPr>
        <w:t>原件包（仅备查）</w:t>
      </w:r>
      <w:r>
        <w:rPr>
          <w:rFonts w:hint="eastAsia" w:ascii="宋体" w:hAnsi="宋体" w:cs="宋体"/>
          <w:color w:val="auto"/>
          <w:szCs w:val="21"/>
          <w:highlight w:val="none"/>
          <w:lang w:val="en-US" w:eastAsia="zh-CN"/>
        </w:rPr>
        <w:t>四</w:t>
      </w:r>
      <w:r>
        <w:rPr>
          <w:rFonts w:hint="eastAsia" w:ascii="宋体" w:hAnsi="宋体" w:eastAsia="宋体" w:cs="宋体"/>
          <w:color w:val="auto"/>
          <w:szCs w:val="21"/>
          <w:highlight w:val="none"/>
        </w:rPr>
        <w:t>部分组成。</w:t>
      </w:r>
    </w:p>
    <w:p>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20.1.1 </w:t>
      </w:r>
      <w:r>
        <w:rPr>
          <w:rFonts w:hint="eastAsia" w:ascii="宋体" w:hAnsi="宋体" w:eastAsia="宋体" w:cs="宋体"/>
          <w:b/>
          <w:color w:val="auto"/>
          <w:szCs w:val="21"/>
          <w:highlight w:val="none"/>
        </w:rPr>
        <w:t>电子投标文件</w:t>
      </w:r>
      <w:r>
        <w:rPr>
          <w:rFonts w:hint="eastAsia" w:ascii="宋体" w:hAnsi="宋体" w:eastAsia="宋体" w:cs="宋体"/>
          <w:color w:val="auto"/>
          <w:szCs w:val="21"/>
          <w:highlight w:val="none"/>
        </w:rPr>
        <w:t>（U盘）包含内容详见本招标文件第9.1条款。</w:t>
      </w:r>
    </w:p>
    <w:p>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20.1.2 </w:t>
      </w:r>
      <w:r>
        <w:rPr>
          <w:rFonts w:hint="eastAsia" w:ascii="宋体" w:hAnsi="宋体" w:eastAsia="宋体" w:cs="宋体"/>
          <w:b/>
          <w:color w:val="auto"/>
          <w:szCs w:val="21"/>
          <w:highlight w:val="none"/>
        </w:rPr>
        <w:t>纸质投标文件</w:t>
      </w:r>
      <w:r>
        <w:rPr>
          <w:rFonts w:hint="eastAsia" w:ascii="宋体" w:hAnsi="宋体" w:eastAsia="宋体" w:cs="宋体"/>
          <w:color w:val="auto"/>
          <w:szCs w:val="21"/>
          <w:highlight w:val="none"/>
        </w:rPr>
        <w:t>由</w:t>
      </w:r>
      <w:r>
        <w:rPr>
          <w:rFonts w:hint="eastAsia" w:ascii="宋体" w:hAnsi="宋体" w:eastAsia="宋体" w:cs="宋体"/>
          <w:color w:val="auto"/>
          <w:szCs w:val="21"/>
          <w:highlight w:val="none"/>
          <w:u w:val="single"/>
        </w:rPr>
        <w:t>资格审查资料、商务标</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原价包（仅备查）</w:t>
      </w:r>
      <w:r>
        <w:rPr>
          <w:rFonts w:hint="eastAsia" w:ascii="宋体" w:hAnsi="宋体" w:cs="宋体"/>
          <w:color w:val="auto"/>
          <w:szCs w:val="21"/>
          <w:highlight w:val="none"/>
          <w:lang w:val="en-US" w:eastAsia="zh-CN"/>
        </w:rPr>
        <w:t>三</w:t>
      </w:r>
      <w:r>
        <w:rPr>
          <w:rFonts w:hint="eastAsia" w:ascii="宋体" w:hAnsi="宋体" w:eastAsia="宋体" w:cs="宋体"/>
          <w:color w:val="auto"/>
          <w:szCs w:val="21"/>
          <w:highlight w:val="none"/>
        </w:rPr>
        <w:t>部分组成。</w:t>
      </w:r>
    </w:p>
    <w:p>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snapToGrid w:val="0"/>
          <w:color w:val="auto"/>
          <w:kern w:val="0"/>
          <w:szCs w:val="21"/>
          <w:highlight w:val="none"/>
        </w:rPr>
      </w:pPr>
      <w:r>
        <w:rPr>
          <w:rFonts w:hint="eastAsia" w:ascii="宋体" w:hAnsi="宋体" w:eastAsia="宋体" w:cs="宋体"/>
          <w:snapToGrid w:val="0"/>
          <w:color w:val="auto"/>
          <w:kern w:val="0"/>
          <w:szCs w:val="21"/>
          <w:highlight w:val="none"/>
        </w:rPr>
        <w:t>纸质投标文件与评标时的电子投标文件应保持完全一致。</w:t>
      </w:r>
      <w:r>
        <w:rPr>
          <w:rFonts w:hint="eastAsia" w:ascii="宋体" w:hAnsi="宋体" w:eastAsia="宋体" w:cs="宋体"/>
          <w:b/>
          <w:snapToGrid w:val="0"/>
          <w:color w:val="auto"/>
          <w:kern w:val="0"/>
          <w:szCs w:val="21"/>
          <w:highlight w:val="none"/>
        </w:rPr>
        <w:t>纸质商务标报价与电子商务标报价不一致的，作无效标处理。</w:t>
      </w:r>
    </w:p>
    <w:p>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snapToGrid w:val="0"/>
          <w:color w:val="auto"/>
          <w:kern w:val="0"/>
          <w:szCs w:val="21"/>
          <w:highlight w:val="none"/>
        </w:rPr>
        <w:t>20.2 电子投标文件，应按照本文件第9.1、9.1.1条款规定的内容、格式制作电子投标文件光盘。电子投标文件（U盘）</w:t>
      </w:r>
      <w:r>
        <w:rPr>
          <w:rFonts w:hint="eastAsia" w:ascii="宋体" w:hAnsi="宋体" w:eastAsia="宋体" w:cs="宋体"/>
          <w:color w:val="auto"/>
          <w:szCs w:val="21"/>
          <w:highlight w:val="none"/>
        </w:rPr>
        <w:t>一式</w:t>
      </w:r>
      <w:r>
        <w:rPr>
          <w:rFonts w:hint="eastAsia" w:ascii="宋体" w:hAnsi="宋体" w:eastAsia="宋体" w:cs="宋体"/>
          <w:b/>
          <w:color w:val="auto"/>
          <w:szCs w:val="21"/>
          <w:highlight w:val="none"/>
          <w:u w:val="single"/>
        </w:rPr>
        <w:t>壹</w:t>
      </w:r>
      <w:r>
        <w:rPr>
          <w:rFonts w:hint="eastAsia" w:ascii="宋体" w:hAnsi="宋体" w:eastAsia="宋体" w:cs="宋体"/>
          <w:color w:val="auto"/>
          <w:szCs w:val="21"/>
          <w:highlight w:val="none"/>
        </w:rPr>
        <w:t>份。</w:t>
      </w:r>
      <w:r>
        <w:rPr>
          <w:rFonts w:hint="eastAsia" w:ascii="宋体" w:hAnsi="宋体" w:eastAsia="宋体" w:cs="宋体"/>
          <w:b/>
          <w:bCs/>
          <w:color w:val="auto"/>
          <w:szCs w:val="21"/>
          <w:highlight w:val="none"/>
        </w:rPr>
        <w:t>电子投标文件（U盘）单独密封，封袋上加盖投标人单位公章和法定代表人印章，</w:t>
      </w:r>
      <w:r>
        <w:rPr>
          <w:rFonts w:hint="eastAsia" w:ascii="宋体" w:hAnsi="宋体" w:eastAsia="宋体" w:cs="宋体"/>
          <w:b/>
          <w:color w:val="auto"/>
          <w:szCs w:val="21"/>
          <w:highlight w:val="none"/>
        </w:rPr>
        <w:t>另须在封袋上标明“电子投标文件光盘”。</w:t>
      </w:r>
    </w:p>
    <w:p>
      <w:pPr>
        <w:keepNext w:val="0"/>
        <w:keepLines w:val="0"/>
        <w:pageBreakBefore w:val="0"/>
        <w:widowControl w:val="0"/>
        <w:kinsoku/>
        <w:wordWrap/>
        <w:overflowPunct/>
        <w:topLinePunct w:val="0"/>
        <w:autoSpaceDE/>
        <w:autoSpaceDN/>
        <w:bidi w:val="0"/>
        <w:adjustRightInd/>
        <w:snapToGrid w:val="0"/>
        <w:spacing w:line="360" w:lineRule="auto"/>
        <w:ind w:firstLine="413" w:firstLineChars="196"/>
        <w:textAlignment w:val="auto"/>
        <w:rPr>
          <w:rFonts w:hint="eastAsia" w:ascii="宋体" w:hAnsi="宋体" w:eastAsia="宋体" w:cs="宋体"/>
          <w:b/>
          <w:bCs/>
          <w:color w:val="auto"/>
          <w:szCs w:val="21"/>
          <w:highlight w:val="none"/>
        </w:rPr>
      </w:pPr>
      <w:r>
        <w:rPr>
          <w:rFonts w:hint="eastAsia" w:ascii="宋体" w:hAnsi="宋体" w:eastAsia="宋体" w:cs="宋体"/>
          <w:b/>
          <w:snapToGrid w:val="0"/>
          <w:color w:val="auto"/>
          <w:kern w:val="0"/>
          <w:szCs w:val="21"/>
          <w:highlight w:val="none"/>
        </w:rPr>
        <w:t>20.3 纸质投标文件由</w:t>
      </w:r>
      <w:r>
        <w:rPr>
          <w:rFonts w:hint="eastAsia" w:ascii="宋体" w:hAnsi="宋体" w:eastAsia="宋体" w:cs="宋体"/>
          <w:b/>
          <w:snapToGrid w:val="0"/>
          <w:color w:val="auto"/>
          <w:kern w:val="0"/>
          <w:szCs w:val="21"/>
          <w:highlight w:val="none"/>
          <w:u w:val="single"/>
        </w:rPr>
        <w:t>资格审查资料、商务标</w:t>
      </w:r>
      <w:r>
        <w:rPr>
          <w:rFonts w:hint="eastAsia" w:ascii="宋体" w:hAnsi="宋体" w:cs="宋体"/>
          <w:b/>
          <w:snapToGrid w:val="0"/>
          <w:color w:val="auto"/>
          <w:kern w:val="0"/>
          <w:szCs w:val="21"/>
          <w:highlight w:val="none"/>
          <w:u w:val="single"/>
          <w:lang w:eastAsia="zh-CN"/>
        </w:rPr>
        <w:t>、</w:t>
      </w:r>
      <w:r>
        <w:rPr>
          <w:rFonts w:hint="eastAsia" w:ascii="宋体" w:hAnsi="宋体" w:cs="宋体"/>
          <w:b/>
          <w:snapToGrid w:val="0"/>
          <w:color w:val="auto"/>
          <w:kern w:val="0"/>
          <w:szCs w:val="21"/>
          <w:highlight w:val="none"/>
          <w:u w:val="single"/>
          <w:lang w:val="en-US" w:eastAsia="zh-CN"/>
        </w:rPr>
        <w:t>原件包（仅备查）</w:t>
      </w:r>
      <w:r>
        <w:rPr>
          <w:rFonts w:hint="eastAsia" w:ascii="宋体" w:hAnsi="宋体" w:cs="宋体"/>
          <w:b/>
          <w:snapToGrid w:val="0"/>
          <w:color w:val="auto"/>
          <w:kern w:val="0"/>
          <w:szCs w:val="21"/>
          <w:highlight w:val="none"/>
          <w:lang w:val="en-US" w:eastAsia="zh-CN"/>
        </w:rPr>
        <w:t>三</w:t>
      </w:r>
      <w:r>
        <w:rPr>
          <w:rFonts w:hint="eastAsia" w:ascii="宋体" w:hAnsi="宋体" w:eastAsia="宋体" w:cs="宋体"/>
          <w:b/>
          <w:snapToGrid w:val="0"/>
          <w:color w:val="auto"/>
          <w:kern w:val="0"/>
          <w:szCs w:val="21"/>
          <w:highlight w:val="none"/>
        </w:rPr>
        <w:t>部分组成。</w:t>
      </w:r>
      <w:r>
        <w:rPr>
          <w:rFonts w:hint="eastAsia" w:ascii="宋体" w:hAnsi="宋体" w:eastAsia="宋体" w:cs="宋体"/>
          <w:b/>
          <w:bCs/>
          <w:color w:val="auto"/>
          <w:szCs w:val="21"/>
          <w:highlight w:val="none"/>
        </w:rPr>
        <w:t>资格审查资料正本</w:t>
      </w:r>
      <w:r>
        <w:rPr>
          <w:rFonts w:hint="eastAsia" w:ascii="宋体" w:hAnsi="宋体" w:eastAsia="宋体" w:cs="宋体"/>
          <w:b/>
          <w:bCs/>
          <w:color w:val="auto"/>
          <w:szCs w:val="21"/>
          <w:highlight w:val="none"/>
          <w:u w:val="single"/>
        </w:rPr>
        <w:t>壹</w:t>
      </w:r>
      <w:r>
        <w:rPr>
          <w:rFonts w:hint="eastAsia" w:ascii="宋体" w:hAnsi="宋体" w:eastAsia="宋体" w:cs="宋体"/>
          <w:b/>
          <w:bCs/>
          <w:color w:val="auto"/>
          <w:szCs w:val="21"/>
          <w:highlight w:val="none"/>
        </w:rPr>
        <w:t>份，副本贰份；商务标正本</w:t>
      </w:r>
      <w:r>
        <w:rPr>
          <w:rFonts w:hint="eastAsia" w:ascii="宋体" w:hAnsi="宋体" w:eastAsia="宋体" w:cs="宋体"/>
          <w:b/>
          <w:bCs/>
          <w:color w:val="auto"/>
          <w:szCs w:val="21"/>
          <w:highlight w:val="none"/>
          <w:u w:val="single"/>
        </w:rPr>
        <w:t>壹</w:t>
      </w:r>
      <w:r>
        <w:rPr>
          <w:rFonts w:hint="eastAsia" w:ascii="宋体" w:hAnsi="宋体" w:eastAsia="宋体" w:cs="宋体"/>
          <w:b/>
          <w:bCs/>
          <w:color w:val="auto"/>
          <w:szCs w:val="21"/>
          <w:highlight w:val="none"/>
        </w:rPr>
        <w:t>份，副本贰份。资格审查资料、商务标分别标明“正本”、“副本”。正、副本可以统一密封在一个封袋内，也可正本、副本分别密封在密封内（如分袋密封，须标明“正本”、“副本”字样）。</w:t>
      </w:r>
    </w:p>
    <w:p>
      <w:pPr>
        <w:keepNext w:val="0"/>
        <w:keepLines w:val="0"/>
        <w:pageBreakBefore w:val="0"/>
        <w:widowControl w:val="0"/>
        <w:kinsoku/>
        <w:wordWrap/>
        <w:overflowPunct/>
        <w:topLinePunct w:val="0"/>
        <w:autoSpaceDE/>
        <w:autoSpaceDN/>
        <w:bidi w:val="0"/>
        <w:adjustRightInd/>
        <w:snapToGrid w:val="0"/>
        <w:spacing w:line="360" w:lineRule="auto"/>
        <w:ind w:firstLine="413" w:firstLineChars="196"/>
        <w:textAlignment w:val="auto"/>
        <w:rPr>
          <w:rFonts w:hint="eastAsia" w:ascii="宋体" w:hAnsi="宋体" w:eastAsia="宋体" w:cs="宋体"/>
          <w:b/>
          <w:snapToGrid w:val="0"/>
          <w:color w:val="auto"/>
          <w:kern w:val="0"/>
          <w:szCs w:val="21"/>
          <w:highlight w:val="none"/>
        </w:rPr>
      </w:pPr>
      <w:r>
        <w:rPr>
          <w:rFonts w:hint="eastAsia" w:ascii="宋体" w:hAnsi="宋体" w:eastAsia="宋体" w:cs="宋体"/>
          <w:b/>
          <w:snapToGrid w:val="0"/>
          <w:color w:val="auto"/>
          <w:kern w:val="0"/>
          <w:szCs w:val="21"/>
          <w:highlight w:val="none"/>
        </w:rPr>
        <w:t>资格审查资料包、商务标包</w:t>
      </w:r>
      <w:r>
        <w:rPr>
          <w:rFonts w:hint="eastAsia" w:ascii="宋体" w:hAnsi="宋体" w:cs="宋体"/>
          <w:b/>
          <w:snapToGrid w:val="0"/>
          <w:color w:val="auto"/>
          <w:kern w:val="0"/>
          <w:szCs w:val="21"/>
          <w:highlight w:val="none"/>
          <w:lang w:eastAsia="zh-CN"/>
        </w:rPr>
        <w:t>、</w:t>
      </w:r>
      <w:r>
        <w:rPr>
          <w:rFonts w:hint="eastAsia" w:ascii="宋体" w:hAnsi="宋体" w:cs="宋体"/>
          <w:b/>
          <w:snapToGrid w:val="0"/>
          <w:color w:val="auto"/>
          <w:kern w:val="0"/>
          <w:szCs w:val="21"/>
          <w:highlight w:val="none"/>
          <w:lang w:val="en-US" w:eastAsia="zh-CN"/>
        </w:rPr>
        <w:t>原件包</w:t>
      </w:r>
      <w:r>
        <w:rPr>
          <w:rFonts w:hint="eastAsia" w:ascii="宋体" w:hAnsi="宋体" w:eastAsia="宋体" w:cs="宋体"/>
          <w:b/>
          <w:snapToGrid w:val="0"/>
          <w:color w:val="auto"/>
          <w:kern w:val="0"/>
          <w:szCs w:val="21"/>
          <w:highlight w:val="none"/>
        </w:rPr>
        <w:t>必须分袋密封，并在封袋上加盖投标人单位公章和单位法定代表人章，另须在封袋上标明” 或“资格审查资料”</w:t>
      </w:r>
      <w:bookmarkStart w:id="28" w:name="OLE_LINK8"/>
      <w:r>
        <w:rPr>
          <w:rFonts w:hint="eastAsia" w:ascii="宋体" w:hAnsi="宋体" w:eastAsia="宋体" w:cs="宋体"/>
          <w:b/>
          <w:snapToGrid w:val="0"/>
          <w:color w:val="auto"/>
          <w:kern w:val="0"/>
          <w:szCs w:val="21"/>
          <w:highlight w:val="none"/>
        </w:rPr>
        <w:t>或“商务标</w:t>
      </w:r>
      <w:bookmarkEnd w:id="28"/>
      <w:r>
        <w:rPr>
          <w:rFonts w:hint="eastAsia" w:ascii="宋体" w:hAnsi="宋体" w:eastAsia="宋体" w:cs="宋体"/>
          <w:b/>
          <w:snapToGrid w:val="0"/>
          <w:color w:val="auto"/>
          <w:kern w:val="0"/>
          <w:szCs w:val="21"/>
          <w:highlight w:val="none"/>
        </w:rPr>
        <w:t>”或“</w:t>
      </w:r>
      <w:r>
        <w:rPr>
          <w:rFonts w:hint="eastAsia" w:ascii="宋体" w:hAnsi="宋体" w:eastAsia="宋体" w:cs="宋体"/>
          <w:b/>
          <w:snapToGrid w:val="0"/>
          <w:color w:val="auto"/>
          <w:kern w:val="0"/>
          <w:szCs w:val="21"/>
          <w:highlight w:val="none"/>
          <w:lang w:val="en-US" w:eastAsia="zh-CN"/>
        </w:rPr>
        <w:t>原件包”</w:t>
      </w:r>
      <w:r>
        <w:rPr>
          <w:rFonts w:hint="eastAsia" w:ascii="宋体" w:hAnsi="宋体" w:eastAsia="宋体" w:cs="宋体"/>
          <w:b/>
          <w:snapToGrid w:val="0"/>
          <w:color w:val="auto"/>
          <w:kern w:val="0"/>
          <w:szCs w:val="21"/>
          <w:highlight w:val="none"/>
        </w:rPr>
        <w:t>，同时还要写明工程名称。</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20.4 </w:t>
      </w:r>
      <w:r>
        <w:rPr>
          <w:rFonts w:hint="eastAsia" w:ascii="宋体" w:hAnsi="宋体" w:eastAsia="宋体" w:cs="宋体"/>
          <w:b/>
          <w:snapToGrid w:val="0"/>
          <w:color w:val="auto"/>
          <w:kern w:val="0"/>
          <w:szCs w:val="21"/>
          <w:highlight w:val="none"/>
        </w:rPr>
        <w:t>所有投标文件的密封袋上均应加盖投标人公章</w:t>
      </w:r>
      <w:r>
        <w:rPr>
          <w:rFonts w:hint="eastAsia" w:ascii="宋体" w:hAnsi="宋体" w:eastAsia="宋体" w:cs="宋体"/>
          <w:b/>
          <w:bCs/>
          <w:snapToGrid w:val="0"/>
          <w:color w:val="auto"/>
          <w:kern w:val="0"/>
          <w:szCs w:val="21"/>
          <w:highlight w:val="none"/>
        </w:rPr>
        <w:t>和法定代表人印章</w:t>
      </w:r>
      <w:r>
        <w:rPr>
          <w:rFonts w:hint="eastAsia" w:ascii="宋体" w:hAnsi="宋体" w:eastAsia="宋体" w:cs="宋体"/>
          <w:b/>
          <w:snapToGrid w:val="0"/>
          <w:color w:val="auto"/>
          <w:kern w:val="0"/>
          <w:szCs w:val="21"/>
          <w:highlight w:val="none"/>
        </w:rPr>
        <w:t>。</w:t>
      </w:r>
      <w:r>
        <w:rPr>
          <w:rFonts w:hint="eastAsia" w:ascii="宋体" w:hAnsi="宋体" w:eastAsia="宋体" w:cs="宋体"/>
          <w:snapToGrid w:val="0"/>
          <w:color w:val="auto"/>
          <w:kern w:val="0"/>
          <w:szCs w:val="21"/>
          <w:highlight w:val="none"/>
        </w:rPr>
        <w:t>投标人未按上述规定提交投标文件，其投标文件将被拒绝，并退还给投标人。</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snapToGrid w:val="0"/>
          <w:color w:val="auto"/>
          <w:kern w:val="0"/>
          <w:szCs w:val="21"/>
          <w:highlight w:val="none"/>
        </w:rPr>
      </w:pPr>
      <w:r>
        <w:rPr>
          <w:rFonts w:hint="eastAsia" w:ascii="宋体" w:hAnsi="宋体" w:eastAsia="宋体" w:cs="宋体"/>
          <w:snapToGrid w:val="0"/>
          <w:color w:val="auto"/>
          <w:kern w:val="0"/>
          <w:szCs w:val="21"/>
          <w:highlight w:val="none"/>
        </w:rPr>
        <w:t>20.5 投标文件正、副本不一致时，以正本为准。</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21.投标文件的递交</w:t>
      </w:r>
    </w:p>
    <w:p>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21.1投标人应在投标人须知前附表</w:t>
      </w:r>
      <w:r>
        <w:rPr>
          <w:rFonts w:hint="eastAsia" w:ascii="宋体" w:hAnsi="宋体" w:eastAsia="宋体" w:cs="宋体"/>
          <w:color w:val="auto"/>
          <w:szCs w:val="21"/>
          <w:highlight w:val="none"/>
          <w:u w:val="single"/>
        </w:rPr>
        <w:t>第18条</w:t>
      </w:r>
      <w:r>
        <w:rPr>
          <w:rFonts w:hint="eastAsia" w:ascii="宋体" w:hAnsi="宋体" w:eastAsia="宋体" w:cs="宋体"/>
          <w:color w:val="auto"/>
          <w:szCs w:val="21"/>
          <w:highlight w:val="none"/>
        </w:rPr>
        <w:t>规定的投标文件递交截止时间之前完成电子投标文件、纸质投标文件的递交。招标人延长递交投标文件截止时间的，招标人与投标人在原投标截止期的全部权利、义务、责任将适用于延长后新的投标截止期。</w:t>
      </w:r>
    </w:p>
    <w:p>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21.2逾期送达的或者未送达指定地点的投标文件，招标人不予受理。</w:t>
      </w:r>
    </w:p>
    <w:p>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22.投标文件的修改与撤回</w:t>
      </w:r>
    </w:p>
    <w:p>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b/>
          <w:color w:val="auto"/>
          <w:szCs w:val="21"/>
          <w:highlight w:val="none"/>
        </w:rPr>
      </w:pPr>
      <w:r>
        <w:rPr>
          <w:rFonts w:hint="eastAsia" w:ascii="宋体" w:hAnsi="宋体" w:eastAsia="宋体" w:cs="宋体"/>
          <w:color w:val="auto"/>
          <w:szCs w:val="21"/>
          <w:highlight w:val="none"/>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7"/>
        <w:snapToGrid w:val="0"/>
        <w:spacing w:line="360" w:lineRule="auto"/>
        <w:jc w:val="center"/>
        <w:rPr>
          <w:rFonts w:ascii="Times New Roman" w:hAnsi="Times New Roman" w:eastAsia="宋体"/>
          <w:b w:val="0"/>
          <w:color w:val="auto"/>
          <w:sz w:val="24"/>
          <w:highlight w:val="none"/>
        </w:rPr>
      </w:pPr>
      <w:r>
        <w:rPr>
          <w:rFonts w:ascii="Times New Roman" w:hAnsi="Times New Roman" w:eastAsia="宋体"/>
          <w:b w:val="0"/>
          <w:color w:val="auto"/>
          <w:sz w:val="24"/>
          <w:highlight w:val="none"/>
        </w:rPr>
        <w:t xml:space="preserve"> (</w:t>
      </w:r>
      <w:r>
        <w:rPr>
          <w:rFonts w:ascii="Times New Roman" w:hAnsi="宋体" w:eastAsia="宋体"/>
          <w:b w:val="0"/>
          <w:color w:val="auto"/>
          <w:sz w:val="24"/>
          <w:highlight w:val="none"/>
        </w:rPr>
        <w:t>六</w:t>
      </w:r>
      <w:r>
        <w:rPr>
          <w:rFonts w:ascii="Times New Roman" w:hAnsi="Times New Roman" w:eastAsia="宋体"/>
          <w:b w:val="0"/>
          <w:color w:val="auto"/>
          <w:sz w:val="24"/>
          <w:highlight w:val="none"/>
        </w:rPr>
        <w:t xml:space="preserve">) </w:t>
      </w:r>
      <w:r>
        <w:rPr>
          <w:rFonts w:ascii="Times New Roman" w:hAnsi="宋体" w:eastAsia="宋体"/>
          <w:b w:val="0"/>
          <w:color w:val="auto"/>
          <w:sz w:val="24"/>
          <w:highlight w:val="none"/>
        </w:rPr>
        <w:t>开标、评标和定标</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23.</w:t>
      </w:r>
      <w:r>
        <w:rPr>
          <w:rFonts w:hint="eastAsia" w:ascii="宋体" w:hAnsi="宋体" w:eastAsia="宋体" w:cs="宋体"/>
          <w:color w:val="auto"/>
          <w:szCs w:val="21"/>
          <w:highlight w:val="none"/>
        </w:rPr>
        <w:t>本工程评标、定标办法采用下列</w:t>
      </w:r>
      <w:r>
        <w:rPr>
          <w:rFonts w:hint="eastAsia" w:ascii="宋体" w:hAnsi="宋体" w:eastAsia="宋体" w:cs="宋体"/>
          <w:b/>
          <w:color w:val="auto"/>
          <w:szCs w:val="21"/>
          <w:highlight w:val="none"/>
          <w:u w:val="single"/>
        </w:rPr>
        <w:t xml:space="preserve">  23.1 </w:t>
      </w:r>
      <w:r>
        <w:rPr>
          <w:rFonts w:hint="eastAsia" w:ascii="宋体" w:hAnsi="宋体" w:eastAsia="宋体" w:cs="宋体"/>
          <w:color w:val="auto"/>
          <w:szCs w:val="21"/>
          <w:highlight w:val="none"/>
        </w:rPr>
        <w:t>种方式</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23.1 价格单因素评标办法</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23.2.含施工组织设计的合理低价法评标方法</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23.3综合评估法</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 xml:space="preserve">24. </w:t>
      </w:r>
      <w:r>
        <w:rPr>
          <w:rFonts w:hint="eastAsia" w:ascii="宋体" w:hAnsi="宋体" w:eastAsia="宋体" w:cs="宋体"/>
          <w:color w:val="auto"/>
          <w:szCs w:val="21"/>
          <w:highlight w:val="none"/>
        </w:rPr>
        <w:t>招标人按本须知前附表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 xml:space="preserve">25. </w:t>
      </w:r>
      <w:r>
        <w:rPr>
          <w:rFonts w:hint="eastAsia" w:ascii="宋体" w:hAnsi="宋体" w:eastAsia="宋体" w:cs="宋体"/>
          <w:color w:val="auto"/>
          <w:szCs w:val="21"/>
          <w:highlight w:val="none"/>
        </w:rPr>
        <w:t>评标委员会应当审查每一投标文件是否对招标文件提出的所有实质性要求和条件作出响应。</w:t>
      </w:r>
    </w:p>
    <w:p>
      <w:pPr>
        <w:keepNext w:val="0"/>
        <w:keepLines w:val="0"/>
        <w:pageBreakBefore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26. </w:t>
      </w:r>
      <w:r>
        <w:rPr>
          <w:rFonts w:hint="eastAsia" w:ascii="宋体" w:hAnsi="宋体" w:eastAsia="宋体" w:cs="宋体"/>
          <w:b/>
          <w:color w:val="auto"/>
          <w:kern w:val="0"/>
          <w:szCs w:val="21"/>
          <w:highlight w:val="none"/>
        </w:rPr>
        <w:t>凡</w:t>
      </w:r>
      <w:r>
        <w:rPr>
          <w:rFonts w:hint="eastAsia" w:ascii="宋体" w:hAnsi="宋体" w:eastAsia="宋体" w:cs="宋体"/>
          <w:b/>
          <w:color w:val="auto"/>
          <w:szCs w:val="21"/>
          <w:highlight w:val="none"/>
        </w:rPr>
        <w:t>投标文件有下列情况之一的，属于重大偏差，视同未能对招标文件作出实质性响应，按废标处理。</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26.1投标文件中的投标函未加盖投标人的公章；</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26.2投标文件中的投标函未加盖企业法定代表人（或委托代理人）印章（或签字）的；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26.3如投标函加盖企业委托代理人印章（或签字）的，委托代理人没有合法、有效的委托书（原件）的；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26.4投标人资格条件不符合国家有关规定或招标文件要求的；拟派的项目负责人为一级建造师的，但未根据《办公厅关于全面实行一级建造师电子注册证书的通知》(建办市〔2021〕40 号)文件要求使用并提供电子证书的；注册地为江苏省内的企业，如拟派项目负责人为二级建造师的，必须按照《省住房和城乡建设厅关于我省二级建造师、二级造价工程师、二级注册建筑师、二级注册结构工程师注册证书电子证照换发的公告》(〔2023〕第26号)文件要求换发新的注册证书电子证照，否则不予认可。</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26.5投标人名称或组织结构与资格预审时不一致的；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26.6除在投标截止时间前经招标人书面同意外，项目负责人与资格预审时不一致的；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26.7组成联合体投标未提供联合体各方共同投标协议的（本工程不接受联合体）；</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26.8在同一招标项目中，联合体成员以自己名义单独投标或者参加其他联合体投标的；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26.9联合体成员与资格预审确定的结果不一致的；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26.10投标报价低于成本或者</w:t>
      </w:r>
      <w:r>
        <w:rPr>
          <w:rFonts w:hint="eastAsia" w:ascii="宋体" w:hAnsi="宋体" w:cs="宋体"/>
          <w:b/>
          <w:bCs/>
          <w:color w:val="auto"/>
          <w:szCs w:val="21"/>
          <w:highlight w:val="none"/>
          <w:lang w:val="en-US" w:eastAsia="zh-CN"/>
        </w:rPr>
        <w:t>低于最低限价下浮率</w:t>
      </w:r>
      <w:r>
        <w:rPr>
          <w:rFonts w:hint="eastAsia" w:ascii="宋体" w:hAnsi="宋体" w:eastAsia="宋体" w:cs="宋体"/>
          <w:b/>
          <w:bCs/>
          <w:color w:val="auto"/>
          <w:szCs w:val="21"/>
          <w:highlight w:val="none"/>
        </w:rPr>
        <w:t>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26.11同一投标人提交两个及以上不同的投标文件或者投标报价，但招标文件要求提交备选投标的除外；</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26.12与招标文件规定的暂估价、暂列金额及甲供材料价格不一致的；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26.13与招标文件明确列出的不可竞争费用项目或费率或计算基础不一致的；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26.14与招标文件提供的工程量清单中的项目编码、项目名称、项目特征、计量单位、工程量不一致的；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26.15未按招标文件要求提供投标保证金的；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26.16投标文件载明的招标项目完成期限超过招标文件规定的期限的；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26.17明显不符合技术规范、技术标准的要求的；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26.18投标文件载明的货物包装方式、检验标准和方法等不符合招标文件的要求的；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26.19投标文件提出了不能满足招标文件要求或招标人不能接受的工程验收、计量、价款结算和支付办法的；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26.20未按招标文件要求提供电子投标文件，或者电子投标文件（已标价的工程量清单）保存格式不正确，致使软件无法读取的，且补救方案补救不成功的；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26.21不同投标人的投标文件以及投标文件制作过程出现了评标委员会认为不应当雷同的情况的；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26.22以他人的名义投标、串通投标、以行贿手段谋取中标或者以其他弄虚作假方式投标的；</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26.23不符合招标文件有关暗标的要求。</w:t>
      </w:r>
    </w:p>
    <w:p>
      <w:pPr>
        <w:keepNext w:val="0"/>
        <w:keepLines w:val="0"/>
        <w:pageBreakBefore w:val="0"/>
        <w:kinsoku/>
        <w:wordWrap/>
        <w:overflowPunct/>
        <w:topLinePunct w:val="0"/>
        <w:autoSpaceDE/>
        <w:autoSpaceDN/>
        <w:bidi w:val="0"/>
        <w:adjustRightInd/>
        <w:snapToGrid w:val="0"/>
        <w:spacing w:line="360" w:lineRule="auto"/>
        <w:ind w:firstLine="441" w:firstLineChars="209"/>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26.24纸质商务标报价与电子商务标报价不一致的。</w:t>
      </w:r>
    </w:p>
    <w:p>
      <w:pPr>
        <w:keepNext w:val="0"/>
        <w:keepLines w:val="0"/>
        <w:pageBreakBefore w:val="0"/>
        <w:kinsoku/>
        <w:wordWrap/>
        <w:overflowPunct/>
        <w:topLinePunct w:val="0"/>
        <w:autoSpaceDE/>
        <w:autoSpaceDN/>
        <w:bidi w:val="0"/>
        <w:adjustRightInd/>
        <w:snapToGrid w:val="0"/>
        <w:spacing w:line="360" w:lineRule="auto"/>
        <w:ind w:firstLine="441" w:firstLineChars="209"/>
        <w:textAlignment w:val="auto"/>
        <w:rPr>
          <w:rFonts w:hint="eastAsia" w:ascii="宋体" w:hAnsi="宋体" w:eastAsia="宋体" w:cs="宋体"/>
          <w:b/>
          <w:bCs/>
          <w:color w:val="auto"/>
          <w:szCs w:val="21"/>
          <w:highlight w:val="none"/>
        </w:rPr>
      </w:pPr>
      <w:bookmarkStart w:id="29" w:name="_Hlk99729053"/>
      <w:r>
        <w:rPr>
          <w:rFonts w:hint="eastAsia" w:ascii="宋体" w:hAnsi="宋体" w:eastAsia="宋体" w:cs="宋体"/>
          <w:b/>
          <w:bCs/>
          <w:color w:val="auto"/>
          <w:szCs w:val="21"/>
          <w:highlight w:val="none"/>
        </w:rPr>
        <w:t>26.25纸质投标文件、电子投标文件未按照招标文件规定密封、分装的。</w:t>
      </w:r>
    </w:p>
    <w:p>
      <w:pPr>
        <w:keepNext w:val="0"/>
        <w:keepLines w:val="0"/>
        <w:pageBreakBefore w:val="0"/>
        <w:kinsoku/>
        <w:wordWrap/>
        <w:overflowPunct/>
        <w:topLinePunct w:val="0"/>
        <w:autoSpaceDE/>
        <w:autoSpaceDN/>
        <w:bidi w:val="0"/>
        <w:adjustRightInd/>
        <w:snapToGrid w:val="0"/>
        <w:spacing w:line="360" w:lineRule="auto"/>
        <w:ind w:firstLine="441" w:firstLineChars="209"/>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26.26不同投标人的电子投标文件出自同一台电脑、不同投标人的投标报价用同一个预算编制软件密码锁制作或者出自同一电子文档的、不同投标人的投标文件的编制者为同一人的，在作废标处理的同时，按照招标文件第一章第14款处理</w:t>
      </w:r>
      <w:bookmarkEnd w:id="29"/>
      <w:r>
        <w:rPr>
          <w:rFonts w:hint="eastAsia" w:ascii="宋体" w:hAnsi="宋体" w:eastAsia="宋体" w:cs="宋体"/>
          <w:b/>
          <w:bCs/>
          <w:color w:val="auto"/>
          <w:szCs w:val="21"/>
          <w:highlight w:val="none"/>
        </w:rPr>
        <w:t>。</w:t>
      </w:r>
    </w:p>
    <w:p>
      <w:pPr>
        <w:keepNext w:val="0"/>
        <w:keepLines w:val="0"/>
        <w:pageBreakBefore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27.</w:t>
      </w:r>
      <w:r>
        <w:rPr>
          <w:rFonts w:hint="eastAsia" w:ascii="宋体" w:hAnsi="宋体" w:eastAsia="宋体" w:cs="宋体"/>
          <w:color w:val="auto"/>
          <w:szCs w:val="21"/>
          <w:highlight w:val="none"/>
        </w:rPr>
        <w:t>评标、定标工作由招标人或代理机构组织进行。</w:t>
      </w:r>
    </w:p>
    <w:p>
      <w:pPr>
        <w:keepNext w:val="0"/>
        <w:keepLines w:val="0"/>
        <w:pageBreakBefore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28.</w:t>
      </w:r>
      <w:r>
        <w:rPr>
          <w:rFonts w:hint="eastAsia" w:ascii="宋体" w:hAnsi="宋体" w:eastAsia="宋体" w:cs="宋体"/>
          <w:color w:val="auto"/>
          <w:szCs w:val="21"/>
          <w:highlight w:val="none"/>
        </w:rPr>
        <w:t>投标文件的澄清</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评标过程中，评标委员会认为需要，在招标人代表在场的情况下，可以书面形式要求投标人对投标文件中的有关问题进行澄清或提供补充说明及有关资料，投标人应作出书面答复。书面答复中不得有变更价格、工期、自报质量等级等实质性内容。</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Cs w:val="21"/>
          <w:highlight w:val="none"/>
        </w:rPr>
      </w:pPr>
      <w:r>
        <w:rPr>
          <w:rFonts w:hint="eastAsia" w:ascii="宋体" w:hAnsi="宋体" w:eastAsia="宋体" w:cs="宋体"/>
          <w:color w:val="auto"/>
          <w:spacing w:val="-2"/>
          <w:szCs w:val="21"/>
          <w:highlight w:val="none"/>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eastAsia="宋体" w:cs="宋体"/>
          <w:color w:val="auto"/>
          <w:szCs w:val="21"/>
          <w:highlight w:val="none"/>
        </w:rPr>
        <w:t>。</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29.</w:t>
      </w:r>
      <w:r>
        <w:rPr>
          <w:rFonts w:hint="eastAsia" w:ascii="宋体" w:hAnsi="宋体" w:eastAsia="宋体" w:cs="宋体"/>
          <w:color w:val="auto"/>
          <w:szCs w:val="21"/>
          <w:highlight w:val="none"/>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30.</w:t>
      </w:r>
      <w:r>
        <w:rPr>
          <w:rFonts w:hint="eastAsia" w:ascii="宋体" w:hAnsi="宋体" w:eastAsia="宋体" w:cs="宋体"/>
          <w:color w:val="auto"/>
          <w:szCs w:val="21"/>
          <w:highlight w:val="none"/>
        </w:rPr>
        <w:t>投标报价可以四舍五入到“元”。</w:t>
      </w:r>
    </w:p>
    <w:p>
      <w:pPr>
        <w:keepNext w:val="0"/>
        <w:keepLines w:val="0"/>
        <w:pageBreakBefore w:val="0"/>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31.</w:t>
      </w:r>
      <w:r>
        <w:rPr>
          <w:rFonts w:hint="eastAsia" w:ascii="宋体" w:hAnsi="宋体" w:eastAsia="宋体" w:cs="宋体"/>
          <w:color w:val="auto"/>
          <w:szCs w:val="21"/>
          <w:highlight w:val="none"/>
        </w:rPr>
        <w:t>在投标文件的审查、澄清、评价和比较以及授予合同的过程中，投标人对招标人和评标组织成员施加影响的任何行为，都将导致取消其中标资格。</w:t>
      </w:r>
    </w:p>
    <w:p>
      <w:pPr>
        <w:keepNext w:val="0"/>
        <w:keepLines w:val="0"/>
        <w:pageBreakBefore w:val="0"/>
        <w:widowControl/>
        <w:kinsoku/>
        <w:wordWrap/>
        <w:overflowPunct/>
        <w:topLinePunct w:val="0"/>
        <w:autoSpaceDE/>
        <w:autoSpaceDN/>
        <w:bidi w:val="0"/>
        <w:adjustRightInd/>
        <w:snapToGrid w:val="0"/>
        <w:spacing w:line="360" w:lineRule="auto"/>
        <w:ind w:firstLine="422" w:firstLineChars="200"/>
        <w:textAlignment w:val="auto"/>
        <w:rPr>
          <w:color w:val="auto"/>
          <w:szCs w:val="21"/>
          <w:highlight w:val="none"/>
        </w:rPr>
      </w:pPr>
      <w:r>
        <w:rPr>
          <w:rFonts w:hint="eastAsia" w:ascii="宋体" w:hAnsi="宋体" w:eastAsia="宋体" w:cs="宋体"/>
          <w:b/>
          <w:color w:val="auto"/>
          <w:szCs w:val="21"/>
          <w:highlight w:val="none"/>
        </w:rPr>
        <w:t>32.</w:t>
      </w:r>
      <w:r>
        <w:rPr>
          <w:rFonts w:hint="eastAsia" w:ascii="宋体" w:hAnsi="宋体" w:eastAsia="宋体" w:cs="宋体"/>
          <w:color w:val="auto"/>
          <w:spacing w:val="-2"/>
          <w:szCs w:val="21"/>
          <w:highlight w:val="none"/>
        </w:rPr>
        <w:t>评标委员会在评标工作完成后，将在现场公布评标结果公开的内容</w:t>
      </w:r>
      <w:r>
        <w:rPr>
          <w:rFonts w:hint="eastAsia" w:ascii="宋体" w:hAnsi="宋体" w:eastAsia="宋体" w:cs="宋体"/>
          <w:color w:val="auto"/>
          <w:szCs w:val="21"/>
          <w:highlight w:val="none"/>
        </w:rPr>
        <w:t>。</w:t>
      </w:r>
    </w:p>
    <w:p>
      <w:pPr>
        <w:pStyle w:val="7"/>
        <w:snapToGrid w:val="0"/>
        <w:spacing w:line="360" w:lineRule="auto"/>
        <w:jc w:val="center"/>
        <w:rPr>
          <w:rFonts w:ascii="Times New Roman" w:hAnsi="Times New Roman" w:eastAsia="宋体"/>
          <w:color w:val="auto"/>
          <w:sz w:val="24"/>
          <w:szCs w:val="24"/>
          <w:highlight w:val="none"/>
        </w:rPr>
      </w:pPr>
      <w:r>
        <w:rPr>
          <w:rFonts w:ascii="Times New Roman" w:hAnsi="宋体" w:eastAsia="宋体"/>
          <w:color w:val="auto"/>
          <w:sz w:val="24"/>
          <w:szCs w:val="24"/>
          <w:highlight w:val="none"/>
        </w:rPr>
        <w:t>（七）授予合同</w:t>
      </w:r>
    </w:p>
    <w:p>
      <w:pPr>
        <w:snapToGrid w:val="0"/>
        <w:spacing w:line="360" w:lineRule="auto"/>
        <w:ind w:firstLine="420" w:firstLineChars="200"/>
        <w:jc w:val="left"/>
        <w:rPr>
          <w:bCs/>
          <w:color w:val="auto"/>
          <w:szCs w:val="21"/>
          <w:highlight w:val="none"/>
        </w:rPr>
      </w:pPr>
      <w:bookmarkStart w:id="30" w:name="_Toc404159959"/>
      <w:bookmarkStart w:id="31" w:name="_Toc465181335"/>
      <w:r>
        <w:rPr>
          <w:rFonts w:hint="eastAsia"/>
          <w:bCs/>
          <w:color w:val="auto"/>
          <w:szCs w:val="21"/>
          <w:highlight w:val="none"/>
        </w:rPr>
        <w:t>33.</w:t>
      </w:r>
      <w:r>
        <w:rPr>
          <w:bCs/>
          <w:color w:val="auto"/>
          <w:szCs w:val="21"/>
          <w:highlight w:val="none"/>
        </w:rPr>
        <w:t>招标人和中标人应当自中标通知书发出之日起</w:t>
      </w:r>
      <w:r>
        <w:rPr>
          <w:rFonts w:hint="eastAsia"/>
          <w:bCs/>
          <w:color w:val="auto"/>
          <w:szCs w:val="21"/>
          <w:highlight w:val="none"/>
        </w:rPr>
        <w:t>30</w:t>
      </w:r>
      <w:r>
        <w:rPr>
          <w:bCs/>
          <w:color w:val="auto"/>
          <w:szCs w:val="21"/>
          <w:highlight w:val="none"/>
        </w:rPr>
        <w:t>日内，按照本招标文件和中标人的投标文件订立书面合同。招标人和中标人不得再订立背离合同实质性内容的其他协议。</w:t>
      </w:r>
    </w:p>
    <w:p>
      <w:pPr>
        <w:snapToGrid w:val="0"/>
        <w:spacing w:line="360" w:lineRule="auto"/>
        <w:ind w:firstLine="420" w:firstLineChars="200"/>
        <w:jc w:val="left"/>
        <w:rPr>
          <w:bCs/>
          <w:color w:val="auto"/>
          <w:szCs w:val="21"/>
          <w:highlight w:val="none"/>
        </w:rPr>
      </w:pPr>
      <w:r>
        <w:rPr>
          <w:bCs/>
          <w:color w:val="auto"/>
          <w:szCs w:val="21"/>
          <w:highlight w:val="none"/>
        </w:rPr>
        <w:t>3</w:t>
      </w:r>
      <w:r>
        <w:rPr>
          <w:rFonts w:hint="eastAsia"/>
          <w:bCs/>
          <w:color w:val="auto"/>
          <w:szCs w:val="21"/>
          <w:highlight w:val="none"/>
        </w:rPr>
        <w:t>4.</w:t>
      </w:r>
      <w:r>
        <w:rPr>
          <w:bCs/>
          <w:color w:val="auto"/>
          <w:szCs w:val="21"/>
          <w:highlight w:val="none"/>
        </w:rPr>
        <w:t>中标通知书发出</w:t>
      </w:r>
      <w:r>
        <w:rPr>
          <w:rFonts w:hint="eastAsia"/>
          <w:bCs/>
          <w:color w:val="auto"/>
          <w:szCs w:val="21"/>
          <w:highlight w:val="none"/>
        </w:rPr>
        <w:t>后、合同签订前，</w:t>
      </w:r>
      <w:r>
        <w:rPr>
          <w:bCs/>
          <w:color w:val="auto"/>
          <w:szCs w:val="21"/>
          <w:highlight w:val="none"/>
        </w:rPr>
        <w:t>中标人应按本须知前附表规定的金额向招标人提交履约担保。</w:t>
      </w:r>
    </w:p>
    <w:p>
      <w:pPr>
        <w:snapToGrid w:val="0"/>
        <w:spacing w:line="360" w:lineRule="auto"/>
        <w:ind w:firstLine="420" w:firstLineChars="200"/>
        <w:jc w:val="left"/>
        <w:rPr>
          <w:bCs/>
          <w:color w:val="auto"/>
          <w:szCs w:val="21"/>
          <w:highlight w:val="none"/>
        </w:rPr>
      </w:pPr>
      <w:r>
        <w:rPr>
          <w:bCs/>
          <w:color w:val="auto"/>
          <w:szCs w:val="21"/>
          <w:highlight w:val="none"/>
        </w:rPr>
        <w:t>3</w:t>
      </w:r>
      <w:r>
        <w:rPr>
          <w:rFonts w:hint="eastAsia"/>
          <w:bCs/>
          <w:color w:val="auto"/>
          <w:szCs w:val="21"/>
          <w:highlight w:val="none"/>
        </w:rPr>
        <w:t>5.若中标人不能按本须知第33条、34条款的规定执行，招标人将有充分的理由认为中标人放弃中标项目及签订合同的权利，并没收其投标保证金，中标人的行为给招标人造成损失超过投标保证金数额的，还应当对超过部分予以赔偿。</w:t>
      </w:r>
    </w:p>
    <w:p>
      <w:pPr>
        <w:snapToGrid w:val="0"/>
        <w:spacing w:line="360" w:lineRule="auto"/>
        <w:ind w:firstLine="420" w:firstLineChars="200"/>
        <w:jc w:val="left"/>
        <w:rPr>
          <w:rFonts w:hint="eastAsia" w:hAnsi="宋体"/>
          <w:b/>
          <w:color w:val="auto"/>
          <w:sz w:val="36"/>
          <w:szCs w:val="36"/>
          <w:highlight w:val="none"/>
        </w:rPr>
      </w:pPr>
      <w:r>
        <w:rPr>
          <w:bCs/>
          <w:color w:val="auto"/>
          <w:szCs w:val="21"/>
          <w:highlight w:val="none"/>
        </w:rPr>
        <w:t>3</w:t>
      </w:r>
      <w:r>
        <w:rPr>
          <w:rFonts w:hint="eastAsia"/>
          <w:bCs/>
          <w:color w:val="auto"/>
          <w:szCs w:val="21"/>
          <w:highlight w:val="none"/>
        </w:rPr>
        <w:t>7.</w:t>
      </w:r>
      <w:r>
        <w:rPr>
          <w:bCs/>
          <w:color w:val="auto"/>
          <w:szCs w:val="21"/>
          <w:highlight w:val="none"/>
        </w:rPr>
        <w:t>中标人在中标后或施工期间不得随意变更中标项目负责人。如果出现特殊情况，确需更换的，应当经招标人</w:t>
      </w:r>
      <w:r>
        <w:rPr>
          <w:rFonts w:hint="eastAsia"/>
          <w:bCs/>
          <w:color w:val="auto"/>
          <w:szCs w:val="21"/>
          <w:highlight w:val="none"/>
        </w:rPr>
        <w:t>书面</w:t>
      </w:r>
      <w:r>
        <w:rPr>
          <w:bCs/>
          <w:color w:val="auto"/>
          <w:szCs w:val="21"/>
          <w:highlight w:val="none"/>
        </w:rPr>
        <w:t>同意。</w:t>
      </w:r>
    </w:p>
    <w:p>
      <w:pPr>
        <w:snapToGrid w:val="0"/>
        <w:spacing w:line="360" w:lineRule="auto"/>
        <w:jc w:val="left"/>
        <w:rPr>
          <w:rFonts w:hint="eastAsia" w:hAnsi="宋体"/>
          <w:b/>
          <w:color w:val="auto"/>
          <w:sz w:val="36"/>
          <w:szCs w:val="36"/>
          <w:highlight w:val="none"/>
        </w:rPr>
      </w:pPr>
      <w:r>
        <w:rPr>
          <w:rFonts w:hAnsi="宋体"/>
          <w:b/>
          <w:color w:val="auto"/>
          <w:sz w:val="36"/>
          <w:szCs w:val="36"/>
          <w:highlight w:val="none"/>
        </w:rPr>
        <w:br w:type="page"/>
      </w:r>
    </w:p>
    <w:p>
      <w:pPr>
        <w:spacing w:line="360" w:lineRule="auto"/>
        <w:ind w:firstLine="482"/>
        <w:jc w:val="center"/>
        <w:rPr>
          <w:rFonts w:hint="eastAsia" w:hAnsi="宋体"/>
          <w:b/>
          <w:color w:val="auto"/>
          <w:sz w:val="24"/>
          <w:highlight w:val="none"/>
        </w:rPr>
      </w:pPr>
      <w:r>
        <w:rPr>
          <w:rFonts w:hAnsi="宋体"/>
          <w:b/>
          <w:color w:val="auto"/>
          <w:sz w:val="36"/>
          <w:szCs w:val="36"/>
          <w:highlight w:val="none"/>
        </w:rPr>
        <w:t>第二章</w:t>
      </w:r>
      <w:r>
        <w:rPr>
          <w:rFonts w:hint="eastAsia" w:hAnsi="宋体"/>
          <w:b/>
          <w:color w:val="auto"/>
          <w:sz w:val="36"/>
          <w:szCs w:val="36"/>
          <w:highlight w:val="none"/>
        </w:rPr>
        <w:t xml:space="preserve">  </w:t>
      </w:r>
      <w:r>
        <w:rPr>
          <w:rFonts w:hAnsi="宋体"/>
          <w:b/>
          <w:color w:val="auto"/>
          <w:sz w:val="36"/>
          <w:szCs w:val="36"/>
          <w:highlight w:val="none"/>
        </w:rPr>
        <w:t>评标办法</w:t>
      </w:r>
      <w:bookmarkEnd w:id="30"/>
      <w:bookmarkEnd w:id="31"/>
    </w:p>
    <w:p>
      <w:pPr>
        <w:spacing w:line="360" w:lineRule="auto"/>
        <w:ind w:firstLine="482" w:firstLineChars="200"/>
        <w:jc w:val="left"/>
        <w:rPr>
          <w:rFonts w:hint="eastAsia" w:ascii="宋体"/>
          <w:b/>
          <w:color w:val="auto"/>
          <w:sz w:val="24"/>
          <w:highlight w:val="none"/>
          <w:u w:val="wave"/>
        </w:rPr>
      </w:pPr>
    </w:p>
    <w:p>
      <w:pPr>
        <w:spacing w:line="360" w:lineRule="auto"/>
        <w:ind w:firstLine="482" w:firstLineChars="200"/>
        <w:jc w:val="left"/>
        <w:rPr>
          <w:rFonts w:ascii="宋体" w:cs="Arial"/>
          <w:b/>
          <w:color w:val="auto"/>
          <w:sz w:val="24"/>
          <w:highlight w:val="none"/>
          <w:u w:val="wave" w:color="FF0000"/>
        </w:rPr>
      </w:pPr>
      <w:r>
        <w:rPr>
          <w:rFonts w:hint="eastAsia" w:ascii="宋体"/>
          <w:b/>
          <w:color w:val="auto"/>
          <w:sz w:val="24"/>
          <w:highlight w:val="none"/>
          <w:u w:val="wave" w:color="FF0000"/>
        </w:rPr>
        <w:t>每个投标</w:t>
      </w:r>
      <w:r>
        <w:rPr>
          <w:rFonts w:hint="eastAsia" w:ascii="宋体" w:cs="Arial"/>
          <w:b/>
          <w:color w:val="auto"/>
          <w:sz w:val="24"/>
          <w:highlight w:val="none"/>
          <w:u w:val="wave" w:color="FF0000"/>
        </w:rPr>
        <w:t>人在递交投标文件的同时，必须由授权委托人随身携带并当场出示授权委托书原件及本人身份证原件，如为法定代表人（分支机构负责人）亲自参加投标，则须随身携带并当场出示法定代表人（分支机构负责人）身份证明及身份证），否则，投标文件将可能被拒绝接受。</w:t>
      </w:r>
    </w:p>
    <w:p>
      <w:pPr>
        <w:spacing w:line="360" w:lineRule="auto"/>
        <w:ind w:firstLine="482"/>
        <w:rPr>
          <w:rFonts w:ascii="宋体"/>
          <w:b/>
          <w:color w:val="auto"/>
          <w:szCs w:val="21"/>
          <w:highlight w:val="none"/>
        </w:rPr>
      </w:pPr>
      <w:r>
        <w:rPr>
          <w:rFonts w:hint="eastAsia" w:ascii="宋体"/>
          <w:b/>
          <w:color w:val="auto"/>
          <w:szCs w:val="21"/>
          <w:highlight w:val="none"/>
        </w:rPr>
        <w:t>一、本工程采用价格单因素评标办法，且采用资格后审，具体资格审查及评标细则如下：</w:t>
      </w:r>
    </w:p>
    <w:p>
      <w:pPr>
        <w:spacing w:line="360" w:lineRule="auto"/>
        <w:ind w:firstLine="482"/>
        <w:rPr>
          <w:rFonts w:ascii="宋体"/>
          <w:b/>
          <w:color w:val="auto"/>
          <w:szCs w:val="21"/>
          <w:highlight w:val="none"/>
        </w:rPr>
      </w:pPr>
      <w:r>
        <w:rPr>
          <w:rFonts w:hint="eastAsia" w:ascii="宋体"/>
          <w:b/>
          <w:color w:val="auto"/>
          <w:szCs w:val="21"/>
          <w:highlight w:val="none"/>
        </w:rPr>
        <w:t>（一）评标程序</w:t>
      </w:r>
    </w:p>
    <w:p>
      <w:pPr>
        <w:spacing w:line="360" w:lineRule="auto"/>
        <w:ind w:firstLine="482"/>
        <w:rPr>
          <w:rFonts w:ascii="宋体"/>
          <w:b/>
          <w:color w:val="auto"/>
          <w:szCs w:val="21"/>
          <w:highlight w:val="none"/>
        </w:rPr>
      </w:pPr>
      <w:r>
        <w:rPr>
          <w:rFonts w:hint="eastAsia" w:ascii="宋体" w:cs="宋体"/>
          <w:bCs/>
          <w:color w:val="auto"/>
          <w:kern w:val="0"/>
          <w:szCs w:val="21"/>
          <w:highlight w:val="none"/>
        </w:rPr>
        <w:t xml:space="preserve">投标人资格审查—商务标评标—确定中标候选人。  </w:t>
      </w:r>
    </w:p>
    <w:p>
      <w:pPr>
        <w:spacing w:line="360" w:lineRule="auto"/>
        <w:ind w:firstLine="482"/>
        <w:rPr>
          <w:rFonts w:ascii="宋体"/>
          <w:b/>
          <w:color w:val="auto"/>
          <w:szCs w:val="21"/>
          <w:highlight w:val="none"/>
        </w:rPr>
      </w:pPr>
      <w:r>
        <w:rPr>
          <w:rFonts w:hint="eastAsia" w:ascii="宋体"/>
          <w:b/>
          <w:color w:val="auto"/>
          <w:szCs w:val="21"/>
          <w:highlight w:val="none"/>
        </w:rPr>
        <w:t>（二）评审标准</w:t>
      </w:r>
    </w:p>
    <w:p>
      <w:pPr>
        <w:widowControl/>
        <w:spacing w:line="360" w:lineRule="auto"/>
        <w:ind w:firstLine="420" w:firstLineChars="200"/>
        <w:jc w:val="left"/>
        <w:rPr>
          <w:rFonts w:ascii="宋体" w:cs="宋体"/>
          <w:color w:val="auto"/>
          <w:kern w:val="0"/>
          <w:szCs w:val="21"/>
          <w:highlight w:val="none"/>
        </w:rPr>
      </w:pPr>
      <w:r>
        <w:rPr>
          <w:rFonts w:hint="eastAsia" w:ascii="宋体" w:cs="宋体"/>
          <w:color w:val="auto"/>
          <w:kern w:val="0"/>
          <w:szCs w:val="21"/>
          <w:highlight w:val="none"/>
        </w:rPr>
        <w:t>评标委员会将按评审标准、资格评审标准的合格条件，对各投标人递交的资格审查书面资料进行评审，并公布资格审查合格者名单。</w:t>
      </w:r>
    </w:p>
    <w:p>
      <w:pPr>
        <w:widowControl/>
        <w:spacing w:line="360" w:lineRule="auto"/>
        <w:ind w:firstLine="420" w:firstLineChars="200"/>
        <w:jc w:val="left"/>
        <w:rPr>
          <w:rFonts w:ascii="宋体"/>
          <w:color w:val="auto"/>
          <w:kern w:val="0"/>
          <w:szCs w:val="21"/>
          <w:highlight w:val="none"/>
        </w:rPr>
      </w:pPr>
      <w:r>
        <w:rPr>
          <w:rFonts w:hint="eastAsia" w:ascii="宋体"/>
          <w:color w:val="auto"/>
          <w:kern w:val="0"/>
          <w:szCs w:val="21"/>
          <w:highlight w:val="none"/>
        </w:rPr>
        <w:t>1、资格符合性评审</w:t>
      </w:r>
    </w:p>
    <w:p>
      <w:pPr>
        <w:widowControl/>
        <w:spacing w:line="360" w:lineRule="auto"/>
        <w:ind w:firstLine="562" w:firstLineChars="200"/>
        <w:jc w:val="center"/>
        <w:rPr>
          <w:color w:val="auto"/>
          <w:kern w:val="0"/>
          <w:sz w:val="28"/>
          <w:szCs w:val="28"/>
          <w:highlight w:val="none"/>
        </w:rPr>
      </w:pPr>
      <w:r>
        <w:rPr>
          <w:rFonts w:hAnsi="宋体"/>
          <w:b/>
          <w:color w:val="auto"/>
          <w:sz w:val="28"/>
          <w:szCs w:val="28"/>
          <w:highlight w:val="none"/>
          <w:u w:val="single"/>
        </w:rPr>
        <w:t>资格审查标准汇总表</w:t>
      </w:r>
    </w:p>
    <w:tbl>
      <w:tblPr>
        <w:tblStyle w:val="21"/>
        <w:tblW w:w="972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800"/>
        <w:gridCol w:w="3641"/>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vAlign w:val="center"/>
          </w:tcPr>
          <w:p>
            <w:pPr>
              <w:widowControl/>
              <w:spacing w:line="440" w:lineRule="exact"/>
              <w:jc w:val="center"/>
              <w:rPr>
                <w:rFonts w:hint="eastAsia" w:ascii="宋体" w:hAnsi="宋体" w:cs="宋体"/>
                <w:b/>
                <w:color w:val="auto"/>
                <w:kern w:val="0"/>
                <w:szCs w:val="21"/>
                <w:highlight w:val="none"/>
              </w:rPr>
            </w:pPr>
            <w:bookmarkStart w:id="32" w:name="OLE_LINK2"/>
            <w:r>
              <w:rPr>
                <w:rFonts w:hint="eastAsia" w:ascii="宋体" w:hAnsi="宋体" w:cs="宋体"/>
                <w:b/>
                <w:color w:val="auto"/>
                <w:kern w:val="0"/>
                <w:szCs w:val="21"/>
                <w:highlight w:val="none"/>
              </w:rPr>
              <w:t>序号</w:t>
            </w:r>
          </w:p>
        </w:tc>
        <w:tc>
          <w:tcPr>
            <w:tcW w:w="1800" w:type="dxa"/>
            <w:vAlign w:val="center"/>
          </w:tcPr>
          <w:p>
            <w:pPr>
              <w:widowControl/>
              <w:spacing w:line="44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项目内容</w:t>
            </w:r>
          </w:p>
        </w:tc>
        <w:tc>
          <w:tcPr>
            <w:tcW w:w="3641" w:type="dxa"/>
            <w:vAlign w:val="center"/>
          </w:tcPr>
          <w:p>
            <w:pPr>
              <w:widowControl/>
              <w:spacing w:line="44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合格条件</w:t>
            </w:r>
          </w:p>
        </w:tc>
        <w:tc>
          <w:tcPr>
            <w:tcW w:w="3736" w:type="dxa"/>
            <w:vAlign w:val="center"/>
          </w:tcPr>
          <w:p>
            <w:pPr>
              <w:widowControl/>
              <w:spacing w:line="44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投标人需提供的材料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4" w:hRule="atLeast"/>
          <w:tblCellSpacing w:w="0" w:type="dxa"/>
          <w:jc w:val="center"/>
        </w:trPr>
        <w:tc>
          <w:tcPr>
            <w:tcW w:w="552" w:type="dxa"/>
            <w:vAlign w:val="center"/>
          </w:tcPr>
          <w:p>
            <w:pPr>
              <w:widowControl/>
              <w:spacing w:line="44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1800" w:type="dxa"/>
            <w:vAlign w:val="center"/>
          </w:tcPr>
          <w:p>
            <w:pPr>
              <w:widowControl/>
              <w:ind w:left="105" w:leftChars="50"/>
              <w:jc w:val="left"/>
              <w:rPr>
                <w:rFonts w:hint="eastAsia" w:ascii="宋体" w:hAnsi="宋体" w:cs="宋体"/>
                <w:color w:val="auto"/>
                <w:kern w:val="0"/>
                <w:szCs w:val="21"/>
                <w:highlight w:val="none"/>
              </w:rPr>
            </w:pPr>
            <w:r>
              <w:rPr>
                <w:rFonts w:hint="eastAsia" w:ascii="宋体" w:hAnsi="宋体" w:cs="宋体"/>
                <w:color w:val="auto"/>
                <w:kern w:val="0"/>
                <w:szCs w:val="21"/>
                <w:highlight w:val="none"/>
                <w:lang w:val="zh-CN"/>
              </w:rPr>
              <w:t>法定代表人身份证明</w:t>
            </w:r>
          </w:p>
        </w:tc>
        <w:tc>
          <w:tcPr>
            <w:tcW w:w="3641" w:type="dxa"/>
            <w:vAlign w:val="center"/>
          </w:tcPr>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lang w:val="zh-CN"/>
              </w:rPr>
              <w:t>有效的法定代表人身份证明书</w:t>
            </w:r>
          </w:p>
        </w:tc>
        <w:tc>
          <w:tcPr>
            <w:tcW w:w="3736" w:type="dxa"/>
            <w:vAlign w:val="center"/>
          </w:tcPr>
          <w:p>
            <w:pPr>
              <w:widowControl/>
              <w:ind w:left="105" w:leftChars="50"/>
              <w:jc w:val="left"/>
              <w:rPr>
                <w:rFonts w:hint="eastAsia" w:ascii="宋体" w:hAnsi="宋体" w:cs="宋体"/>
                <w:color w:val="auto"/>
                <w:kern w:val="0"/>
                <w:szCs w:val="21"/>
                <w:highlight w:val="none"/>
              </w:rPr>
            </w:pPr>
            <w:r>
              <w:rPr>
                <w:rFonts w:hint="eastAsia" w:ascii="宋体" w:hAnsi="宋体" w:cs="宋体"/>
                <w:color w:val="auto"/>
                <w:kern w:val="0"/>
                <w:szCs w:val="21"/>
                <w:highlight w:val="none"/>
                <w:lang w:val="zh-CN"/>
              </w:rPr>
              <w:t>法定代表人身份证明书</w:t>
            </w:r>
            <w:r>
              <w:rPr>
                <w:rFonts w:hint="eastAsia" w:ascii="宋体" w:hAnsi="宋体" w:cs="宋体"/>
                <w:color w:val="auto"/>
                <w:kern w:val="0"/>
                <w:szCs w:val="21"/>
                <w:highlight w:val="none"/>
              </w:rPr>
              <w:t>原件</w:t>
            </w:r>
            <w:r>
              <w:rPr>
                <w:rFonts w:hint="eastAsia" w:ascii="宋体" w:hAnsi="宋体" w:cs="宋体"/>
                <w:color w:val="auto"/>
                <w:kern w:val="0"/>
                <w:szCs w:val="21"/>
                <w:highlight w:val="none"/>
                <w:lang w:val="zh-CN"/>
              </w:rPr>
              <w:t>（格式见第</w:t>
            </w:r>
            <w:r>
              <w:rPr>
                <w:rFonts w:hint="eastAsia" w:ascii="宋体" w:hAnsi="宋体" w:cs="宋体"/>
                <w:color w:val="auto"/>
                <w:kern w:val="0"/>
                <w:szCs w:val="21"/>
                <w:highlight w:val="none"/>
              </w:rPr>
              <w:t>七</w:t>
            </w:r>
            <w:r>
              <w:rPr>
                <w:rFonts w:hint="eastAsia" w:ascii="宋体" w:hAnsi="宋体" w:cs="宋体"/>
                <w:color w:val="auto"/>
                <w:kern w:val="0"/>
                <w:szCs w:val="21"/>
                <w:highlight w:val="none"/>
                <w:lang w:val="zh-CN"/>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552" w:type="dxa"/>
            <w:vAlign w:val="center"/>
          </w:tcPr>
          <w:p>
            <w:pPr>
              <w:widowControl/>
              <w:spacing w:line="44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1800" w:type="dxa"/>
            <w:vAlign w:val="center"/>
          </w:tcPr>
          <w:p>
            <w:pPr>
              <w:widowControl/>
              <w:ind w:left="105" w:leftChars="50"/>
              <w:jc w:val="left"/>
              <w:rPr>
                <w:rFonts w:hint="eastAsia" w:ascii="宋体" w:hAnsi="宋体" w:cs="宋体"/>
                <w:color w:val="auto"/>
                <w:kern w:val="0"/>
                <w:szCs w:val="21"/>
                <w:highlight w:val="none"/>
              </w:rPr>
            </w:pPr>
            <w:r>
              <w:rPr>
                <w:rFonts w:hint="eastAsia" w:ascii="宋体" w:hAnsi="宋体" w:cs="宋体"/>
                <w:color w:val="auto"/>
                <w:kern w:val="0"/>
                <w:szCs w:val="21"/>
                <w:highlight w:val="none"/>
                <w:lang w:val="zh-CN"/>
              </w:rPr>
              <w:t>授权委托书（如有授权）</w:t>
            </w:r>
          </w:p>
        </w:tc>
        <w:tc>
          <w:tcPr>
            <w:tcW w:w="3641" w:type="dxa"/>
            <w:vAlign w:val="center"/>
          </w:tcPr>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lang w:val="zh-CN"/>
              </w:rPr>
              <w:t>有效的授权委托书</w:t>
            </w:r>
          </w:p>
        </w:tc>
        <w:tc>
          <w:tcPr>
            <w:tcW w:w="3736" w:type="dxa"/>
            <w:vAlign w:val="center"/>
          </w:tcPr>
          <w:p>
            <w:pPr>
              <w:widowControl/>
              <w:ind w:left="105" w:leftChars="50"/>
              <w:jc w:val="left"/>
              <w:rPr>
                <w:rFonts w:hint="eastAsia" w:ascii="宋体" w:hAnsi="宋体" w:cs="宋体"/>
                <w:color w:val="auto"/>
                <w:kern w:val="0"/>
                <w:szCs w:val="21"/>
                <w:highlight w:val="none"/>
              </w:rPr>
            </w:pPr>
            <w:r>
              <w:rPr>
                <w:rFonts w:hint="eastAsia" w:ascii="宋体" w:hAnsi="宋体" w:cs="宋体"/>
                <w:color w:val="auto"/>
                <w:kern w:val="0"/>
                <w:szCs w:val="21"/>
                <w:highlight w:val="none"/>
                <w:lang w:val="zh-CN"/>
              </w:rPr>
              <w:t>授权委托书</w:t>
            </w:r>
            <w:r>
              <w:rPr>
                <w:rFonts w:hint="eastAsia" w:ascii="宋体" w:hAnsi="宋体" w:cs="宋体"/>
                <w:color w:val="auto"/>
                <w:kern w:val="0"/>
                <w:szCs w:val="21"/>
                <w:highlight w:val="none"/>
              </w:rPr>
              <w:t>原件</w:t>
            </w:r>
            <w:r>
              <w:rPr>
                <w:rFonts w:hint="eastAsia" w:ascii="宋体" w:hAnsi="宋体" w:cs="宋体"/>
                <w:color w:val="auto"/>
                <w:kern w:val="0"/>
                <w:szCs w:val="21"/>
                <w:highlight w:val="none"/>
                <w:lang w:val="zh-CN"/>
              </w:rPr>
              <w:t>（</w:t>
            </w:r>
            <w:r>
              <w:rPr>
                <w:rFonts w:hint="eastAsia" w:ascii="宋体" w:hAnsi="宋体" w:cs="宋体"/>
                <w:color w:val="auto"/>
                <w:kern w:val="0"/>
                <w:szCs w:val="21"/>
                <w:highlight w:val="none"/>
              </w:rPr>
              <w:t>如有，</w:t>
            </w:r>
            <w:r>
              <w:rPr>
                <w:rFonts w:hint="eastAsia" w:ascii="宋体" w:hAnsi="宋体" w:cs="宋体"/>
                <w:color w:val="auto"/>
                <w:kern w:val="0"/>
                <w:szCs w:val="21"/>
                <w:highlight w:val="none"/>
                <w:lang w:val="zh-CN"/>
              </w:rPr>
              <w:t>格式见第</w:t>
            </w:r>
            <w:r>
              <w:rPr>
                <w:rFonts w:hint="eastAsia" w:ascii="宋体" w:hAnsi="宋体" w:cs="宋体"/>
                <w:color w:val="auto"/>
                <w:kern w:val="0"/>
                <w:szCs w:val="21"/>
                <w:highlight w:val="none"/>
              </w:rPr>
              <w:t>七</w:t>
            </w:r>
            <w:r>
              <w:rPr>
                <w:rFonts w:hint="eastAsia" w:ascii="宋体" w:hAnsi="宋体" w:cs="宋体"/>
                <w:color w:val="auto"/>
                <w:kern w:val="0"/>
                <w:szCs w:val="21"/>
                <w:highlight w:val="none"/>
                <w:lang w:val="zh-CN"/>
              </w:rPr>
              <w:t>章）</w:t>
            </w:r>
          </w:p>
        </w:tc>
      </w:tr>
      <w:bookmarkEnd w:id="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2" w:hRule="atLeast"/>
          <w:tblCellSpacing w:w="0" w:type="dxa"/>
          <w:jc w:val="center"/>
        </w:trPr>
        <w:tc>
          <w:tcPr>
            <w:tcW w:w="552" w:type="dxa"/>
            <w:vAlign w:val="center"/>
          </w:tcPr>
          <w:p>
            <w:pPr>
              <w:widowControl/>
              <w:spacing w:line="44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1800" w:type="dxa"/>
            <w:vAlign w:val="center"/>
          </w:tcPr>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营业执照</w:t>
            </w:r>
          </w:p>
        </w:tc>
        <w:tc>
          <w:tcPr>
            <w:tcW w:w="3641" w:type="dxa"/>
            <w:vAlign w:val="center"/>
          </w:tcPr>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有效的营业执照</w:t>
            </w:r>
          </w:p>
        </w:tc>
        <w:tc>
          <w:tcPr>
            <w:tcW w:w="3736" w:type="dxa"/>
            <w:vAlign w:val="center"/>
          </w:tcPr>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有效的企业营业执照复印件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vAlign w:val="center"/>
          </w:tcPr>
          <w:p>
            <w:pPr>
              <w:widowControl/>
              <w:spacing w:line="44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1800" w:type="dxa"/>
            <w:vAlign w:val="center"/>
          </w:tcPr>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企业资质类别等级</w:t>
            </w:r>
          </w:p>
        </w:tc>
        <w:tc>
          <w:tcPr>
            <w:tcW w:w="3641" w:type="dxa"/>
            <w:vAlign w:val="center"/>
          </w:tcPr>
          <w:p>
            <w:pPr>
              <w:widowControl/>
              <w:spacing w:line="44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具有独立法人资格（若为本地通讯基础运营商可为市场监督管理部门颁发的有效的分支机构）并具有以下①②条件之一：</w:t>
            </w:r>
          </w:p>
          <w:p>
            <w:pPr>
              <w:widowControl/>
              <w:spacing w:line="44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①通信工程施工总承包三级及以上资质(在有效期内)；</w:t>
            </w:r>
          </w:p>
          <w:p>
            <w:pPr>
              <w:widowControl/>
              <w:spacing w:line="440" w:lineRule="exact"/>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②具有本地通讯基础运营商，本地通信线路资源，并具备有效的基础电信业务经营许可证或广播电视节目传送业务经营许可证；</w:t>
            </w:r>
          </w:p>
        </w:tc>
        <w:tc>
          <w:tcPr>
            <w:tcW w:w="3736" w:type="dxa"/>
            <w:vAlign w:val="center"/>
          </w:tcPr>
          <w:p>
            <w:pPr>
              <w:widowControl/>
              <w:spacing w:line="44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①有效的基础电信业务经营许可证或广播电视节目传送业务经营许可证或②通信工程施工总承包三级及以上资质证书复印件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vAlign w:val="center"/>
          </w:tcPr>
          <w:p>
            <w:pPr>
              <w:widowControl/>
              <w:spacing w:line="440" w:lineRule="exact"/>
              <w:jc w:val="center"/>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5</w:t>
            </w:r>
          </w:p>
        </w:tc>
        <w:tc>
          <w:tcPr>
            <w:tcW w:w="1800" w:type="dxa"/>
            <w:vAlign w:val="center"/>
          </w:tcPr>
          <w:p>
            <w:pPr>
              <w:widowControl/>
              <w:spacing w:line="440" w:lineRule="exact"/>
              <w:jc w:val="left"/>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Cs w:val="21"/>
                <w:highlight w:val="none"/>
              </w:rPr>
              <w:t>企业安全生产许可证</w:t>
            </w:r>
          </w:p>
        </w:tc>
        <w:tc>
          <w:tcPr>
            <w:tcW w:w="3641" w:type="dxa"/>
            <w:vAlign w:val="center"/>
          </w:tcPr>
          <w:p>
            <w:pPr>
              <w:widowControl/>
              <w:spacing w:line="440" w:lineRule="exact"/>
              <w:jc w:val="left"/>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Cs w:val="21"/>
                <w:highlight w:val="none"/>
              </w:rPr>
              <w:t>企业具备安全产生条件，并取得安全生产许可证。</w:t>
            </w:r>
          </w:p>
        </w:tc>
        <w:tc>
          <w:tcPr>
            <w:tcW w:w="3736" w:type="dxa"/>
            <w:vAlign w:val="center"/>
          </w:tcPr>
          <w:p>
            <w:pPr>
              <w:widowControl/>
              <w:spacing w:line="440" w:lineRule="exact"/>
              <w:jc w:val="left"/>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Cs w:val="21"/>
                <w:highlight w:val="none"/>
              </w:rPr>
              <w:t>有效的安全生产许可证</w:t>
            </w:r>
            <w:r>
              <w:rPr>
                <w:rFonts w:hint="eastAsia"/>
                <w:color w:val="auto"/>
                <w:highlight w:val="none"/>
              </w:rPr>
              <w:t>复印件</w:t>
            </w:r>
            <w:r>
              <w:rPr>
                <w:rFonts w:hint="eastAsia" w:ascii="宋体" w:hAnsi="宋体" w:cs="宋体"/>
                <w:color w:val="auto"/>
                <w:kern w:val="0"/>
                <w:szCs w:val="21"/>
                <w:highlight w:val="none"/>
              </w:rPr>
              <w:t>（如投标人为通信工程施工总承包三级及以上资质须提供）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vAlign w:val="center"/>
          </w:tcPr>
          <w:p>
            <w:pPr>
              <w:widowControl/>
              <w:spacing w:line="44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rPr>
              <w:t>6</w:t>
            </w:r>
          </w:p>
        </w:tc>
        <w:tc>
          <w:tcPr>
            <w:tcW w:w="1800" w:type="dxa"/>
            <w:vAlign w:val="center"/>
          </w:tcPr>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拟派项目负责人资质等级</w:t>
            </w:r>
          </w:p>
        </w:tc>
        <w:tc>
          <w:tcPr>
            <w:tcW w:w="3641" w:type="dxa"/>
            <w:vAlign w:val="center"/>
          </w:tcPr>
          <w:p>
            <w:pPr>
              <w:widowControl/>
              <w:spacing w:line="44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①如投标人提供的资质为基础电信业务经营许可证或广播电视节目传送业务经营许可证，则其拟派项目负责人须具有相关专业中级及以上技术职称；②如投标人提供的资质为通信工程施工总承包三级及以上资质，则其拟派负责人须具有通信与广电工程专业二级及以上注册建造师资格，并同时具有安全生产考核合格证（B证）（注册证书及B证均注册在投标人单位）。</w:t>
            </w:r>
          </w:p>
        </w:tc>
        <w:tc>
          <w:tcPr>
            <w:tcW w:w="3736" w:type="dxa"/>
            <w:vAlign w:val="center"/>
          </w:tcPr>
          <w:p>
            <w:pPr>
              <w:widowControl/>
              <w:spacing w:line="440" w:lineRule="exact"/>
              <w:jc w:val="left"/>
              <w:rPr>
                <w:rFonts w:ascii="宋体" w:hAnsi="宋体" w:cs="宋体"/>
                <w:color w:val="auto"/>
                <w:szCs w:val="21"/>
                <w:highlight w:val="none"/>
              </w:rPr>
            </w:pPr>
            <w:r>
              <w:rPr>
                <w:rFonts w:hint="eastAsia" w:ascii="宋体" w:hAnsi="宋体" w:cs="宋体"/>
                <w:color w:val="auto"/>
                <w:szCs w:val="21"/>
                <w:highlight w:val="none"/>
              </w:rPr>
              <w:t>如投标人提供的资质为基础电信业务经营许可证或广播电视节目传送业务经营许可证，则提供有效的职称证书；</w:t>
            </w:r>
          </w:p>
          <w:p>
            <w:pPr>
              <w:widowControl/>
              <w:spacing w:line="440" w:lineRule="exact"/>
              <w:jc w:val="left"/>
              <w:rPr>
                <w:rFonts w:ascii="宋体" w:hAnsi="宋体" w:cs="宋体"/>
                <w:color w:val="auto"/>
                <w:szCs w:val="21"/>
                <w:highlight w:val="none"/>
              </w:rPr>
            </w:pPr>
            <w:r>
              <w:rPr>
                <w:rFonts w:hint="eastAsia" w:ascii="宋体" w:hAnsi="宋体" w:cs="宋体"/>
                <w:color w:val="auto"/>
                <w:szCs w:val="21"/>
                <w:highlight w:val="none"/>
              </w:rPr>
              <w:t>如投标人提供的资质为通信工程施工总承包三级及以上资质，则提供有效的建造师注册证书复印件及安全考核合格证书（B证）复印件</w:t>
            </w:r>
            <w:r>
              <w:rPr>
                <w:rFonts w:hint="eastAsia" w:ascii="宋体" w:hAnsi="宋体" w:cs="宋体"/>
                <w:color w:val="auto"/>
                <w:kern w:val="0"/>
                <w:szCs w:val="21"/>
                <w:highlight w:val="none"/>
              </w:rPr>
              <w:t>（注册证书及B证均注册在投标人单位）</w:t>
            </w:r>
          </w:p>
          <w:p>
            <w:pPr>
              <w:widowControl/>
              <w:spacing w:line="440" w:lineRule="exact"/>
              <w:jc w:val="left"/>
              <w:rPr>
                <w:rFonts w:hint="eastAsia" w:ascii="宋体" w:hAnsi="宋体" w:cs="宋体"/>
                <w:color w:val="auto"/>
                <w:szCs w:val="21"/>
                <w:highlight w:val="none"/>
              </w:rPr>
            </w:pPr>
            <w:r>
              <w:rPr>
                <w:rFonts w:hint="eastAsia" w:hAnsi="宋体"/>
                <w:b/>
                <w:bCs/>
                <w:color w:val="auto"/>
                <w:kern w:val="0"/>
                <w:szCs w:val="21"/>
                <w:highlight w:val="none"/>
              </w:rPr>
              <w:t>特别提醒：①如本项目投标人拟派的项目负责人为一级注册建造师的，必须根据《办公厅关于全面实行一级建造师电子注册证书的通知》（建办市〔2021〕40号）文件要求执行。②注册地为江苏省内的企业，如拟派项目负责人为二级建造师的，必须按照《省住房和城乡建设厅关于我省二级建造师、二级造价工程师、二级注册建筑师、二级注册结构工程师注册证书电子证照换发的公告》(〔2023〕第26号)文件要求换发新的注册证书电子证照，否则不予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6" w:hRule="atLeast"/>
          <w:tblCellSpacing w:w="0" w:type="dxa"/>
          <w:jc w:val="center"/>
        </w:trPr>
        <w:tc>
          <w:tcPr>
            <w:tcW w:w="552" w:type="dxa"/>
            <w:vAlign w:val="center"/>
          </w:tcPr>
          <w:p>
            <w:pPr>
              <w:widowControl/>
              <w:spacing w:line="44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rPr>
              <w:t>7</w:t>
            </w:r>
          </w:p>
        </w:tc>
        <w:tc>
          <w:tcPr>
            <w:tcW w:w="1800" w:type="dxa"/>
            <w:vAlign w:val="center"/>
          </w:tcPr>
          <w:p>
            <w:pPr>
              <w:widowControl/>
              <w:adjustRightInd w:val="0"/>
              <w:rPr>
                <w:rFonts w:hint="eastAsia" w:ascii="宋体" w:hAnsi="宋体" w:cs="宋体"/>
                <w:color w:val="auto"/>
                <w:kern w:val="0"/>
                <w:szCs w:val="21"/>
                <w:highlight w:val="none"/>
              </w:rPr>
            </w:pPr>
            <w:r>
              <w:rPr>
                <w:rFonts w:hint="eastAsia" w:ascii="宋体" w:hAnsi="宋体" w:cs="宋体"/>
                <w:color w:val="auto"/>
                <w:kern w:val="0"/>
                <w:szCs w:val="21"/>
                <w:highlight w:val="none"/>
              </w:rPr>
              <w:t>拟派项目负责人为投标企业正式人员</w:t>
            </w:r>
          </w:p>
        </w:tc>
        <w:tc>
          <w:tcPr>
            <w:tcW w:w="3641" w:type="dxa"/>
            <w:vAlign w:val="center"/>
          </w:tcPr>
          <w:p>
            <w:pPr>
              <w:widowControl/>
              <w:adjustRightInd w:val="0"/>
              <w:rPr>
                <w:rFonts w:hint="eastAsia" w:ascii="宋体" w:hAnsi="宋体" w:cs="宋体"/>
                <w:color w:val="auto"/>
                <w:kern w:val="0"/>
                <w:szCs w:val="21"/>
                <w:highlight w:val="none"/>
              </w:rPr>
            </w:pPr>
            <w:r>
              <w:rPr>
                <w:rFonts w:hint="eastAsia" w:ascii="宋体" w:hAnsi="宋体" w:cs="宋体"/>
                <w:color w:val="auto"/>
                <w:szCs w:val="21"/>
                <w:highlight w:val="none"/>
              </w:rPr>
              <w:t>拟派项目负责人为投标企业正式人员</w:t>
            </w:r>
          </w:p>
        </w:tc>
        <w:tc>
          <w:tcPr>
            <w:tcW w:w="3736" w:type="dxa"/>
            <w:vAlign w:val="center"/>
          </w:tcPr>
          <w:p>
            <w:pPr>
              <w:widowControl/>
              <w:adjustRightInd w:val="0"/>
              <w:rPr>
                <w:rFonts w:hint="eastAsia" w:ascii="宋体" w:hAnsi="宋体" w:cs="宋体"/>
                <w:color w:val="auto"/>
                <w:kern w:val="0"/>
                <w:szCs w:val="21"/>
                <w:highlight w:val="none"/>
              </w:rPr>
            </w:pPr>
            <w:r>
              <w:rPr>
                <w:rFonts w:hint="eastAsia" w:ascii="宋体" w:hAnsi="宋体" w:cs="宋体"/>
                <w:color w:val="auto"/>
                <w:szCs w:val="21"/>
                <w:highlight w:val="none"/>
              </w:rPr>
              <w:t>投标企业与拟派项目负责人双方签订的</w:t>
            </w:r>
            <w:r>
              <w:rPr>
                <w:rFonts w:hint="eastAsia" w:ascii="宋体" w:hAnsi="宋体" w:cs="宋体"/>
                <w:color w:val="auto"/>
                <w:kern w:val="0"/>
                <w:szCs w:val="21"/>
                <w:highlight w:val="none"/>
              </w:rPr>
              <w:t>有效的劳动合同书复印件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7" w:hRule="atLeast"/>
          <w:tblCellSpacing w:w="0" w:type="dxa"/>
          <w:jc w:val="center"/>
        </w:trPr>
        <w:tc>
          <w:tcPr>
            <w:tcW w:w="552" w:type="dxa"/>
            <w:vAlign w:val="center"/>
          </w:tcPr>
          <w:p>
            <w:pPr>
              <w:widowControl/>
              <w:spacing w:line="44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rPr>
              <w:t>8</w:t>
            </w:r>
          </w:p>
        </w:tc>
        <w:tc>
          <w:tcPr>
            <w:tcW w:w="1800" w:type="dxa"/>
            <w:vAlign w:val="center"/>
          </w:tcPr>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拟派项目负责人无在建工程</w:t>
            </w:r>
          </w:p>
        </w:tc>
        <w:tc>
          <w:tcPr>
            <w:tcW w:w="3641" w:type="dxa"/>
            <w:vAlign w:val="center"/>
          </w:tcPr>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项目负责人必须符合下列条件：</w:t>
            </w:r>
          </w:p>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①项目负责人不得同时在两个或者两个以上单位受聘或者执业。</w:t>
            </w:r>
          </w:p>
          <w:p>
            <w:pPr>
              <w:rPr>
                <w:rFonts w:hint="eastAsia" w:ascii="宋体" w:hAnsi="宋体" w:cs="宋体"/>
                <w:color w:val="auto"/>
                <w:kern w:val="0"/>
                <w:szCs w:val="21"/>
                <w:highlight w:val="none"/>
              </w:rPr>
            </w:pPr>
            <w:r>
              <w:rPr>
                <w:rFonts w:hint="eastAsia" w:ascii="宋体" w:hAnsi="宋体" w:cs="宋体"/>
                <w:color w:val="auto"/>
                <w:kern w:val="0"/>
                <w:szCs w:val="21"/>
                <w:highlight w:val="none"/>
              </w:rPr>
              <w:t>②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tc>
        <w:tc>
          <w:tcPr>
            <w:tcW w:w="3736" w:type="dxa"/>
            <w:vAlign w:val="center"/>
          </w:tcPr>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①有效的诚信承诺书</w:t>
            </w:r>
            <w:r>
              <w:rPr>
                <w:rFonts w:hint="eastAsia"/>
                <w:color w:val="auto"/>
                <w:highlight w:val="none"/>
              </w:rPr>
              <w:t>原件</w:t>
            </w:r>
            <w:r>
              <w:rPr>
                <w:rFonts w:hint="eastAsia" w:ascii="宋体" w:hAnsi="宋体" w:cs="宋体"/>
                <w:color w:val="auto"/>
                <w:kern w:val="0"/>
                <w:szCs w:val="21"/>
                <w:highlight w:val="none"/>
              </w:rPr>
              <w:t>（详见第七章—诚信承诺书）</w:t>
            </w:r>
          </w:p>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②原合同工期已满且变更备案之日已满6个月的证明或建设单位同意并已办理项目负责人变更手续的证明（如有）。</w:t>
            </w:r>
          </w:p>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③工程完工证明（如有）（详见第七章“工程完工证明”）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vAlign w:val="center"/>
          </w:tcPr>
          <w:p>
            <w:pPr>
              <w:widowControl/>
              <w:spacing w:line="360" w:lineRule="exact"/>
              <w:jc w:val="center"/>
              <w:rPr>
                <w:rFonts w:hint="eastAsia" w:eastAsia="宋体"/>
                <w:color w:val="auto"/>
                <w:kern w:val="0"/>
                <w:szCs w:val="21"/>
                <w:highlight w:val="none"/>
                <w:lang w:eastAsia="zh-CN"/>
              </w:rPr>
            </w:pPr>
            <w:r>
              <w:rPr>
                <w:rFonts w:hint="eastAsia"/>
                <w:color w:val="auto"/>
                <w:kern w:val="0"/>
                <w:szCs w:val="21"/>
                <w:highlight w:val="none"/>
                <w:lang w:val="en-US" w:eastAsia="zh-CN"/>
              </w:rPr>
              <w:t>9</w:t>
            </w:r>
          </w:p>
        </w:tc>
        <w:tc>
          <w:tcPr>
            <w:tcW w:w="1800" w:type="dxa"/>
            <w:vAlign w:val="center"/>
          </w:tcPr>
          <w:p>
            <w:pPr>
              <w:widowControl/>
              <w:spacing w:line="360" w:lineRule="exact"/>
              <w:rPr>
                <w:rFonts w:hint="eastAsia" w:hAnsi="宋体"/>
                <w:color w:val="auto"/>
                <w:kern w:val="0"/>
                <w:szCs w:val="21"/>
                <w:highlight w:val="none"/>
              </w:rPr>
            </w:pPr>
            <w:r>
              <w:rPr>
                <w:rFonts w:hint="eastAsia" w:hAnsi="宋体" w:cs="宋体"/>
                <w:color w:val="auto"/>
                <w:szCs w:val="21"/>
                <w:highlight w:val="none"/>
              </w:rPr>
              <w:t>诚信承诺书</w:t>
            </w:r>
          </w:p>
        </w:tc>
        <w:tc>
          <w:tcPr>
            <w:tcW w:w="7377" w:type="dxa"/>
            <w:gridSpan w:val="2"/>
            <w:vAlign w:val="center"/>
          </w:tcPr>
          <w:p>
            <w:pPr>
              <w:widowControl/>
              <w:spacing w:line="440" w:lineRule="exact"/>
              <w:jc w:val="left"/>
              <w:rPr>
                <w:rFonts w:hint="eastAsia" w:ascii="宋体" w:hAnsi="宋体" w:cs="宋体"/>
                <w:color w:val="auto"/>
                <w:szCs w:val="21"/>
                <w:highlight w:val="none"/>
              </w:rPr>
            </w:pPr>
            <w:r>
              <w:rPr>
                <w:rFonts w:hint="eastAsia" w:hAnsi="宋体" w:cs="宋体"/>
                <w:color w:val="auto"/>
                <w:szCs w:val="21"/>
                <w:highlight w:val="none"/>
              </w:rPr>
              <w:t>有效的诚信承诺书原件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7" w:hRule="atLeast"/>
          <w:tblCellSpacing w:w="0" w:type="dxa"/>
          <w:jc w:val="center"/>
        </w:trPr>
        <w:tc>
          <w:tcPr>
            <w:tcW w:w="552" w:type="dxa"/>
            <w:vAlign w:val="center"/>
          </w:tcPr>
          <w:p>
            <w:pPr>
              <w:widowControl/>
              <w:spacing w:line="44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备注</w:t>
            </w:r>
          </w:p>
        </w:tc>
        <w:tc>
          <w:tcPr>
            <w:tcW w:w="9177" w:type="dxa"/>
            <w:gridSpan w:val="3"/>
            <w:vAlign w:val="center"/>
          </w:tcPr>
          <w:p>
            <w:pPr>
              <w:widowControl/>
              <w:adjustRightInd w:val="0"/>
              <w:ind w:firstLine="420" w:firstLineChars="200"/>
              <w:jc w:val="left"/>
              <w:rPr>
                <w:rFonts w:hint="eastAsia" w:ascii="宋体" w:hAnsi="宋体" w:cs="宋体"/>
                <w:b/>
                <w:bCs/>
                <w:color w:val="auto"/>
                <w:kern w:val="0"/>
                <w:szCs w:val="21"/>
                <w:highlight w:val="none"/>
              </w:rPr>
            </w:pPr>
            <w:r>
              <w:rPr>
                <w:rFonts w:hint="eastAsia" w:ascii="宋体" w:hAnsi="宋体" w:cs="宋体"/>
                <w:color w:val="auto"/>
                <w:kern w:val="0"/>
                <w:szCs w:val="21"/>
                <w:highlight w:val="none"/>
              </w:rPr>
              <w:t>1、资格审查阶段，评标委员会根据资格审查标准、资格审查条件、“资格审查资料包”中的资料进行资格评审，请投标人按照本招标文件要求准确提供全部资料，否则做无效标处理。</w:t>
            </w:r>
            <w:r>
              <w:rPr>
                <w:rFonts w:hint="eastAsia" w:ascii="宋体" w:hAnsi="宋体" w:cs="宋体"/>
                <w:b/>
                <w:bCs/>
                <w:color w:val="auto"/>
                <w:kern w:val="0"/>
                <w:szCs w:val="21"/>
                <w:highlight w:val="none"/>
              </w:rPr>
              <w:t>原件仅在资格审查资料内容存在字迹模糊、分辨不清等情形时予以查验。如评标委员会要求提供原件，不能提供者，资格审查不予通过。</w:t>
            </w:r>
          </w:p>
          <w:p>
            <w:pPr>
              <w:widowControl/>
              <w:adjustRightInd w:val="0"/>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2、以上1-</w:t>
            </w:r>
            <w:r>
              <w:rPr>
                <w:rFonts w:hint="eastAsia" w:ascii="宋体" w:hAnsi="宋体" w:cs="宋体"/>
                <w:color w:val="auto"/>
                <w:kern w:val="0"/>
                <w:szCs w:val="21"/>
                <w:highlight w:val="none"/>
                <w:lang w:val="en-US" w:eastAsia="zh-CN"/>
              </w:rPr>
              <w:t>9</w:t>
            </w:r>
            <w:r>
              <w:rPr>
                <w:rFonts w:hint="eastAsia" w:ascii="宋体" w:hAnsi="宋体" w:cs="宋体"/>
                <w:color w:val="auto"/>
                <w:kern w:val="0"/>
                <w:szCs w:val="21"/>
                <w:highlight w:val="none"/>
              </w:rPr>
              <w:t>中任何一条不符合要求的，则资格审查不通过。且上述序号3-</w:t>
            </w:r>
            <w:r>
              <w:rPr>
                <w:rFonts w:hint="eastAsia" w:ascii="宋体" w:hAnsi="宋体" w:cs="宋体"/>
                <w:color w:val="auto"/>
                <w:kern w:val="0"/>
                <w:szCs w:val="21"/>
                <w:highlight w:val="none"/>
                <w:lang w:val="en-US" w:eastAsia="zh-CN"/>
              </w:rPr>
              <w:t>7</w:t>
            </w:r>
            <w:r>
              <w:rPr>
                <w:rFonts w:hint="eastAsia" w:ascii="宋体" w:hAnsi="宋体" w:cs="宋体"/>
                <w:color w:val="auto"/>
                <w:kern w:val="0"/>
                <w:szCs w:val="21"/>
                <w:highlight w:val="none"/>
              </w:rPr>
              <w:t>提供复印件并加盖单位公章，同时须提供原件备查，否则资格审查不通过；投标文件副本中可用复印件并加盖单位公章，否则资格审查不通过。原件因年检无法带来的，须出具年检行政主管部门“年检证明”材料，否则后果自负。</w:t>
            </w:r>
          </w:p>
          <w:p>
            <w:pPr>
              <w:widowControl/>
              <w:adjustRightInd w:val="0"/>
              <w:ind w:firstLine="420" w:firstLineChars="200"/>
              <w:jc w:val="left"/>
              <w:rPr>
                <w:color w:val="auto"/>
                <w:highlight w:val="none"/>
              </w:rPr>
            </w:pPr>
            <w:r>
              <w:rPr>
                <w:rFonts w:hint="eastAsia" w:ascii="宋体" w:hAnsi="宋体" w:cs="宋体"/>
                <w:color w:val="auto"/>
                <w:kern w:val="0"/>
                <w:szCs w:val="21"/>
                <w:highlight w:val="none"/>
              </w:rPr>
              <w:t>3、如法人名称和法定代表人姓名发生变化，请提供相关证明。否则，资格审查不通过。</w:t>
            </w:r>
          </w:p>
        </w:tc>
      </w:tr>
    </w:tbl>
    <w:p>
      <w:pPr>
        <w:snapToGrid w:val="0"/>
        <w:spacing w:line="360" w:lineRule="auto"/>
        <w:jc w:val="left"/>
        <w:rPr>
          <w:rFonts w:ascii="宋体"/>
          <w:b/>
          <w:color w:val="auto"/>
          <w:kern w:val="0"/>
          <w:szCs w:val="21"/>
          <w:highlight w:val="none"/>
        </w:rPr>
      </w:pPr>
      <w:r>
        <w:rPr>
          <w:rFonts w:hint="eastAsia" w:ascii="宋体"/>
          <w:b/>
          <w:color w:val="auto"/>
          <w:kern w:val="0"/>
          <w:szCs w:val="21"/>
          <w:highlight w:val="none"/>
        </w:rPr>
        <w:t>本次资格审查采用合格制，各投标人只有满足资格审查必要合格条件后，方可参与商务标的评审。</w:t>
      </w:r>
    </w:p>
    <w:p>
      <w:pPr>
        <w:numPr>
          <w:ilvl w:val="0"/>
          <w:numId w:val="4"/>
        </w:numPr>
        <w:snapToGrid w:val="0"/>
        <w:spacing w:line="360" w:lineRule="auto"/>
        <w:ind w:firstLine="420" w:firstLineChars="200"/>
        <w:rPr>
          <w:rFonts w:ascii="宋体"/>
          <w:color w:val="auto"/>
          <w:szCs w:val="21"/>
          <w:highlight w:val="none"/>
        </w:rPr>
      </w:pPr>
      <w:r>
        <w:rPr>
          <w:rFonts w:hint="eastAsia" w:ascii="宋体"/>
          <w:color w:val="auto"/>
          <w:szCs w:val="21"/>
          <w:highlight w:val="none"/>
        </w:rPr>
        <w:t xml:space="preserve">商务标评审 </w:t>
      </w:r>
    </w:p>
    <w:p>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各投标人必须通过资格审查方可进行商务标的评审。</w:t>
      </w:r>
    </w:p>
    <w:p>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确定有效报价</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Cs w:val="21"/>
          <w:highlight w:val="none"/>
        </w:rPr>
        <w:t>本次招标采用固定</w:t>
      </w:r>
      <w:r>
        <w:rPr>
          <w:rFonts w:hint="eastAsia" w:ascii="宋体" w:hAnsi="宋体" w:cs="宋体"/>
          <w:color w:val="auto"/>
          <w:szCs w:val="21"/>
          <w:highlight w:val="none"/>
          <w:lang w:eastAsia="zh-CN"/>
        </w:rPr>
        <w:t>下浮率的</w:t>
      </w:r>
      <w:r>
        <w:rPr>
          <w:rFonts w:hint="eastAsia" w:ascii="宋体" w:hAnsi="宋体" w:cs="宋体"/>
          <w:color w:val="auto"/>
          <w:szCs w:val="21"/>
          <w:highlight w:val="none"/>
        </w:rPr>
        <w:t>报</w:t>
      </w:r>
      <w:r>
        <w:rPr>
          <w:rFonts w:hint="eastAsia" w:ascii="宋体" w:hAnsi="宋体" w:cs="宋体"/>
          <w:color w:val="auto"/>
          <w:sz w:val="21"/>
          <w:szCs w:val="21"/>
          <w:highlight w:val="none"/>
        </w:rPr>
        <w:t>价方式。投标人的投标报价</w:t>
      </w:r>
      <w:r>
        <w:rPr>
          <w:rFonts w:hint="eastAsia" w:ascii="宋体" w:hAnsi="宋体" w:cs="宋体"/>
          <w:color w:val="auto"/>
          <w:sz w:val="21"/>
          <w:szCs w:val="21"/>
          <w:highlight w:val="none"/>
          <w:lang w:eastAsia="zh-CN"/>
        </w:rPr>
        <w:t>大于</w:t>
      </w:r>
      <w:r>
        <w:rPr>
          <w:rFonts w:hint="eastAsia" w:ascii="宋体" w:hAnsi="宋体" w:cs="宋体"/>
          <w:color w:val="auto"/>
          <w:sz w:val="21"/>
          <w:szCs w:val="21"/>
          <w:highlight w:val="none"/>
        </w:rPr>
        <w:t>招标人设定的</w:t>
      </w:r>
      <w:r>
        <w:rPr>
          <w:rFonts w:hint="eastAsia" w:ascii="宋体" w:hAnsi="宋体" w:cs="宋体"/>
          <w:color w:val="auto"/>
          <w:sz w:val="21"/>
          <w:szCs w:val="21"/>
          <w:highlight w:val="none"/>
          <w:lang w:val="en-US" w:eastAsia="zh-CN"/>
        </w:rPr>
        <w:t>最低限价下浮率</w:t>
      </w:r>
      <w:r>
        <w:rPr>
          <w:rFonts w:hint="eastAsia" w:ascii="宋体" w:hAnsi="宋体" w:cs="宋体"/>
          <w:color w:val="auto"/>
          <w:sz w:val="21"/>
          <w:szCs w:val="21"/>
          <w:highlight w:val="none"/>
          <w:lang w:eastAsia="zh-CN"/>
        </w:rPr>
        <w:t>的</w:t>
      </w:r>
      <w:r>
        <w:rPr>
          <w:rFonts w:hint="eastAsia" w:ascii="宋体" w:hAnsi="宋体" w:cs="宋体"/>
          <w:color w:val="auto"/>
          <w:sz w:val="21"/>
          <w:szCs w:val="21"/>
          <w:highlight w:val="none"/>
        </w:rPr>
        <w:t>为有效报价，</w:t>
      </w:r>
      <w:r>
        <w:rPr>
          <w:rFonts w:hint="eastAsia" w:ascii="宋体" w:hAnsi="宋体" w:cs="宋体"/>
          <w:color w:val="auto"/>
          <w:sz w:val="21"/>
          <w:szCs w:val="21"/>
          <w:highlight w:val="none"/>
          <w:lang w:eastAsia="zh-CN"/>
        </w:rPr>
        <w:t>小</w:t>
      </w:r>
      <w:r>
        <w:rPr>
          <w:rFonts w:hint="eastAsia" w:ascii="宋体" w:hAnsi="宋体" w:cs="宋体"/>
          <w:color w:val="auto"/>
          <w:sz w:val="21"/>
          <w:szCs w:val="21"/>
          <w:highlight w:val="none"/>
        </w:rPr>
        <w:t>于或等于</w:t>
      </w:r>
      <w:r>
        <w:rPr>
          <w:rFonts w:hint="eastAsia" w:ascii="宋体" w:hAnsi="宋体" w:cs="宋体"/>
          <w:color w:val="auto"/>
          <w:sz w:val="21"/>
          <w:szCs w:val="21"/>
          <w:highlight w:val="none"/>
          <w:lang w:val="en-US" w:eastAsia="zh-CN"/>
        </w:rPr>
        <w:t>最低限价下浮率</w:t>
      </w:r>
      <w:r>
        <w:rPr>
          <w:rFonts w:hint="eastAsia" w:ascii="宋体" w:hAnsi="宋体" w:cs="宋体"/>
          <w:color w:val="auto"/>
          <w:sz w:val="21"/>
          <w:szCs w:val="21"/>
          <w:highlight w:val="none"/>
        </w:rPr>
        <w:t>的为无效报价，作</w:t>
      </w:r>
      <w:r>
        <w:rPr>
          <w:rFonts w:hint="eastAsia" w:ascii="宋体" w:hAnsi="宋体" w:cs="宋体"/>
          <w:color w:val="auto"/>
          <w:sz w:val="21"/>
          <w:szCs w:val="21"/>
          <w:highlight w:val="none"/>
          <w:lang w:eastAsia="zh-CN"/>
        </w:rPr>
        <w:t>无效</w:t>
      </w:r>
      <w:r>
        <w:rPr>
          <w:rFonts w:hint="eastAsia" w:ascii="宋体" w:hAnsi="宋体" w:cs="宋体"/>
          <w:color w:val="auto"/>
          <w:sz w:val="21"/>
          <w:szCs w:val="21"/>
          <w:highlight w:val="none"/>
        </w:rPr>
        <w:t>标处理。</w:t>
      </w:r>
      <w:r>
        <w:rPr>
          <w:rFonts w:hint="eastAsia" w:ascii="宋体" w:hAnsi="宋体" w:cs="宋体"/>
          <w:color w:val="auto"/>
          <w:sz w:val="21"/>
          <w:szCs w:val="21"/>
          <w:highlight w:val="none"/>
          <w:lang w:eastAsia="zh-CN"/>
        </w:rPr>
        <w:t>本工程的</w:t>
      </w:r>
      <w:r>
        <w:rPr>
          <w:rFonts w:hint="eastAsia" w:ascii="宋体" w:hAnsi="宋体" w:cs="宋体"/>
          <w:color w:val="auto"/>
          <w:sz w:val="21"/>
          <w:szCs w:val="21"/>
          <w:highlight w:val="none"/>
          <w:lang w:val="en-US" w:eastAsia="zh-CN"/>
        </w:rPr>
        <w:t>最低限价下浮率为0%。</w:t>
      </w:r>
    </w:p>
    <w:p>
      <w:pPr>
        <w:pStyle w:val="20"/>
        <w:keepNext w:val="0"/>
        <w:keepLines w:val="0"/>
        <w:pageBreakBefore w:val="0"/>
        <w:widowControl w:val="0"/>
        <w:numPr>
          <w:ilvl w:val="0"/>
          <w:numId w:val="0"/>
        </w:numPr>
        <w:kinsoku/>
        <w:wordWrap/>
        <w:overflowPunct/>
        <w:topLinePunct w:val="0"/>
        <w:autoSpaceDE/>
        <w:autoSpaceDN/>
        <w:bidi w:val="0"/>
        <w:adjustRightInd/>
        <w:snapToGrid w:val="0"/>
        <w:spacing w:after="0"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本项目预算价</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本工程预算价：</w:t>
      </w:r>
      <w:r>
        <w:rPr>
          <w:rFonts w:hint="eastAsia" w:ascii="宋体" w:hAnsi="宋体" w:eastAsia="宋体" w:cs="宋体"/>
          <w:b/>
          <w:bCs/>
          <w:color w:val="auto"/>
          <w:sz w:val="21"/>
          <w:szCs w:val="21"/>
          <w:highlight w:val="none"/>
          <w:lang w:val="en-US" w:eastAsia="zh-CN"/>
        </w:rPr>
        <w:t>1432275.24元</w:t>
      </w:r>
      <w:r>
        <w:rPr>
          <w:rFonts w:hint="eastAsia" w:ascii="宋体" w:hAnsi="宋体" w:eastAsia="宋体" w:cs="宋体"/>
          <w:b/>
          <w:bCs/>
          <w:color w:val="auto"/>
          <w:sz w:val="21"/>
          <w:szCs w:val="21"/>
          <w:highlight w:val="none"/>
          <w:lang w:eastAsia="zh-CN"/>
        </w:rPr>
        <w:t>（12.00元/m2*119356 .27m2），其中：设计费</w:t>
      </w:r>
      <w:r>
        <w:rPr>
          <w:rFonts w:hint="eastAsia" w:ascii="宋体" w:hAnsi="宋体" w:eastAsia="宋体" w:cs="宋体"/>
          <w:b/>
          <w:bCs/>
          <w:color w:val="auto"/>
          <w:sz w:val="21"/>
          <w:szCs w:val="21"/>
          <w:highlight w:val="none"/>
          <w:lang w:val="en-US" w:eastAsia="zh-CN"/>
        </w:rPr>
        <w:t xml:space="preserve"> 30000.00元，建安工程费1402275.24 元</w:t>
      </w:r>
      <w:r>
        <w:rPr>
          <w:rFonts w:hint="eastAsia" w:ascii="宋体" w:hAnsi="宋体" w:cs="宋体"/>
          <w:color w:val="auto"/>
          <w:sz w:val="21"/>
          <w:szCs w:val="21"/>
          <w:highlight w:val="none"/>
          <w:lang w:val="en-US" w:eastAsia="zh-CN"/>
        </w:rPr>
        <w:t>。</w:t>
      </w:r>
      <w:r>
        <w:rPr>
          <w:rFonts w:hint="eastAsia" w:ascii="宋体" w:hAnsi="宋体" w:eastAsia="宋体" w:cs="宋体"/>
          <w:b/>
          <w:bCs/>
          <w:color w:val="auto"/>
          <w:sz w:val="21"/>
          <w:szCs w:val="21"/>
          <w:highlight w:val="none"/>
          <w:lang w:eastAsia="zh-CN"/>
        </w:rPr>
        <w:t>建安工程费</w:t>
      </w:r>
      <w:r>
        <w:rPr>
          <w:rFonts w:hint="eastAsia" w:ascii="宋体" w:hAnsi="宋体" w:eastAsia="宋体" w:cs="宋体"/>
          <w:b/>
          <w:bCs/>
          <w:color w:val="auto"/>
          <w:sz w:val="21"/>
          <w:szCs w:val="21"/>
          <w:highlight w:val="none"/>
        </w:rPr>
        <w:t>最终按合同条款“第九条 结算”中的约定进行结算。</w:t>
      </w:r>
    </w:p>
    <w:p>
      <w:pPr>
        <w:pStyle w:val="20"/>
        <w:keepNext w:val="0"/>
        <w:keepLines w:val="0"/>
        <w:pageBreakBefore w:val="0"/>
        <w:widowControl w:val="0"/>
        <w:numPr>
          <w:ilvl w:val="0"/>
          <w:numId w:val="0"/>
        </w:numPr>
        <w:kinsoku/>
        <w:wordWrap/>
        <w:overflowPunct/>
        <w:topLinePunct w:val="0"/>
        <w:autoSpaceDE/>
        <w:autoSpaceDN/>
        <w:bidi w:val="0"/>
        <w:adjustRightInd/>
        <w:snapToGrid w:val="0"/>
        <w:spacing w:after="0" w:line="360" w:lineRule="auto"/>
        <w:ind w:firstLine="422" w:firstLineChars="200"/>
        <w:textAlignment w:val="auto"/>
        <w:rPr>
          <w:rFonts w:hint="eastAsia"/>
          <w:b/>
          <w:bCs/>
          <w:color w:val="auto"/>
          <w:sz w:val="21"/>
          <w:szCs w:val="21"/>
          <w:highlight w:val="none"/>
        </w:rPr>
      </w:pPr>
      <w:r>
        <w:rPr>
          <w:rFonts w:hint="eastAsia" w:ascii="宋体" w:hAnsi="宋体" w:eastAsia="宋体" w:cs="宋体"/>
          <w:b/>
          <w:bCs/>
          <w:color w:val="auto"/>
          <w:sz w:val="21"/>
          <w:szCs w:val="21"/>
          <w:highlight w:val="none"/>
          <w:lang w:eastAsia="zh-CN"/>
        </w:rPr>
        <w:t>本工程采用下浮率招标，</w:t>
      </w:r>
      <w:bookmarkStart w:id="33" w:name="OLE_LINK3"/>
      <w:r>
        <w:rPr>
          <w:rFonts w:hint="eastAsia" w:ascii="宋体" w:hAnsi="宋体" w:eastAsia="宋体" w:cs="宋体"/>
          <w:b/>
          <w:bCs/>
          <w:color w:val="auto"/>
          <w:sz w:val="21"/>
          <w:szCs w:val="21"/>
          <w:highlight w:val="none"/>
          <w:lang w:eastAsia="zh-CN"/>
        </w:rPr>
        <w:t>且</w:t>
      </w:r>
      <w:r>
        <w:rPr>
          <w:rFonts w:hint="eastAsia" w:ascii="宋体" w:hAnsi="宋体" w:eastAsia="宋体" w:cs="宋体"/>
          <w:b/>
          <w:bCs/>
          <w:color w:val="auto"/>
          <w:sz w:val="21"/>
          <w:szCs w:val="21"/>
          <w:highlight w:val="none"/>
          <w:lang w:val="en-US" w:eastAsia="zh-CN"/>
        </w:rPr>
        <w:t>至多</w:t>
      </w:r>
      <w:r>
        <w:rPr>
          <w:rFonts w:hint="eastAsia" w:ascii="宋体" w:hAnsi="宋体" w:eastAsia="宋体" w:cs="宋体"/>
          <w:b/>
          <w:bCs/>
          <w:color w:val="auto"/>
          <w:sz w:val="21"/>
          <w:szCs w:val="21"/>
          <w:highlight w:val="none"/>
          <w:lang w:eastAsia="zh-CN"/>
        </w:rPr>
        <w:t>保留2位小数</w:t>
      </w:r>
      <w:bookmarkEnd w:id="33"/>
      <w:r>
        <w:rPr>
          <w:rFonts w:hint="eastAsia" w:ascii="宋体" w:hAnsi="宋体" w:eastAsia="宋体" w:cs="宋体"/>
          <w:b/>
          <w:bCs/>
          <w:color w:val="auto"/>
          <w:sz w:val="21"/>
          <w:szCs w:val="21"/>
          <w:highlight w:val="none"/>
          <w:lang w:eastAsia="zh-CN"/>
        </w:rPr>
        <w:t>。如投标人投标报价为7.678%，则按四舍五入法调整为7.68%。</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b/>
          <w:color w:val="auto"/>
          <w:szCs w:val="21"/>
          <w:highlight w:val="none"/>
        </w:rPr>
      </w:pPr>
      <w:r>
        <w:rPr>
          <w:rFonts w:hint="eastAsia" w:ascii="宋体" w:hAnsi="宋体" w:cs="宋体"/>
          <w:color w:val="auto"/>
          <w:sz w:val="21"/>
          <w:szCs w:val="21"/>
          <w:highlight w:val="none"/>
        </w:rPr>
        <w:t>（3）</w:t>
      </w:r>
      <w:r>
        <w:rPr>
          <w:rFonts w:hint="eastAsia" w:ascii="宋体" w:hAnsi="宋体" w:cs="宋体"/>
          <w:color w:val="auto"/>
          <w:sz w:val="21"/>
          <w:szCs w:val="21"/>
          <w:highlight w:val="none"/>
        </w:rPr>
        <w:t>各投标人的有效报价依次从</w:t>
      </w:r>
      <w:r>
        <w:rPr>
          <w:rFonts w:hint="eastAsia" w:ascii="宋体" w:hAnsi="宋体" w:cs="宋体"/>
          <w:color w:val="auto"/>
          <w:sz w:val="21"/>
          <w:szCs w:val="21"/>
          <w:highlight w:val="none"/>
          <w:lang w:eastAsia="zh-CN"/>
        </w:rPr>
        <w:t>大</w:t>
      </w:r>
      <w:r>
        <w:rPr>
          <w:rFonts w:hint="eastAsia" w:ascii="宋体" w:hAnsi="宋体" w:cs="宋体"/>
          <w:color w:val="auto"/>
          <w:sz w:val="21"/>
          <w:szCs w:val="21"/>
          <w:highlight w:val="none"/>
        </w:rPr>
        <w:t>到</w:t>
      </w:r>
      <w:r>
        <w:rPr>
          <w:rFonts w:hint="eastAsia" w:ascii="宋体" w:hAnsi="宋体" w:cs="宋体"/>
          <w:color w:val="auto"/>
          <w:sz w:val="21"/>
          <w:szCs w:val="21"/>
          <w:highlight w:val="none"/>
          <w:lang w:eastAsia="zh-CN"/>
        </w:rPr>
        <w:t>小</w:t>
      </w:r>
      <w:r>
        <w:rPr>
          <w:rFonts w:hint="eastAsia" w:ascii="宋体" w:hAnsi="宋体" w:cs="宋体"/>
          <w:color w:val="auto"/>
          <w:sz w:val="21"/>
          <w:szCs w:val="21"/>
          <w:highlight w:val="none"/>
        </w:rPr>
        <w:t>排序，推荐报价</w:t>
      </w:r>
      <w:r>
        <w:rPr>
          <w:rFonts w:hint="eastAsia" w:ascii="宋体" w:hAnsi="宋体" w:cs="宋体"/>
          <w:color w:val="auto"/>
          <w:sz w:val="21"/>
          <w:szCs w:val="21"/>
          <w:highlight w:val="none"/>
          <w:lang w:eastAsia="zh-CN"/>
        </w:rPr>
        <w:t>下浮率</w:t>
      </w:r>
      <w:r>
        <w:rPr>
          <w:rFonts w:hint="eastAsia" w:ascii="宋体" w:hAnsi="宋体" w:cs="宋体"/>
          <w:color w:val="auto"/>
          <w:sz w:val="21"/>
          <w:szCs w:val="21"/>
          <w:highlight w:val="none"/>
        </w:rPr>
        <w:t>最</w:t>
      </w:r>
      <w:r>
        <w:rPr>
          <w:rFonts w:hint="eastAsia" w:ascii="宋体" w:hAnsi="宋体" w:cs="宋体"/>
          <w:color w:val="auto"/>
          <w:sz w:val="21"/>
          <w:szCs w:val="21"/>
          <w:highlight w:val="none"/>
          <w:lang w:eastAsia="zh-CN"/>
        </w:rPr>
        <w:t>大</w:t>
      </w:r>
      <w:r>
        <w:rPr>
          <w:rFonts w:hint="eastAsia" w:ascii="宋体" w:hAnsi="宋体" w:cs="宋体"/>
          <w:color w:val="auto"/>
          <w:sz w:val="21"/>
          <w:szCs w:val="21"/>
          <w:highlight w:val="none"/>
        </w:rPr>
        <w:t>的投标人为第一中标候选人，</w:t>
      </w:r>
      <w:r>
        <w:rPr>
          <w:rFonts w:hint="eastAsia" w:ascii="宋体" w:hAnsi="宋体" w:cs="宋体"/>
          <w:color w:val="auto"/>
          <w:sz w:val="21"/>
          <w:szCs w:val="21"/>
          <w:highlight w:val="none"/>
        </w:rPr>
        <w:t>依次类推，推荐第二中标候选人、第三中标</w:t>
      </w:r>
      <w:r>
        <w:rPr>
          <w:rFonts w:hint="eastAsia" w:ascii="宋体" w:hAnsi="宋体" w:cs="宋体"/>
          <w:color w:val="auto"/>
          <w:szCs w:val="21"/>
          <w:highlight w:val="none"/>
        </w:rPr>
        <w:t>候选人。如有</w:t>
      </w:r>
      <w:r>
        <w:rPr>
          <w:rFonts w:hint="eastAsia" w:ascii="宋体" w:hAnsi="宋体" w:cs="宋体"/>
          <w:color w:val="auto"/>
          <w:szCs w:val="21"/>
          <w:highlight w:val="none"/>
          <w:lang w:eastAsia="zh-CN"/>
        </w:rPr>
        <w:t>相同最大下浮率</w:t>
      </w:r>
      <w:r>
        <w:rPr>
          <w:rFonts w:hint="eastAsia" w:ascii="宋体" w:hAnsi="宋体" w:cs="宋体"/>
          <w:color w:val="auto"/>
          <w:szCs w:val="21"/>
          <w:highlight w:val="none"/>
        </w:rPr>
        <w:t>报价时，</w:t>
      </w:r>
      <w:r>
        <w:rPr>
          <w:rFonts w:hint="eastAsia" w:ascii="宋体" w:hAnsi="宋体" w:cs="宋体"/>
          <w:color w:val="auto"/>
          <w:szCs w:val="21"/>
          <w:highlight w:val="none"/>
          <w:lang w:eastAsia="zh-CN"/>
        </w:rPr>
        <w:t>则</w:t>
      </w:r>
      <w:r>
        <w:rPr>
          <w:rFonts w:hint="eastAsia" w:ascii="宋体" w:hAnsi="宋体" w:cs="宋体"/>
          <w:color w:val="auto"/>
          <w:szCs w:val="21"/>
          <w:highlight w:val="none"/>
        </w:rPr>
        <w:t>现场抽签确定中标人。</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二、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left"/>
        <w:textAlignment w:val="auto"/>
        <w:rPr>
          <w:rFonts w:ascii="Calibri" w:hAnsi="Calibri"/>
          <w:color w:val="auto"/>
          <w:sz w:val="30"/>
          <w:szCs w:val="30"/>
          <w:highlight w:val="none"/>
        </w:rPr>
      </w:pPr>
      <w:r>
        <w:rPr>
          <w:rFonts w:hint="eastAsia" w:ascii="宋体" w:hAnsi="宋体"/>
          <w:color w:val="auto"/>
          <w:szCs w:val="21"/>
          <w:highlight w:val="none"/>
        </w:rPr>
        <w:t>本办法未尽事宜，由评标委员会依据相关法规研究确定。</w:t>
      </w:r>
      <w:r>
        <w:rPr>
          <w:rFonts w:hint="eastAsia" w:ascii="宋体"/>
          <w:color w:val="auto"/>
          <w:szCs w:val="21"/>
          <w:highlight w:val="none"/>
        </w:rPr>
        <w:br w:type="page"/>
      </w:r>
    </w:p>
    <w:p>
      <w:pPr>
        <w:pStyle w:val="6"/>
        <w:spacing w:before="0" w:after="0" w:line="579" w:lineRule="auto"/>
        <w:jc w:val="center"/>
        <w:rPr>
          <w:b w:val="0"/>
          <w:color w:val="auto"/>
          <w:sz w:val="52"/>
          <w:szCs w:val="52"/>
          <w:highlight w:val="none"/>
        </w:rPr>
      </w:pPr>
      <w:r>
        <w:rPr>
          <w:rFonts w:hAnsi="宋体"/>
          <w:color w:val="auto"/>
          <w:highlight w:val="none"/>
        </w:rPr>
        <w:t>第三章</w:t>
      </w:r>
      <w:r>
        <w:rPr>
          <w:rFonts w:hint="eastAsia" w:hAnsi="宋体"/>
          <w:color w:val="auto"/>
          <w:highlight w:val="none"/>
        </w:rPr>
        <w:t xml:space="preserve">  </w:t>
      </w:r>
      <w:r>
        <w:rPr>
          <w:rFonts w:hAnsi="宋体"/>
          <w:color w:val="auto"/>
          <w:highlight w:val="none"/>
        </w:rPr>
        <w:t>合同条款及格式</w:t>
      </w:r>
    </w:p>
    <w:p>
      <w:pPr>
        <w:spacing w:line="360" w:lineRule="auto"/>
        <w:rPr>
          <w:rFonts w:hint="eastAsia" w:ascii="宋体" w:hAnsi="宋体"/>
          <w:b/>
          <w:color w:val="auto"/>
          <w:szCs w:val="30"/>
          <w:highlight w:val="none"/>
        </w:rPr>
      </w:pPr>
      <w:bookmarkStart w:id="34" w:name="_Toc404159961"/>
    </w:p>
    <w:p>
      <w:pPr>
        <w:snapToGrid w:val="0"/>
        <w:spacing w:line="360" w:lineRule="auto"/>
        <w:rPr>
          <w:rFonts w:hint="eastAsia" w:ascii="宋体" w:hAnsi="宋体"/>
          <w:b/>
          <w:color w:val="auto"/>
          <w:szCs w:val="21"/>
          <w:highlight w:val="none"/>
          <w:u w:val="single"/>
        </w:rPr>
      </w:pPr>
      <w:r>
        <w:rPr>
          <w:rFonts w:hint="eastAsia" w:ascii="宋体" w:hAnsi="宋体"/>
          <w:b/>
          <w:color w:val="auto"/>
          <w:szCs w:val="30"/>
          <w:highlight w:val="none"/>
        </w:rPr>
        <w:t>发包</w:t>
      </w:r>
      <w:r>
        <w:rPr>
          <w:rFonts w:hint="eastAsia" w:ascii="宋体" w:hAnsi="宋体"/>
          <w:b/>
          <w:color w:val="auto"/>
          <w:szCs w:val="21"/>
          <w:highlight w:val="none"/>
        </w:rPr>
        <w:t>人（甲方）：</w:t>
      </w:r>
      <w:r>
        <w:rPr>
          <w:rFonts w:hint="eastAsia" w:ascii="宋体" w:hAnsi="宋体"/>
          <w:color w:val="auto"/>
          <w:szCs w:val="21"/>
          <w:highlight w:val="none"/>
          <w:u w:val="single"/>
        </w:rPr>
        <w:t xml:space="preserve">                    </w:t>
      </w:r>
    </w:p>
    <w:p>
      <w:pPr>
        <w:snapToGrid w:val="0"/>
        <w:spacing w:line="360" w:lineRule="auto"/>
        <w:rPr>
          <w:rFonts w:hint="eastAsia" w:ascii="宋体" w:hAnsi="宋体"/>
          <w:b/>
          <w:color w:val="auto"/>
          <w:szCs w:val="21"/>
          <w:highlight w:val="none"/>
          <w:u w:val="single"/>
        </w:rPr>
      </w:pPr>
      <w:r>
        <w:rPr>
          <w:rFonts w:hint="eastAsia" w:ascii="宋体" w:hAnsi="宋体"/>
          <w:b/>
          <w:color w:val="auto"/>
          <w:szCs w:val="21"/>
          <w:highlight w:val="none"/>
        </w:rPr>
        <w:t>承包人（乙方）：</w:t>
      </w:r>
      <w:r>
        <w:rPr>
          <w:rFonts w:hint="eastAsia" w:ascii="宋体" w:hAnsi="宋体"/>
          <w:color w:val="auto"/>
          <w:szCs w:val="21"/>
          <w:highlight w:val="none"/>
          <w:u w:val="single"/>
        </w:rPr>
        <w:t xml:space="preserve">                    </w:t>
      </w:r>
    </w:p>
    <w:p>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根据《中华人民共和国民法典》、《中华人民共和国建筑法》及有关法律规定，遵循平等、自愿、公平和诚实信用的原则，甲、乙双方就工程施工及有关事项协商一致，共同达成如下协议：</w:t>
      </w:r>
    </w:p>
    <w:p>
      <w:pPr>
        <w:keepNext/>
        <w:keepLines/>
        <w:snapToGrid w:val="0"/>
        <w:spacing w:line="360" w:lineRule="auto"/>
        <w:outlineLvl w:val="3"/>
        <w:rPr>
          <w:rFonts w:hint="eastAsia" w:ascii="宋体" w:hAnsi="宋体"/>
          <w:b/>
          <w:color w:val="auto"/>
          <w:szCs w:val="21"/>
          <w:highlight w:val="none"/>
        </w:rPr>
      </w:pPr>
      <w:bookmarkStart w:id="35" w:name="_Toc351203481"/>
      <w:r>
        <w:rPr>
          <w:rFonts w:hint="eastAsia" w:ascii="宋体" w:hAnsi="宋体"/>
          <w:b/>
          <w:color w:val="auto"/>
          <w:szCs w:val="21"/>
          <w:highlight w:val="none"/>
        </w:rPr>
        <w:t>第一条  工程概况</w:t>
      </w:r>
      <w:bookmarkEnd w:id="35"/>
    </w:p>
    <w:p>
      <w:pPr>
        <w:snapToGrid w:val="0"/>
        <w:spacing w:line="360" w:lineRule="auto"/>
        <w:ind w:firstLine="420" w:firstLineChars="200"/>
        <w:rPr>
          <w:rFonts w:hint="eastAsia" w:ascii="宋体" w:hAnsi="宋体"/>
          <w:color w:val="auto"/>
          <w:szCs w:val="21"/>
          <w:highlight w:val="none"/>
          <w:u w:val="single"/>
        </w:rPr>
      </w:pPr>
      <w:r>
        <w:rPr>
          <w:rFonts w:ascii="宋体" w:hAnsi="宋体"/>
          <w:bCs/>
          <w:color w:val="auto"/>
          <w:szCs w:val="21"/>
          <w:highlight w:val="none"/>
        </w:rPr>
        <w:t>1.</w:t>
      </w:r>
      <w:r>
        <w:rPr>
          <w:rFonts w:hint="eastAsia" w:ascii="宋体" w:hAnsi="宋体"/>
          <w:bCs/>
          <w:color w:val="auto"/>
          <w:szCs w:val="21"/>
          <w:highlight w:val="none"/>
        </w:rPr>
        <w:t>工程名称</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pPr>
        <w:adjustRightInd w:val="0"/>
        <w:snapToGrid w:val="0"/>
        <w:spacing w:line="360" w:lineRule="auto"/>
        <w:ind w:firstLine="420" w:firstLineChars="200"/>
        <w:rPr>
          <w:rFonts w:hint="eastAsia" w:ascii="宋体" w:hAnsi="宋体"/>
          <w:bCs/>
          <w:color w:val="auto"/>
          <w:szCs w:val="21"/>
          <w:highlight w:val="none"/>
        </w:rPr>
      </w:pPr>
      <w:r>
        <w:rPr>
          <w:rFonts w:ascii="宋体" w:hAnsi="宋体"/>
          <w:bCs/>
          <w:color w:val="auto"/>
          <w:szCs w:val="21"/>
          <w:highlight w:val="none"/>
        </w:rPr>
        <w:t>2.</w:t>
      </w:r>
      <w:r>
        <w:rPr>
          <w:rFonts w:hint="eastAsia" w:ascii="宋体" w:hAnsi="宋体"/>
          <w:bCs/>
          <w:color w:val="auto"/>
          <w:szCs w:val="21"/>
          <w:highlight w:val="none"/>
        </w:rPr>
        <w:t>工程地点：</w:t>
      </w:r>
      <w:r>
        <w:rPr>
          <w:rFonts w:hint="eastAsia" w:ascii="宋体" w:hAnsi="宋体"/>
          <w:color w:val="auto"/>
          <w:szCs w:val="21"/>
          <w:highlight w:val="none"/>
          <w:u w:val="single"/>
        </w:rPr>
        <w:t xml:space="preserve">                   </w:t>
      </w:r>
    </w:p>
    <w:p>
      <w:pPr>
        <w:snapToGrid w:val="0"/>
        <w:spacing w:line="360" w:lineRule="auto"/>
        <w:ind w:firstLine="420" w:firstLineChars="200"/>
        <w:rPr>
          <w:rFonts w:hint="eastAsia" w:ascii="宋体" w:hAnsi="宋体"/>
          <w:bCs/>
          <w:color w:val="auto"/>
          <w:szCs w:val="21"/>
          <w:highlight w:val="none"/>
        </w:rPr>
      </w:pPr>
      <w:r>
        <w:rPr>
          <w:rFonts w:ascii="宋体" w:hAnsi="宋体"/>
          <w:bCs/>
          <w:color w:val="auto"/>
          <w:szCs w:val="21"/>
          <w:highlight w:val="none"/>
        </w:rPr>
        <w:t>3.</w:t>
      </w:r>
      <w:r>
        <w:rPr>
          <w:rFonts w:hint="eastAsia" w:ascii="宋体" w:hAnsi="宋体"/>
          <w:bCs/>
          <w:color w:val="auto"/>
          <w:szCs w:val="21"/>
          <w:highlight w:val="none"/>
        </w:rPr>
        <w:t>工程立项批准文号：</w:t>
      </w:r>
      <w:r>
        <w:rPr>
          <w:rFonts w:hint="eastAsia" w:ascii="宋体" w:hAnsi="宋体"/>
          <w:bCs/>
          <w:color w:val="auto"/>
          <w:szCs w:val="21"/>
          <w:highlight w:val="none"/>
          <w:u w:val="single"/>
        </w:rPr>
        <w:t xml:space="preserve"> / </w:t>
      </w:r>
      <w:r>
        <w:rPr>
          <w:rFonts w:hint="eastAsia" w:ascii="宋体" w:hAnsi="宋体"/>
          <w:bCs/>
          <w:color w:val="auto"/>
          <w:szCs w:val="21"/>
          <w:highlight w:val="none"/>
        </w:rPr>
        <w:t>。</w:t>
      </w:r>
    </w:p>
    <w:p>
      <w:pPr>
        <w:snapToGrid w:val="0"/>
        <w:spacing w:line="360" w:lineRule="auto"/>
        <w:ind w:firstLine="420" w:firstLineChars="200"/>
        <w:rPr>
          <w:rFonts w:hint="eastAsia" w:ascii="宋体" w:hAnsi="宋体"/>
          <w:bCs/>
          <w:color w:val="auto"/>
          <w:szCs w:val="21"/>
          <w:highlight w:val="none"/>
        </w:rPr>
      </w:pPr>
      <w:r>
        <w:rPr>
          <w:rFonts w:ascii="宋体" w:hAnsi="宋体"/>
          <w:bCs/>
          <w:color w:val="auto"/>
          <w:szCs w:val="21"/>
          <w:highlight w:val="none"/>
        </w:rPr>
        <w:t>4.</w:t>
      </w:r>
      <w:r>
        <w:rPr>
          <w:rFonts w:hint="eastAsia" w:ascii="宋体" w:hAnsi="宋体"/>
          <w:bCs/>
          <w:color w:val="auto"/>
          <w:szCs w:val="21"/>
          <w:highlight w:val="none"/>
        </w:rPr>
        <w:t>资金来源：</w:t>
      </w:r>
      <w:r>
        <w:rPr>
          <w:rFonts w:hint="eastAsia" w:ascii="宋体" w:hAnsi="宋体"/>
          <w:bCs/>
          <w:color w:val="auto"/>
          <w:szCs w:val="21"/>
          <w:highlight w:val="none"/>
          <w:u w:val="single"/>
        </w:rPr>
        <w:t xml:space="preserve">自筹 </w:t>
      </w:r>
      <w:r>
        <w:rPr>
          <w:rFonts w:hint="eastAsia" w:ascii="宋体" w:hAnsi="宋体"/>
          <w:bCs/>
          <w:color w:val="auto"/>
          <w:szCs w:val="21"/>
          <w:highlight w:val="none"/>
        </w:rPr>
        <w:t>。</w:t>
      </w:r>
    </w:p>
    <w:p>
      <w:pPr>
        <w:snapToGrid w:val="0"/>
        <w:spacing w:line="360" w:lineRule="auto"/>
        <w:ind w:firstLine="420" w:firstLineChars="200"/>
        <w:rPr>
          <w:rFonts w:hint="eastAsia" w:ascii="宋体" w:hAnsi="宋体"/>
          <w:bCs/>
          <w:color w:val="auto"/>
          <w:szCs w:val="21"/>
          <w:highlight w:val="none"/>
        </w:rPr>
      </w:pPr>
      <w:r>
        <w:rPr>
          <w:rFonts w:ascii="宋体" w:hAnsi="宋体"/>
          <w:bCs/>
          <w:color w:val="auto"/>
          <w:szCs w:val="21"/>
          <w:highlight w:val="none"/>
        </w:rPr>
        <w:t>5.</w:t>
      </w:r>
      <w:r>
        <w:rPr>
          <w:rFonts w:hint="eastAsia" w:ascii="宋体" w:hAnsi="宋体"/>
          <w:bCs/>
          <w:color w:val="auto"/>
          <w:szCs w:val="21"/>
          <w:highlight w:val="none"/>
        </w:rPr>
        <w:t>工程内容：</w:t>
      </w:r>
      <w:r>
        <w:rPr>
          <w:rFonts w:hint="eastAsia" w:ascii="宋体" w:hAnsi="宋体"/>
          <w:color w:val="auto"/>
          <w:szCs w:val="21"/>
          <w:highlight w:val="none"/>
          <w:u w:val="single"/>
        </w:rPr>
        <w:t xml:space="preserve">  同工程承包范围</w:t>
      </w:r>
      <w:r>
        <w:rPr>
          <w:rFonts w:hint="eastAsia" w:ascii="宋体" w:hAnsi="宋体" w:cs="宋体"/>
          <w:color w:val="auto"/>
          <w:szCs w:val="21"/>
          <w:highlight w:val="none"/>
          <w:u w:val="single"/>
        </w:rPr>
        <w:t>。</w:t>
      </w:r>
    </w:p>
    <w:p>
      <w:pPr>
        <w:snapToGrid w:val="0"/>
        <w:spacing w:line="360" w:lineRule="auto"/>
        <w:ind w:firstLine="420" w:firstLineChars="200"/>
        <w:rPr>
          <w:rFonts w:hint="eastAsia" w:ascii="宋体" w:hAnsi="宋体"/>
          <w:bCs/>
          <w:color w:val="auto"/>
          <w:szCs w:val="30"/>
          <w:highlight w:val="none"/>
        </w:rPr>
      </w:pPr>
      <w:r>
        <w:rPr>
          <w:rFonts w:hint="eastAsia" w:ascii="宋体" w:hAnsi="宋体"/>
          <w:color w:val="auto"/>
          <w:szCs w:val="32"/>
          <w:highlight w:val="none"/>
        </w:rPr>
        <w:t>群体工程应附《承包人承揽工程项目一览表》（附件</w:t>
      </w:r>
      <w:r>
        <w:rPr>
          <w:rFonts w:ascii="宋体" w:hAnsi="宋体"/>
          <w:color w:val="auto"/>
          <w:szCs w:val="32"/>
          <w:highlight w:val="none"/>
        </w:rPr>
        <w:t>1</w:t>
      </w:r>
      <w:r>
        <w:rPr>
          <w:rFonts w:hint="eastAsia" w:ascii="宋体" w:hAnsi="宋体"/>
          <w:color w:val="auto"/>
          <w:szCs w:val="32"/>
          <w:highlight w:val="none"/>
        </w:rPr>
        <w:t>）。</w:t>
      </w:r>
    </w:p>
    <w:p>
      <w:pPr>
        <w:snapToGrid w:val="0"/>
        <w:spacing w:line="360" w:lineRule="auto"/>
        <w:ind w:firstLine="420" w:firstLineChars="200"/>
        <w:rPr>
          <w:rFonts w:hint="eastAsia" w:ascii="宋体" w:hAnsi="宋体"/>
          <w:bCs/>
          <w:color w:val="auto"/>
          <w:szCs w:val="30"/>
          <w:highlight w:val="none"/>
          <w:u w:val="single"/>
        </w:rPr>
      </w:pPr>
      <w:r>
        <w:rPr>
          <w:rFonts w:ascii="宋体" w:hAnsi="宋体"/>
          <w:bCs/>
          <w:color w:val="auto"/>
          <w:szCs w:val="30"/>
          <w:highlight w:val="none"/>
        </w:rPr>
        <w:t>6.</w:t>
      </w:r>
      <w:r>
        <w:rPr>
          <w:rFonts w:hint="eastAsia" w:ascii="宋体" w:hAnsi="宋体"/>
          <w:bCs/>
          <w:color w:val="auto"/>
          <w:szCs w:val="30"/>
          <w:highlight w:val="none"/>
        </w:rPr>
        <w:t>工程承包范围：</w:t>
      </w:r>
      <w:r>
        <w:rPr>
          <w:rFonts w:hint="eastAsia" w:hAnsi="宋体"/>
          <w:color w:val="auto"/>
          <w:szCs w:val="21"/>
          <w:highlight w:val="none"/>
          <w:u w:val="single"/>
        </w:rPr>
        <w:t>本地块三网融合通信（三网覆盖范围以甲方实际要求为准）及信号覆盖（包括但不限于地块范围内的所有地下室、楼顶、电梯及前室等所有运营商5G无线信号全方位覆盖）工程的设计、设计方案报审、安装、调试、验收、信号开通等，并取得南通市通信行业协会颁发的验收证书。</w:t>
      </w:r>
    </w:p>
    <w:p>
      <w:pPr>
        <w:keepNext/>
        <w:keepLines/>
        <w:snapToGrid w:val="0"/>
        <w:spacing w:line="360" w:lineRule="auto"/>
        <w:outlineLvl w:val="3"/>
        <w:rPr>
          <w:rFonts w:hint="eastAsia" w:ascii="宋体" w:hAnsi="宋体"/>
          <w:b/>
          <w:color w:val="auto"/>
          <w:szCs w:val="32"/>
          <w:highlight w:val="none"/>
        </w:rPr>
      </w:pPr>
      <w:bookmarkStart w:id="36" w:name="_Toc351203482"/>
      <w:r>
        <w:rPr>
          <w:rFonts w:hint="eastAsia" w:ascii="宋体" w:hAnsi="宋体"/>
          <w:b/>
          <w:color w:val="auto"/>
          <w:szCs w:val="32"/>
          <w:highlight w:val="none"/>
        </w:rPr>
        <w:t>第二条  合同工期</w:t>
      </w:r>
      <w:bookmarkEnd w:id="36"/>
    </w:p>
    <w:p>
      <w:pPr>
        <w:snapToGrid w:val="0"/>
        <w:spacing w:line="360" w:lineRule="auto"/>
        <w:ind w:firstLine="420" w:firstLineChars="200"/>
        <w:rPr>
          <w:rFonts w:ascii="宋体" w:cs="宋体"/>
          <w:color w:val="auto"/>
          <w:szCs w:val="21"/>
          <w:highlight w:val="none"/>
        </w:rPr>
      </w:pPr>
      <w:bookmarkStart w:id="37" w:name="_Toc351203483"/>
      <w:r>
        <w:rPr>
          <w:rFonts w:hint="eastAsia" w:ascii="宋体" w:cs="宋体"/>
          <w:color w:val="auto"/>
          <w:szCs w:val="21"/>
          <w:highlight w:val="none"/>
        </w:rPr>
        <w:t>①设计工期：</w:t>
      </w:r>
      <w:r>
        <w:rPr>
          <w:rFonts w:hint="eastAsia" w:ascii="宋体" w:cs="宋体"/>
          <w:color w:val="auto"/>
          <w:szCs w:val="21"/>
          <w:highlight w:val="none"/>
          <w:lang w:val="en-US" w:eastAsia="zh-CN"/>
        </w:rPr>
        <w:t xml:space="preserve"> 30  </w:t>
      </w:r>
      <w:r>
        <w:rPr>
          <w:rFonts w:hint="eastAsia" w:ascii="宋体" w:cs="宋体"/>
          <w:color w:val="auto"/>
          <w:szCs w:val="21"/>
          <w:highlight w:val="none"/>
        </w:rPr>
        <w:t>日历天</w:t>
      </w:r>
      <w:r>
        <w:rPr>
          <w:rFonts w:hint="eastAsia" w:ascii="宋体" w:cs="宋体"/>
          <w:color w:val="auto"/>
          <w:szCs w:val="21"/>
          <w:highlight w:val="none"/>
        </w:rPr>
        <w:t>，中标人应在发包人通知的时间开始本地块通信工程的设计工作，并</w:t>
      </w:r>
      <w:r>
        <w:rPr>
          <w:rFonts w:hint="eastAsia" w:ascii="宋体" w:cs="宋体"/>
          <w:color w:val="auto"/>
          <w:szCs w:val="21"/>
          <w:highlight w:val="none"/>
        </w:rPr>
        <w:t>在</w:t>
      </w:r>
      <w:r>
        <w:rPr>
          <w:rFonts w:hint="eastAsia" w:ascii="宋体" w:cs="宋体"/>
          <w:color w:val="auto"/>
          <w:szCs w:val="21"/>
          <w:highlight w:val="none"/>
          <w:lang w:val="en-US" w:eastAsia="zh-CN"/>
        </w:rPr>
        <w:t xml:space="preserve"> 30 </w:t>
      </w:r>
      <w:r>
        <w:rPr>
          <w:rFonts w:hint="eastAsia" w:ascii="宋体" w:cs="宋体"/>
          <w:color w:val="auto"/>
          <w:szCs w:val="21"/>
          <w:highlight w:val="none"/>
        </w:rPr>
        <w:t>天</w:t>
      </w:r>
      <w:r>
        <w:rPr>
          <w:rFonts w:hint="eastAsia" w:ascii="宋体" w:cs="宋体"/>
          <w:color w:val="auto"/>
          <w:szCs w:val="21"/>
          <w:highlight w:val="none"/>
        </w:rPr>
        <w:t>内完成，</w:t>
      </w:r>
      <w:r>
        <w:rPr>
          <w:rFonts w:hint="eastAsia" w:ascii="宋体" w:cs="宋体"/>
          <w:color w:val="auto"/>
          <w:szCs w:val="21"/>
          <w:highlight w:val="none"/>
        </w:rPr>
        <w:t>设计成果符合住房和城乡建设部发布的《住宅区和住宅建筑内光纤到户通信施工工程设计规范》（GB50846-2012）、《住宅区和住宅建筑内光纤到户通信施工工程及验收规范》标准和要求，符合《关于推进5G新型信息基础设施与传统基础实施项目协同建设的通知》苏发改投资发（2021）465号文、南通市通信行业协会（2021）20文要求，提供完整的设计施工图并送审通过。</w:t>
      </w:r>
    </w:p>
    <w:p>
      <w:pPr>
        <w:keepNext/>
        <w:keepLines/>
        <w:snapToGrid w:val="0"/>
        <w:spacing w:line="360" w:lineRule="auto"/>
        <w:ind w:firstLine="420" w:firstLineChars="200"/>
        <w:outlineLvl w:val="3"/>
        <w:rPr>
          <w:rFonts w:ascii="宋体" w:cs="宋体"/>
          <w:color w:val="auto"/>
          <w:szCs w:val="21"/>
          <w:highlight w:val="none"/>
        </w:rPr>
      </w:pPr>
      <w:r>
        <w:rPr>
          <w:rFonts w:hint="eastAsia" w:ascii="宋体" w:cs="宋体"/>
          <w:color w:val="auto"/>
          <w:szCs w:val="21"/>
          <w:highlight w:val="none"/>
        </w:rPr>
        <w:t>②施工工期：</w:t>
      </w:r>
      <w:r>
        <w:rPr>
          <w:rFonts w:hint="eastAsia" w:ascii="宋体" w:cs="宋体"/>
          <w:color w:val="auto"/>
          <w:szCs w:val="21"/>
          <w:highlight w:val="none"/>
          <w:lang w:val="en-US" w:eastAsia="zh-CN"/>
        </w:rPr>
        <w:t xml:space="preserve">暂定90 </w:t>
      </w:r>
      <w:r>
        <w:rPr>
          <w:rFonts w:hint="eastAsia" w:ascii="宋体" w:cs="宋体"/>
          <w:color w:val="auto"/>
          <w:szCs w:val="21"/>
          <w:highlight w:val="none"/>
        </w:rPr>
        <w:t>日历天</w:t>
      </w:r>
      <w:r>
        <w:rPr>
          <w:rFonts w:hint="eastAsia" w:ascii="宋体" w:cs="宋体"/>
          <w:color w:val="auto"/>
          <w:szCs w:val="21"/>
          <w:highlight w:val="none"/>
        </w:rPr>
        <w:t>，</w:t>
      </w:r>
      <w:r>
        <w:rPr>
          <w:rFonts w:hint="eastAsia" w:ascii="宋体" w:cs="宋体"/>
          <w:color w:val="auto"/>
          <w:szCs w:val="21"/>
          <w:highlight w:val="none"/>
        </w:rPr>
        <w:t>计划开工时间：</w:t>
      </w:r>
      <w:r>
        <w:rPr>
          <w:rFonts w:hint="eastAsia" w:ascii="宋体" w:cs="宋体"/>
          <w:color w:val="auto"/>
          <w:szCs w:val="21"/>
          <w:highlight w:val="none"/>
        </w:rPr>
        <w:t>202</w:t>
      </w:r>
      <w:r>
        <w:rPr>
          <w:rFonts w:hint="eastAsia" w:ascii="宋体" w:cs="宋体"/>
          <w:color w:val="auto"/>
          <w:szCs w:val="21"/>
          <w:highlight w:val="none"/>
          <w:lang w:val="en-US" w:eastAsia="zh-CN"/>
        </w:rPr>
        <w:t>5</w:t>
      </w:r>
      <w:r>
        <w:rPr>
          <w:rFonts w:hint="eastAsia" w:ascii="宋体" w:cs="宋体"/>
          <w:color w:val="auto"/>
          <w:szCs w:val="21"/>
          <w:highlight w:val="none"/>
        </w:rPr>
        <w:t>年</w:t>
      </w:r>
      <w:r>
        <w:rPr>
          <w:rFonts w:hint="eastAsia" w:ascii="宋体" w:cs="宋体"/>
          <w:color w:val="auto"/>
          <w:szCs w:val="21"/>
          <w:highlight w:val="none"/>
          <w:lang w:val="en-US" w:eastAsia="zh-CN"/>
        </w:rPr>
        <w:t>5</w:t>
      </w:r>
      <w:r>
        <w:rPr>
          <w:rFonts w:hint="eastAsia" w:ascii="宋体" w:cs="宋体"/>
          <w:color w:val="auto"/>
          <w:szCs w:val="21"/>
          <w:highlight w:val="none"/>
        </w:rPr>
        <w:t>月，计划竣工时间：2025年</w:t>
      </w:r>
      <w:r>
        <w:rPr>
          <w:rFonts w:hint="eastAsia" w:ascii="宋体" w:cs="宋体"/>
          <w:color w:val="auto"/>
          <w:szCs w:val="21"/>
          <w:highlight w:val="none"/>
          <w:lang w:val="en-US" w:eastAsia="zh-CN"/>
        </w:rPr>
        <w:t>8</w:t>
      </w:r>
      <w:r>
        <w:rPr>
          <w:rFonts w:hint="eastAsia" w:ascii="宋体" w:cs="宋体"/>
          <w:color w:val="auto"/>
          <w:szCs w:val="21"/>
          <w:highlight w:val="none"/>
        </w:rPr>
        <w:t>月</w:t>
      </w:r>
      <w:r>
        <w:rPr>
          <w:rFonts w:hint="eastAsia" w:ascii="宋体" w:cs="宋体"/>
          <w:color w:val="auto"/>
          <w:szCs w:val="21"/>
          <w:highlight w:val="none"/>
        </w:rPr>
        <w:t>，以发包人签发的书面开工通知为准。</w:t>
      </w:r>
    </w:p>
    <w:p>
      <w:pPr>
        <w:keepNext/>
        <w:keepLines/>
        <w:snapToGrid w:val="0"/>
        <w:spacing w:line="360" w:lineRule="auto"/>
        <w:outlineLvl w:val="3"/>
        <w:rPr>
          <w:rFonts w:hint="eastAsia" w:ascii="宋体" w:hAnsi="宋体"/>
          <w:b/>
          <w:color w:val="auto"/>
          <w:szCs w:val="32"/>
          <w:highlight w:val="none"/>
        </w:rPr>
      </w:pPr>
      <w:r>
        <w:rPr>
          <w:rFonts w:hint="eastAsia" w:ascii="宋体" w:hAnsi="宋体"/>
          <w:b/>
          <w:color w:val="auto"/>
          <w:szCs w:val="32"/>
          <w:highlight w:val="none"/>
        </w:rPr>
        <w:t>第三条  质量</w:t>
      </w:r>
      <w:bookmarkEnd w:id="37"/>
      <w:r>
        <w:rPr>
          <w:rFonts w:hint="eastAsia" w:ascii="宋体" w:hAnsi="宋体"/>
          <w:b/>
          <w:color w:val="auto"/>
          <w:szCs w:val="32"/>
          <w:highlight w:val="none"/>
        </w:rPr>
        <w:t>保证</w:t>
      </w:r>
    </w:p>
    <w:p>
      <w:pPr>
        <w:pStyle w:val="11"/>
        <w:snapToGrid w:val="0"/>
        <w:spacing w:line="360" w:lineRule="auto"/>
        <w:ind w:firstLine="420" w:firstLineChars="200"/>
        <w:rPr>
          <w:rFonts w:hint="eastAsia" w:ascii="宋体" w:hAnsi="宋体"/>
          <w:color w:val="auto"/>
          <w:szCs w:val="30"/>
          <w:highlight w:val="none"/>
        </w:rPr>
      </w:pPr>
      <w:r>
        <w:rPr>
          <w:rFonts w:hint="eastAsia" w:ascii="宋体" w:hAnsi="宋体"/>
          <w:color w:val="auto"/>
          <w:szCs w:val="30"/>
          <w:highlight w:val="none"/>
        </w:rPr>
        <w:t>1.工程质量符合</w:t>
      </w:r>
      <w:r>
        <w:rPr>
          <w:rFonts w:hint="eastAsia" w:ascii="宋体" w:hAnsi="宋体"/>
          <w:color w:val="auto"/>
          <w:szCs w:val="30"/>
          <w:highlight w:val="none"/>
          <w:u w:val="single"/>
        </w:rPr>
        <w:t xml:space="preserve"> 一次性通过验收，并取得南通市通信行业协会颁发的验收证书 </w:t>
      </w:r>
      <w:r>
        <w:rPr>
          <w:rFonts w:hint="eastAsia" w:ascii="宋体" w:hAnsi="宋体"/>
          <w:color w:val="auto"/>
          <w:szCs w:val="30"/>
          <w:highlight w:val="none"/>
        </w:rPr>
        <w:t>标准。保证通信网络的正常运行，确保基站符合设计要求、通信网络的覆盖范围满足招标人对通信服务的需求。</w:t>
      </w:r>
    </w:p>
    <w:p>
      <w:pPr>
        <w:snapToGrid w:val="0"/>
        <w:spacing w:line="360" w:lineRule="auto"/>
        <w:ind w:firstLine="420" w:firstLineChars="200"/>
        <w:rPr>
          <w:rFonts w:hint="eastAsia" w:ascii="宋体" w:hAnsi="宋体"/>
          <w:color w:val="auto"/>
          <w:szCs w:val="30"/>
          <w:highlight w:val="none"/>
        </w:rPr>
      </w:pPr>
      <w:r>
        <w:rPr>
          <w:rFonts w:hint="eastAsia" w:ascii="宋体" w:hAnsi="宋体"/>
          <w:color w:val="auto"/>
          <w:szCs w:val="30"/>
          <w:highlight w:val="none"/>
        </w:rPr>
        <w:t>2.乙方必须健全质量检验制度和质量控制体系，现场设质量安全检验员</w:t>
      </w:r>
      <w:r>
        <w:rPr>
          <w:rFonts w:hint="eastAsia" w:ascii="宋体" w:hAnsi="宋体"/>
          <w:color w:val="auto"/>
          <w:szCs w:val="30"/>
          <w:highlight w:val="none"/>
          <w:lang w:eastAsia="zh-CN"/>
        </w:rPr>
        <w:t>，</w:t>
      </w:r>
      <w:r>
        <w:rPr>
          <w:rFonts w:hint="eastAsia" w:ascii="宋体" w:hAnsi="宋体"/>
          <w:color w:val="auto"/>
          <w:szCs w:val="30"/>
          <w:highlight w:val="none"/>
        </w:rPr>
        <w:t>做好自检记录。</w:t>
      </w:r>
    </w:p>
    <w:p>
      <w:pPr>
        <w:snapToGrid w:val="0"/>
        <w:spacing w:line="360" w:lineRule="auto"/>
        <w:ind w:firstLine="420" w:firstLineChars="200"/>
        <w:rPr>
          <w:rFonts w:hint="eastAsia" w:ascii="宋体" w:hAnsi="宋体"/>
          <w:color w:val="auto"/>
          <w:szCs w:val="30"/>
          <w:highlight w:val="none"/>
        </w:rPr>
      </w:pPr>
      <w:r>
        <w:rPr>
          <w:rFonts w:hint="eastAsia" w:ascii="宋体" w:hAnsi="宋体"/>
          <w:color w:val="auto"/>
          <w:szCs w:val="30"/>
          <w:highlight w:val="none"/>
        </w:rPr>
        <w:t>3.乙方必须按照国家规定的质量检验标准、施工验收规范。</w:t>
      </w:r>
    </w:p>
    <w:p>
      <w:pPr>
        <w:snapToGrid w:val="0"/>
        <w:spacing w:line="360" w:lineRule="auto"/>
        <w:ind w:firstLine="420" w:firstLineChars="200"/>
        <w:rPr>
          <w:rFonts w:hint="eastAsia" w:ascii="宋体" w:hAnsi="宋体"/>
          <w:color w:val="auto"/>
          <w:szCs w:val="30"/>
          <w:highlight w:val="none"/>
        </w:rPr>
      </w:pPr>
      <w:r>
        <w:rPr>
          <w:rFonts w:hint="eastAsia" w:ascii="宋体" w:hAnsi="宋体"/>
          <w:color w:val="auto"/>
          <w:szCs w:val="30"/>
          <w:highlight w:val="none"/>
        </w:rPr>
        <w:t>4.保修责任：乙方对交付的工程承担终身质量保修责任，由于乙方施工原因造成的质量问题，乙方负责无偿修复。</w:t>
      </w:r>
    </w:p>
    <w:p>
      <w:pPr>
        <w:keepNext/>
        <w:keepLines/>
        <w:snapToGrid w:val="0"/>
        <w:spacing w:line="360" w:lineRule="auto"/>
        <w:outlineLvl w:val="3"/>
        <w:rPr>
          <w:rFonts w:hint="eastAsia" w:ascii="宋体" w:hAnsi="宋体"/>
          <w:b/>
          <w:color w:val="auto"/>
          <w:szCs w:val="32"/>
          <w:highlight w:val="none"/>
        </w:rPr>
      </w:pPr>
      <w:bookmarkStart w:id="38" w:name="_Toc351203484"/>
      <w:r>
        <w:rPr>
          <w:rFonts w:hint="eastAsia" w:ascii="宋体" w:hAnsi="宋体"/>
          <w:b/>
          <w:color w:val="auto"/>
          <w:szCs w:val="32"/>
          <w:highlight w:val="none"/>
        </w:rPr>
        <w:t>第四条  签约合同价与合同价格形式</w:t>
      </w:r>
      <w:bookmarkEnd w:id="38"/>
      <w:r>
        <w:rPr>
          <w:rFonts w:ascii="宋体" w:hAnsi="宋体"/>
          <w:b/>
          <w:color w:val="auto"/>
          <w:szCs w:val="32"/>
          <w:highlight w:val="none"/>
        </w:rPr>
        <w:tab/>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本合同价款采用</w:t>
      </w:r>
      <w:r>
        <w:rPr>
          <w:rFonts w:hint="eastAsia" w:ascii="宋体" w:hAnsi="宋体" w:cs="宋体"/>
          <w:b/>
          <w:color w:val="auto"/>
          <w:szCs w:val="21"/>
          <w:highlight w:val="none"/>
          <w:u w:val="single"/>
        </w:rPr>
        <w:t>固定</w:t>
      </w:r>
      <w:r>
        <w:rPr>
          <w:rFonts w:hint="eastAsia" w:ascii="宋体" w:hAnsi="宋体" w:cs="宋体"/>
          <w:b/>
          <w:color w:val="auto"/>
          <w:szCs w:val="21"/>
          <w:highlight w:val="none"/>
          <w:u w:val="single"/>
          <w:lang w:eastAsia="zh-CN"/>
        </w:rPr>
        <w:t>下浮率报价</w:t>
      </w:r>
      <w:r>
        <w:rPr>
          <w:rFonts w:hint="eastAsia" w:ascii="宋体" w:hAnsi="宋体" w:cs="宋体"/>
          <w:b/>
          <w:color w:val="auto"/>
          <w:szCs w:val="21"/>
          <w:highlight w:val="none"/>
          <w:u w:val="single"/>
        </w:rPr>
        <w:t>方式</w:t>
      </w:r>
      <w:r>
        <w:rPr>
          <w:rFonts w:hint="eastAsia" w:ascii="宋体" w:hAnsi="宋体" w:cs="宋体"/>
          <w:color w:val="auto"/>
          <w:szCs w:val="21"/>
          <w:highlight w:val="none"/>
        </w:rPr>
        <w:t>确定</w:t>
      </w:r>
      <w:r>
        <w:rPr>
          <w:rFonts w:hint="eastAsia" w:ascii="宋体" w:hAnsi="宋体" w:cs="宋体"/>
          <w:color w:val="auto"/>
          <w:szCs w:val="21"/>
          <w:highlight w:val="none"/>
          <w:lang w:eastAsia="zh-CN"/>
        </w:rPr>
        <w:t>，下浮率为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暂估合同总价为人民币</w:t>
      </w:r>
    </w:p>
    <w:p>
      <w:pPr>
        <w:snapToGrid w:val="0"/>
        <w:spacing w:line="360" w:lineRule="auto"/>
        <w:rPr>
          <w:rFonts w:hint="eastAsia" w:ascii="宋体" w:hAnsi="宋体"/>
          <w:color w:val="auto"/>
          <w:szCs w:val="30"/>
          <w:highlight w:val="none"/>
        </w:rPr>
      </w:pPr>
      <w:r>
        <w:rPr>
          <w:rFonts w:hint="eastAsia" w:ascii="宋体" w:hAnsi="宋体" w:cs="宋体"/>
          <w:color w:val="auto"/>
          <w:szCs w:val="21"/>
          <w:highlight w:val="none"/>
          <w:u w:val="single"/>
        </w:rPr>
        <w:t xml:space="preserve">                 （      </w:t>
      </w:r>
      <w:r>
        <w:rPr>
          <w:rFonts w:hint="eastAsia" w:ascii="宋体" w:hAnsi="宋体" w:cs="宋体"/>
          <w:color w:val="auto"/>
          <w:szCs w:val="21"/>
          <w:highlight w:val="none"/>
          <w:u w:val="single"/>
          <w:lang w:eastAsia="zh-CN"/>
        </w:rPr>
        <w:t>），其中：设计费</w:t>
      </w:r>
      <w:r>
        <w:rPr>
          <w:rFonts w:hint="eastAsia" w:ascii="宋体" w:hAnsi="宋体" w:cs="宋体"/>
          <w:color w:val="auto"/>
          <w:szCs w:val="21"/>
          <w:highlight w:val="none"/>
          <w:u w:val="single"/>
          <w:lang w:val="en-US" w:eastAsia="zh-CN"/>
        </w:rPr>
        <w:t xml:space="preserve">       元，建安工程费为         元</w:t>
      </w:r>
      <w:r>
        <w:rPr>
          <w:rFonts w:hint="eastAsia" w:ascii="宋体" w:hAnsi="宋体"/>
          <w:color w:val="auto"/>
          <w:szCs w:val="21"/>
          <w:highlight w:val="none"/>
        </w:rPr>
        <w:t>，</w:t>
      </w:r>
      <w:r>
        <w:rPr>
          <w:rFonts w:hint="eastAsia" w:ascii="宋体" w:hAnsi="宋体"/>
          <w:color w:val="auto"/>
          <w:szCs w:val="21"/>
          <w:highlight w:val="none"/>
          <w:lang w:eastAsia="zh-CN"/>
        </w:rPr>
        <w:t>建安工程费</w:t>
      </w:r>
      <w:r>
        <w:rPr>
          <w:rFonts w:hint="eastAsia" w:ascii="宋体" w:hAnsi="宋体"/>
          <w:color w:val="auto"/>
          <w:szCs w:val="21"/>
          <w:highlight w:val="none"/>
        </w:rPr>
        <w:t>最终按“第九条 结算”中的约定进行结算。本合同价完成本合同所有工作内容</w:t>
      </w:r>
      <w:r>
        <w:rPr>
          <w:rFonts w:hint="eastAsia" w:ascii="宋体" w:hAnsi="宋体"/>
          <w:color w:val="auto"/>
          <w:szCs w:val="30"/>
          <w:highlight w:val="none"/>
        </w:rPr>
        <w:t>设备和材料的安装调试、开通费、辅助(次要)材料费、管线和设备安装凿、开孔、设备和主材的采保费、税金、利润、二次深化设计费、排污费、保险费、保修费机械进退场费、施工技术措施费、现场文明施工措施费、安全防护费、管理费施工损耗、临时设施费(包括大型机械进退场费)、与其他专业承包商的施工配合费、系统开通及联动调试配合费、通信的专项检测费、规费、施工包干费、加班费、风险费、水电费、行业主管部门报审、办证费用、为完成本工程而产生的必要全部工程费用(如开凿、钻孔、套管、防水堵漏等相关费用)。</w:t>
      </w:r>
    </w:p>
    <w:p>
      <w:pPr>
        <w:pStyle w:val="11"/>
        <w:snapToGrid w:val="0"/>
        <w:spacing w:line="360" w:lineRule="auto"/>
        <w:ind w:firstLine="420" w:firstLineChars="200"/>
        <w:rPr>
          <w:rFonts w:hint="eastAsia" w:ascii="宋体" w:hAnsi="宋体"/>
          <w:b/>
          <w:color w:val="auto"/>
          <w:highlight w:val="none"/>
          <w:u w:val="single"/>
        </w:rPr>
      </w:pPr>
      <w:r>
        <w:rPr>
          <w:rFonts w:hint="eastAsia" w:ascii="宋体" w:hAnsi="宋体"/>
          <w:color w:val="auto"/>
          <w:szCs w:val="30"/>
          <w:highlight w:val="none"/>
        </w:rPr>
        <w:t>合同价款(进度款)支付：</w:t>
      </w:r>
      <w:r>
        <w:rPr>
          <w:rFonts w:hint="eastAsia" w:ascii="宋体" w:hAnsi="宋体" w:cs="宋体"/>
          <w:b/>
          <w:bCs/>
          <w:color w:val="auto"/>
          <w:szCs w:val="21"/>
          <w:highlight w:val="none"/>
          <w:u w:val="single"/>
        </w:rPr>
        <w:t>承包人交纳履约保证金且施工合同签订，提供完整的设计施工图并送审通过后，发包人支付</w:t>
      </w:r>
      <w:r>
        <w:rPr>
          <w:rFonts w:hint="eastAsia" w:ascii="宋体" w:hAnsi="宋体" w:cs="宋体"/>
          <w:b/>
          <w:bCs/>
          <w:color w:val="auto"/>
          <w:szCs w:val="21"/>
          <w:highlight w:val="none"/>
          <w:u w:val="single"/>
          <w:lang w:eastAsia="zh-CN"/>
        </w:rPr>
        <w:t>暂估合同价</w:t>
      </w:r>
      <w:r>
        <w:rPr>
          <w:rFonts w:hint="eastAsia" w:ascii="宋体" w:hAnsi="宋体" w:cs="宋体"/>
          <w:b/>
          <w:bCs/>
          <w:color w:val="auto"/>
          <w:szCs w:val="21"/>
          <w:highlight w:val="none"/>
          <w:u w:val="single"/>
        </w:rPr>
        <w:t>的10%；本工程竣工验收合格后，并取得南通市通信行业协会颁发的验收证书后，发包人支付</w:t>
      </w:r>
      <w:r>
        <w:rPr>
          <w:rFonts w:hint="eastAsia" w:ascii="宋体" w:hAnsi="宋体" w:cs="宋体"/>
          <w:b/>
          <w:bCs/>
          <w:color w:val="auto"/>
          <w:szCs w:val="21"/>
          <w:highlight w:val="none"/>
          <w:u w:val="single"/>
          <w:lang w:eastAsia="zh-CN"/>
        </w:rPr>
        <w:t>至暂估合同价</w:t>
      </w:r>
      <w:r>
        <w:rPr>
          <w:rFonts w:hint="eastAsia" w:ascii="宋体" w:hAnsi="宋体" w:cs="宋体"/>
          <w:b/>
          <w:bCs/>
          <w:color w:val="auto"/>
          <w:szCs w:val="21"/>
          <w:highlight w:val="none"/>
          <w:u w:val="single"/>
        </w:rPr>
        <w:t>的</w:t>
      </w:r>
      <w:r>
        <w:rPr>
          <w:rFonts w:hint="eastAsia" w:ascii="宋体" w:hAnsi="宋体" w:cs="宋体"/>
          <w:b/>
          <w:bCs/>
          <w:color w:val="auto"/>
          <w:szCs w:val="21"/>
          <w:highlight w:val="none"/>
          <w:u w:val="single"/>
          <w:lang w:val="en-US" w:eastAsia="zh-CN"/>
        </w:rPr>
        <w:t>6</w:t>
      </w:r>
      <w:r>
        <w:rPr>
          <w:rFonts w:hint="eastAsia" w:ascii="宋体" w:hAnsi="宋体" w:cs="宋体"/>
          <w:b/>
          <w:bCs/>
          <w:color w:val="auto"/>
          <w:szCs w:val="21"/>
          <w:highlight w:val="none"/>
          <w:u w:val="single"/>
        </w:rPr>
        <w:t>0%，并经发包人和监理确认满足履约保证金条款要求后，退还相应履约保证金（不计息）；初审完成后，支付至初审价的80%，工程竣工结算经区审计局（或由建设单位委托的审计单位）审核结束后，付至工程审定价（不超过</w:t>
      </w:r>
      <w:r>
        <w:rPr>
          <w:rFonts w:hint="eastAsia" w:ascii="宋体" w:hAnsi="宋体" w:cs="宋体"/>
          <w:b/>
          <w:bCs/>
          <w:color w:val="auto"/>
          <w:szCs w:val="21"/>
          <w:highlight w:val="none"/>
          <w:u w:val="single"/>
          <w:lang w:eastAsia="zh-CN"/>
        </w:rPr>
        <w:t>暂估</w:t>
      </w:r>
      <w:r>
        <w:rPr>
          <w:rFonts w:hint="eastAsia" w:ascii="宋体" w:hAnsi="宋体" w:cs="宋体"/>
          <w:b/>
          <w:bCs/>
          <w:color w:val="auto"/>
          <w:szCs w:val="21"/>
          <w:highlight w:val="none"/>
          <w:u w:val="single"/>
        </w:rPr>
        <w:t>合同价）的97%，余工程审定价（不超过</w:t>
      </w:r>
      <w:r>
        <w:rPr>
          <w:rFonts w:hint="eastAsia" w:ascii="宋体" w:hAnsi="宋体" w:cs="宋体"/>
          <w:b/>
          <w:bCs/>
          <w:color w:val="auto"/>
          <w:szCs w:val="21"/>
          <w:highlight w:val="none"/>
          <w:u w:val="single"/>
          <w:lang w:eastAsia="zh-CN"/>
        </w:rPr>
        <w:t>暂估</w:t>
      </w:r>
      <w:r>
        <w:rPr>
          <w:rFonts w:hint="eastAsia" w:ascii="宋体" w:hAnsi="宋体" w:cs="宋体"/>
          <w:b/>
          <w:bCs/>
          <w:color w:val="auto"/>
          <w:szCs w:val="21"/>
          <w:highlight w:val="none"/>
          <w:u w:val="single"/>
        </w:rPr>
        <w:t>合同价）的3%作为工程质量保修金，待合同保修期满，经接管单位确认合格后无息返还(本工程质保期两年，自验收合格之日起计)。合同保修期满后，承包人需免费终身维保，并提供24小时维修服务。</w:t>
      </w:r>
    </w:p>
    <w:p>
      <w:pPr>
        <w:tabs>
          <w:tab w:val="left" w:pos="2410"/>
        </w:tabs>
        <w:snapToGrid w:val="0"/>
        <w:spacing w:line="360" w:lineRule="auto"/>
        <w:ind w:firstLine="422" w:firstLineChars="200"/>
        <w:jc w:val="left"/>
        <w:rPr>
          <w:rFonts w:hint="eastAsia" w:ascii="宋体" w:hAnsi="宋体" w:cs="宋体"/>
          <w:b/>
          <w:color w:val="auto"/>
          <w:szCs w:val="21"/>
          <w:highlight w:val="none"/>
          <w:u w:val="single"/>
        </w:rPr>
      </w:pPr>
      <w:r>
        <w:rPr>
          <w:rFonts w:hint="eastAsia" w:ascii="宋体" w:hAnsi="宋体" w:cs="宋体"/>
          <w:b/>
          <w:color w:val="auto"/>
          <w:szCs w:val="21"/>
          <w:highlight w:val="none"/>
          <w:u w:val="single"/>
        </w:rPr>
        <w:t>每笔工程款支付时发包人将20%的应支付的工程款汇至农民工工资专有账户，拨付工程款时，应扣除已打至农民工专用账户的金额（每笔工程款的20%）；竣工验收后工程款拨付时，发包人存入农民工工资专有账户的总金额不得低于合同价或工程付款基数的20%（即工资的100%）。</w:t>
      </w:r>
    </w:p>
    <w:p>
      <w:pPr>
        <w:tabs>
          <w:tab w:val="left" w:pos="2410"/>
        </w:tabs>
        <w:snapToGrid w:val="0"/>
        <w:spacing w:line="360" w:lineRule="auto"/>
        <w:ind w:firstLine="422" w:firstLineChars="200"/>
        <w:jc w:val="left"/>
        <w:rPr>
          <w:rFonts w:hint="eastAsia" w:ascii="宋体" w:hAnsi="宋体" w:cs="宋体"/>
          <w:b/>
          <w:bCs/>
          <w:color w:val="auto"/>
          <w:szCs w:val="21"/>
          <w:highlight w:val="none"/>
          <w:u w:val="single"/>
        </w:rPr>
      </w:pPr>
      <w:r>
        <w:rPr>
          <w:rFonts w:hint="eastAsia" w:ascii="宋体" w:hAnsi="宋体" w:cs="宋体"/>
          <w:b/>
          <w:bCs/>
          <w:color w:val="auto"/>
          <w:szCs w:val="21"/>
          <w:highlight w:val="none"/>
          <w:u w:val="single"/>
        </w:rPr>
        <w:t>调整价款、变更增补项目价款不在进度款中支付。违约金由承包人缴纳至发包人指定账户。所有工程款的支付必须由承包人递交付款申请，总监理工程师和发包人现场代表审核。发包人代垫代扣的所有费用可以从工程款中直接扣除。每次支付工程款前，必须开具符合税务部门规定的正式发票。工程竣工结算由经认可的第三方审计机构审计确认。承包人未提供符合要求的发票，发包人有权拒绝付款。</w:t>
      </w:r>
    </w:p>
    <w:p>
      <w:pPr>
        <w:tabs>
          <w:tab w:val="left" w:pos="2410"/>
        </w:tabs>
        <w:snapToGrid w:val="0"/>
        <w:spacing w:line="360" w:lineRule="auto"/>
        <w:ind w:firstLine="422" w:firstLineChars="200"/>
        <w:jc w:val="left"/>
        <w:rPr>
          <w:rFonts w:hint="eastAsia" w:ascii="宋体" w:hAnsi="宋体" w:cs="宋体"/>
          <w:b/>
          <w:color w:val="auto"/>
          <w:szCs w:val="21"/>
          <w:highlight w:val="none"/>
          <w:u w:val="single"/>
        </w:rPr>
      </w:pPr>
      <w:r>
        <w:rPr>
          <w:rFonts w:hint="eastAsia" w:ascii="宋体" w:hAnsi="宋体" w:cs="宋体"/>
          <w:b/>
          <w:color w:val="auto"/>
          <w:szCs w:val="21"/>
          <w:highlight w:val="none"/>
          <w:u w:val="single"/>
        </w:rPr>
        <w:t>履约保证金有关工期、安全施工方面约定的金额，待工程按合同规定的工期内完成后，无息返还；履约保证金有关质量方面约定的金额，在工程竣工验收合格后，无息返还；履约保证金有关项目组成员在岗方面约定的金额，待工程竣工验收后，无息返还。履约保证金有关资料方面约定的金额，在工程竣工验收资料交档甲方存档后，无息返还。保证金退还时间与其他条款发生不一致时，以此条款为准。</w:t>
      </w:r>
    </w:p>
    <w:p>
      <w:pPr>
        <w:snapToGrid w:val="0"/>
        <w:spacing w:line="360" w:lineRule="auto"/>
        <w:ind w:firstLine="420" w:firstLineChars="200"/>
        <w:rPr>
          <w:rFonts w:hint="eastAsia" w:ascii="宋体" w:hAnsi="宋体" w:cs="宋体"/>
          <w:b/>
          <w:color w:val="auto"/>
          <w:szCs w:val="21"/>
          <w:highlight w:val="none"/>
          <w:u w:val="single"/>
        </w:rPr>
      </w:pPr>
      <w:r>
        <w:rPr>
          <w:rFonts w:hint="eastAsia" w:ascii="宋体" w:hAnsi="宋体"/>
          <w:color w:val="auto"/>
          <w:szCs w:val="30"/>
          <w:highlight w:val="none"/>
        </w:rPr>
        <w:t>履约保证金：履约保证金为项目</w:t>
      </w:r>
      <w:r>
        <w:rPr>
          <w:rFonts w:hint="eastAsia" w:ascii="宋体" w:hAnsi="宋体"/>
          <w:color w:val="auto"/>
          <w:szCs w:val="30"/>
          <w:highlight w:val="none"/>
          <w:lang w:eastAsia="zh-CN"/>
        </w:rPr>
        <w:t>暂估</w:t>
      </w:r>
      <w:r>
        <w:rPr>
          <w:rFonts w:hint="eastAsia" w:ascii="宋体" w:hAnsi="宋体"/>
          <w:color w:val="auto"/>
          <w:szCs w:val="30"/>
          <w:highlight w:val="none"/>
        </w:rPr>
        <w:t>合同价的10%，计</w:t>
      </w:r>
      <w:r>
        <w:rPr>
          <w:rFonts w:hint="eastAsia" w:ascii="宋体" w:hAnsi="宋体"/>
          <w:color w:val="auto"/>
          <w:szCs w:val="30"/>
          <w:highlight w:val="none"/>
          <w:u w:val="single"/>
        </w:rPr>
        <w:t xml:space="preserve">     </w:t>
      </w:r>
      <w:r>
        <w:rPr>
          <w:rFonts w:hint="eastAsia" w:ascii="宋体" w:hAnsi="宋体"/>
          <w:color w:val="auto"/>
          <w:szCs w:val="30"/>
          <w:highlight w:val="none"/>
        </w:rPr>
        <w:t>万元。缴纳方式为：</w:t>
      </w:r>
      <w:r>
        <w:rPr>
          <w:rFonts w:hint="eastAsia" w:ascii="宋体" w:hAnsi="宋体" w:cs="宋体"/>
          <w:b/>
          <w:bCs/>
          <w:color w:val="auto"/>
          <w:szCs w:val="21"/>
          <w:highlight w:val="none"/>
          <w:u w:val="single"/>
        </w:rPr>
        <w:t>转账、电汇、网银等形式，须从企业基本户银行转出。</w:t>
      </w:r>
      <w:r>
        <w:rPr>
          <w:rFonts w:hint="eastAsia" w:ascii="宋体" w:hAnsi="宋体" w:cs="宋体"/>
          <w:b/>
          <w:color w:val="auto"/>
          <w:szCs w:val="21"/>
          <w:highlight w:val="none"/>
          <w:u w:val="single"/>
        </w:rPr>
        <w:t>中标人在收到中标通知书后，须在3个工作日内向招标人足额提交履约保证金，否则招标人可以取消其中标资格，且投标保证金不予退还。承包人提供的履约保证金为合同总价（扣除暂列金额和暂估价）的10%，其中：工期占履约保证金额的20%，工期履约保证金待工程按合同规定的工期内完成并需取得南通市通信行业协会颁发的验收证书且乙方将所有项目资料归档后按实际履约情况退还（不计息）；质量占履约保证金额的40%，在施工期间，由于承包人原因造成的严重质量问题或质量事故，除根据质量问题或事故的严重程度扣除部分或全部质量履约保证金外，还需承担全部责任及由此引起的一切费用，同时承包人必须在发包人要求的期限内整改到位达到验收标准，否则已完成合格工作量在结算时按60%计算。质量履约保证金待工程竣工验收，且完成约定的验收标准后，无息返还；安全文明施工占履约保证金额的20%，承包人在施工期间未发生安全事故，待工程竣工验收合格后，无息返还，凡在施工期间，由于承包人原因造成的事故，除根据事故的严重程度或等级扣除部分或全部安全文明施工保证金外，还需承担全部责任及由此引起的一切费用，发包人不承担任何责任；竣工资料占履约保证金额的10%，若未达到招标文件要求，该保证金不予退还；项目部人员到岗占履约保证金额的10%，施工期间经发包人考核未达到要求的，应按合同约定予以处理，并扣除部分或全部项目部人员到岗保证金。</w:t>
      </w:r>
    </w:p>
    <w:p>
      <w:pPr>
        <w:keepNext/>
        <w:keepLines/>
        <w:snapToGrid w:val="0"/>
        <w:spacing w:line="360" w:lineRule="auto"/>
        <w:outlineLvl w:val="3"/>
        <w:rPr>
          <w:rFonts w:hint="eastAsia" w:ascii="宋体" w:hAnsi="宋体"/>
          <w:b/>
          <w:color w:val="auto"/>
          <w:szCs w:val="21"/>
          <w:highlight w:val="none"/>
        </w:rPr>
      </w:pPr>
      <w:r>
        <w:rPr>
          <w:rFonts w:hint="eastAsia" w:ascii="宋体" w:hAnsi="宋体"/>
          <w:b/>
          <w:color w:val="auto"/>
          <w:szCs w:val="21"/>
          <w:highlight w:val="none"/>
        </w:rPr>
        <w:t>第五条  技术要求</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1.乙方应保证本项目及所提供的设备、材料、技术资料、技术服务资料是合法取得的，甲方有权使用而不会被责令停止使用、追偿或要求赔偿损失，如出现此情形，一切经济和法律责任均由乙方承担。 </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2.乙方应严格按照合同约定，提供合格、全新、招标文件约定的产品技术规定的设备，所有设备应具有完整性和质量可靠性，能按技术要求正常工作并长期使用。 </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3.乙方提供的所有设备、材料必须为全新的、未使用过的合格产品，质量符合国际或国家标准，没有上述标准时应符合产品的通用标准。如硬件出现质量问题或系假冒、伪劣产品，乙方负责包退、包换；如软件功能不符合技术及使用目的要求，乙方负责重新提供符合技术及使用目的的产品，因此而涉及的全部费用由乙方承担，如因此而造成工程交付延误的，应依规定承担违约责任。如本项目质量出现问题，乙方应承担所涉及的全部费用。 </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4.项目实施过程中，甲方可根据具体情况对设计方案提出修改，乙方须无偿配合修改。 </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5.乙方应为甲方提供设备及安装、调试、维修一条龙服务，并对安装质量负责。</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6.所有通讯端口均须无条件开放，且相关平台接入涉及到的所有费用包含在合同价中。</w:t>
      </w:r>
    </w:p>
    <w:p>
      <w:pPr>
        <w:keepNext/>
        <w:keepLines/>
        <w:snapToGrid w:val="0"/>
        <w:spacing w:line="360" w:lineRule="auto"/>
        <w:outlineLvl w:val="3"/>
        <w:rPr>
          <w:rFonts w:hint="eastAsia" w:ascii="宋体" w:hAnsi="宋体"/>
          <w:b/>
          <w:color w:val="auto"/>
          <w:szCs w:val="21"/>
          <w:highlight w:val="none"/>
          <w:lang w:val="zh-CN"/>
        </w:rPr>
      </w:pPr>
      <w:r>
        <w:rPr>
          <w:rFonts w:hint="eastAsia" w:ascii="宋体" w:hAnsi="宋体"/>
          <w:b/>
          <w:color w:val="auto"/>
          <w:szCs w:val="21"/>
          <w:highlight w:val="none"/>
        </w:rPr>
        <w:t xml:space="preserve">第六条  </w:t>
      </w:r>
      <w:r>
        <w:rPr>
          <w:rFonts w:hint="eastAsia" w:ascii="宋体" w:hAnsi="宋体"/>
          <w:b/>
          <w:color w:val="auto"/>
          <w:szCs w:val="21"/>
          <w:highlight w:val="none"/>
          <w:lang w:val="zh-CN"/>
        </w:rPr>
        <w:t>安装、调试、运转及性能考核</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1.乙方应按甲方要求，合理规划系统布局、线路及各种设备进场安装时间进度，并严格按照施工方案调试及施工。 </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2.乙方根据合同规定的功能进行系统调试、测试，乙方应当在系统调试合格后三日内以书面形式出具有关调试数据和报告，报告一式二份，甲方、乙方各执一份。 </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3.甲、乙双方按商定的试运行方案和测试数据，进行试运行测试，乙方负责解决试运行过程中出现的问题。 </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4.乙方对所供设备的安装、调试、试运行及质保期内的服务负责，在此期间内出现的任何设备故障、缺陷、不能达到项目规定的使用目的的损失及其由此发生的任何费用由乙方承担。</w:t>
      </w:r>
    </w:p>
    <w:p>
      <w:pPr>
        <w:keepNext/>
        <w:keepLines/>
        <w:snapToGrid w:val="0"/>
        <w:spacing w:line="360" w:lineRule="auto"/>
        <w:ind w:firstLine="420" w:firstLineChars="200"/>
        <w:outlineLvl w:val="3"/>
        <w:rPr>
          <w:rFonts w:hint="eastAsia" w:ascii="宋体" w:hAnsi="宋体"/>
          <w:b/>
          <w:color w:val="auto"/>
          <w:szCs w:val="21"/>
          <w:highlight w:val="none"/>
        </w:rPr>
      </w:pPr>
      <w:r>
        <w:rPr>
          <w:rFonts w:hint="eastAsia" w:ascii="宋体" w:hAnsi="宋体" w:cs="宋体"/>
          <w:color w:val="auto"/>
          <w:szCs w:val="21"/>
          <w:highlight w:val="none"/>
        </w:rPr>
        <w:t xml:space="preserve">5.设备调试时甲、乙双方要互相配合，甲方应向乙方现场调试及维修人员提供必要条件、提供安装、调试用的动力和照明电源。乙方应确保设备安装规范、安全，如因乙方操作不当造成事故发生（含造成的第三方事故），一切经济损失和责任由乙方自负。 </w:t>
      </w:r>
    </w:p>
    <w:p>
      <w:pPr>
        <w:keepNext/>
        <w:keepLines/>
        <w:snapToGrid w:val="0"/>
        <w:spacing w:line="360" w:lineRule="auto"/>
        <w:outlineLvl w:val="3"/>
        <w:rPr>
          <w:rFonts w:hint="eastAsia" w:ascii="宋体" w:hAnsi="宋体"/>
          <w:b/>
          <w:color w:val="auto"/>
          <w:szCs w:val="21"/>
          <w:highlight w:val="none"/>
        </w:rPr>
      </w:pPr>
      <w:r>
        <w:rPr>
          <w:rFonts w:hint="eastAsia" w:ascii="宋体" w:hAnsi="宋体"/>
          <w:b/>
          <w:color w:val="auto"/>
          <w:szCs w:val="21"/>
          <w:highlight w:val="none"/>
        </w:rPr>
        <w:t xml:space="preserve">第七条  竣工验收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1.工程竣工后，乙方应向甲方提交竣工验收报告；同时乙方应在一周内按甲方及相关主管部门的要求编制完整的竣工文件。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2.甲方收到乙方提供的全套竣工资料和书面竣工验收报告后会同有关部门及时组织验收，验收以施工图纸、图说、技术交底纪要、设计更改通知、国家颁发的施工验收规范和质量检验标准为依据。 </w:t>
      </w:r>
    </w:p>
    <w:p>
      <w:pPr>
        <w:snapToGrid w:val="0"/>
        <w:spacing w:line="360" w:lineRule="auto"/>
        <w:ind w:firstLine="420" w:firstLineChars="200"/>
        <w:jc w:val="left"/>
        <w:rPr>
          <w:rFonts w:hint="eastAsia" w:ascii="宋体" w:hAnsi="宋体" w:cs="宋体"/>
          <w:b/>
          <w:bCs/>
          <w:color w:val="auto"/>
          <w:szCs w:val="21"/>
          <w:highlight w:val="none"/>
        </w:rPr>
      </w:pPr>
      <w:r>
        <w:rPr>
          <w:rFonts w:hint="eastAsia" w:ascii="宋体" w:hAnsi="宋体" w:cs="宋体"/>
          <w:color w:val="auto"/>
          <w:kern w:val="0"/>
          <w:szCs w:val="21"/>
          <w:highlight w:val="none"/>
          <w:lang w:bidi="ar"/>
        </w:rPr>
        <w:t>3.验收合格后，双方签署竣工验收通过的文件，并将工程移交给甲方管理。验收中如发现有不符质量要求的，由乙方负责修改再进行验收。竣工日期以验收通过的日期为准。</w:t>
      </w:r>
    </w:p>
    <w:p>
      <w:pPr>
        <w:keepNext/>
        <w:keepLines/>
        <w:snapToGrid w:val="0"/>
        <w:spacing w:line="360" w:lineRule="auto"/>
        <w:outlineLvl w:val="3"/>
        <w:rPr>
          <w:rFonts w:hint="eastAsia" w:ascii="宋体" w:hAnsi="宋体"/>
          <w:b/>
          <w:color w:val="auto"/>
          <w:szCs w:val="21"/>
          <w:highlight w:val="none"/>
        </w:rPr>
      </w:pPr>
      <w:r>
        <w:rPr>
          <w:rFonts w:hint="eastAsia" w:ascii="宋体" w:hAnsi="宋体"/>
          <w:b/>
          <w:color w:val="auto"/>
          <w:szCs w:val="21"/>
          <w:highlight w:val="none"/>
        </w:rPr>
        <w:t xml:space="preserve">第八条  工程考核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1.乙方采购的材料不符合质量标准或弄虚作假、以次充好，一经发现，乙方自行承担整改所需的工料费，同时向甲方支付工程最终结算价款10%的违约金，甲方有权在工程款结算时予以扣除。 </w:t>
      </w:r>
    </w:p>
    <w:p>
      <w:pPr>
        <w:snapToGrid w:val="0"/>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 xml:space="preserve">2.除甲方原因及不可抗力外，工期延误的责任由乙方承担，每延期一天乙方应向甲方支付工程最终结算价款0.5%的违约金，甲方有权在工程款结算时予以扣除。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3.乙方不服从甲方指挥，拒绝或延误电话机及数据终端安装，乙方按合同总额每日万分之三向甲方支付违约金，甲方有权在工程款结算时予以扣除，因不可抗力除外。如经甲方催告并给予宽限期后10日内仍不能履行相关义务的，加倍承担违约责任。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4.未按期按甲方及相关主管部门的要求编制完整的竣工文件的，每延期一天乙方应向甲方支付工程最终结算价款0.5%的违约金，甲方有权在工程款结算时予以扣除。 </w:t>
      </w:r>
    </w:p>
    <w:p>
      <w:pPr>
        <w:keepNext/>
        <w:keepLines/>
        <w:snapToGrid w:val="0"/>
        <w:spacing w:line="360" w:lineRule="auto"/>
        <w:outlineLvl w:val="3"/>
        <w:rPr>
          <w:color w:val="auto"/>
          <w:highlight w:val="none"/>
        </w:rPr>
      </w:pPr>
      <w:r>
        <w:rPr>
          <w:rFonts w:hint="eastAsia" w:ascii="宋体" w:hAnsi="宋体"/>
          <w:b/>
          <w:color w:val="auto"/>
          <w:szCs w:val="21"/>
          <w:highlight w:val="none"/>
        </w:rPr>
        <w:t>第九条 结算</w:t>
      </w:r>
    </w:p>
    <w:p>
      <w:pPr>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工程竣工结算由业主在崇川区审计局设立的“政府投资建设项目协审中介机构资源库”中委托产生第三方审计机构审计确认，审计结束后发包人根据《崇川区政府投资建设项目审计监督办法》的通知，将审计结果送崇川区审计局进行复核，最终复核结果作为工程竣工结算依据。如审计时，崇川区审计局不再设立“政府投资建设项目协审中介机构资源库”的或崇川区审计局不再复核，则由发包人选择并委托相应资质的第三方审计机构审计。承包人对业主的选择、委托均予以确认，最终审计结果作为工程竣工结算。</w:t>
      </w:r>
    </w:p>
    <w:p>
      <w:pPr>
        <w:autoSpaceDE w:val="0"/>
        <w:autoSpaceDN w:val="0"/>
        <w:adjustRightInd w:val="0"/>
        <w:snapToGrid w:val="0"/>
        <w:spacing w:line="360" w:lineRule="auto"/>
        <w:ind w:firstLine="480"/>
        <w:rPr>
          <w:rFonts w:hint="eastAsia" w:ascii="宋体" w:hAnsi="宋体"/>
          <w:color w:val="auto"/>
          <w:szCs w:val="21"/>
          <w:highlight w:val="none"/>
        </w:rPr>
      </w:pPr>
      <w:r>
        <w:rPr>
          <w:rFonts w:hint="eastAsia" w:ascii="宋体" w:cs="宋体"/>
          <w:color w:val="auto"/>
          <w:szCs w:val="21"/>
          <w:highlight w:val="none"/>
        </w:rPr>
        <w:t>2、</w:t>
      </w:r>
      <w:r>
        <w:rPr>
          <w:rFonts w:hint="eastAsia" w:ascii="宋体" w:hAnsi="宋体"/>
          <w:color w:val="auto"/>
          <w:szCs w:val="21"/>
          <w:highlight w:val="none"/>
        </w:rPr>
        <w:t>最终按验收合格的工程量及按以下第2.2、2.3条计量规则和计价办法确定的价格、中标下浮率进行结算，结算审计价不得超过合同价。</w:t>
      </w:r>
    </w:p>
    <w:p>
      <w:pPr>
        <w:autoSpaceDE w:val="0"/>
        <w:autoSpaceDN w:val="0"/>
        <w:adjustRightInd w:val="0"/>
        <w:snapToGrid w:val="0"/>
        <w:spacing w:line="360" w:lineRule="auto"/>
        <w:ind w:firstLine="420" w:firstLineChars="200"/>
        <w:rPr>
          <w:rFonts w:ascii="宋体" w:cs="宋体"/>
          <w:bCs/>
          <w:color w:val="auto"/>
          <w:kern w:val="0"/>
          <w:szCs w:val="21"/>
          <w:highlight w:val="none"/>
          <w:u w:val="single"/>
        </w:rPr>
      </w:pPr>
      <w:r>
        <w:rPr>
          <w:rFonts w:hint="eastAsia" w:ascii="宋体" w:cs="宋体"/>
          <w:bCs/>
          <w:color w:val="auto"/>
          <w:kern w:val="0"/>
          <w:szCs w:val="21"/>
          <w:highlight w:val="none"/>
          <w:u w:val="single"/>
        </w:rPr>
        <w:t>2.1 竣工结算的工程量按发承包双方实际完成并验收合格的工程量和项目确定。</w:t>
      </w:r>
    </w:p>
    <w:p>
      <w:pPr>
        <w:spacing w:line="360" w:lineRule="auto"/>
        <w:ind w:firstLine="420" w:firstLineChars="200"/>
        <w:rPr>
          <w:rFonts w:hint="eastAsia" w:ascii="宋体" w:hAnsi="宋体"/>
          <w:bCs/>
          <w:color w:val="auto"/>
          <w:sz w:val="24"/>
          <w:highlight w:val="none"/>
        </w:rPr>
      </w:pPr>
      <w:r>
        <w:rPr>
          <w:rFonts w:hint="eastAsia" w:ascii="宋体" w:cs="宋体"/>
          <w:bCs/>
          <w:color w:val="auto"/>
          <w:kern w:val="0"/>
          <w:szCs w:val="21"/>
          <w:highlight w:val="none"/>
          <w:u w:val="single"/>
        </w:rPr>
        <w:t>2.2 按照《建筑工程工程量清单计价规范》GB50500-2013及配套的工程量清单计算规范、《江苏省安装工程计价定额》2014年版、《江苏省建设工程费用定额》（2014年）以及</w:t>
      </w:r>
      <w:bookmarkStart w:id="54" w:name="_GoBack"/>
      <w:bookmarkEnd w:id="54"/>
      <w:r>
        <w:rPr>
          <w:rFonts w:hint="eastAsia" w:ascii="宋体" w:cs="宋体"/>
          <w:bCs/>
          <w:color w:val="auto"/>
          <w:kern w:val="0"/>
          <w:szCs w:val="21"/>
          <w:highlight w:val="none"/>
          <w:u w:val="single"/>
        </w:rPr>
        <w:t>相应的补充规定和省市颁布的有关工程造价文件；</w:t>
      </w:r>
      <w:r>
        <w:rPr>
          <w:rFonts w:hint="eastAsia" w:ascii="宋体" w:hAnsi="宋体"/>
          <w:color w:val="auto"/>
          <w:szCs w:val="21"/>
          <w:highlight w:val="none"/>
          <w:u w:val="single"/>
        </w:rPr>
        <w:t>人工工资按《省住房和城乡建设厅关于发布2025年上半年建设工程人工工资指导价的通知》（苏建函价〔202</w:t>
      </w:r>
      <w:r>
        <w:rPr>
          <w:rFonts w:hint="eastAsia" w:ascii="宋体" w:hAnsi="宋体"/>
          <w:color w:val="auto"/>
          <w:szCs w:val="21"/>
          <w:highlight w:val="none"/>
          <w:u w:val="single"/>
          <w:lang w:val="en-US" w:eastAsia="zh-CN"/>
        </w:rPr>
        <w:t>5</w:t>
      </w:r>
      <w:r>
        <w:rPr>
          <w:rFonts w:hint="eastAsia" w:ascii="宋体" w:hAnsi="宋体"/>
          <w:color w:val="auto"/>
          <w:szCs w:val="21"/>
          <w:highlight w:val="none"/>
          <w:u w:val="single"/>
        </w:rPr>
        <w:t>〕</w:t>
      </w:r>
      <w:r>
        <w:rPr>
          <w:rFonts w:hint="eastAsia" w:ascii="宋体" w:hAnsi="宋体"/>
          <w:color w:val="auto"/>
          <w:szCs w:val="21"/>
          <w:highlight w:val="none"/>
          <w:u w:val="single"/>
          <w:lang w:val="en-US" w:eastAsia="zh-CN"/>
        </w:rPr>
        <w:t>66</w:t>
      </w:r>
      <w:r>
        <w:rPr>
          <w:rFonts w:hint="eastAsia" w:ascii="宋体" w:hAnsi="宋体"/>
          <w:color w:val="auto"/>
          <w:szCs w:val="21"/>
          <w:highlight w:val="none"/>
          <w:u w:val="single"/>
        </w:rPr>
        <w:t>号）</w:t>
      </w:r>
      <w:r>
        <w:rPr>
          <w:rFonts w:hint="eastAsia" w:ascii="宋体" w:cs="宋体"/>
          <w:bCs/>
          <w:color w:val="auto"/>
          <w:kern w:val="0"/>
          <w:szCs w:val="21"/>
          <w:highlight w:val="none"/>
          <w:u w:val="single"/>
        </w:rPr>
        <w:t>；《关于取消建设工程建筑安全监督管理费的通知》（通建价[2013]8号）；《省住房城乡建设厅关于调整建设工程按质论价等费用计取方法的公告》（[2018]第24号）。本工程采用一般计税方法，具体按“省住房和城乡建设厅关于建筑业实施营改增后江苏省建设工程计价依据调整的通知”苏建价（2016）154号文、《省住房城乡建设厅关于调整建设工程计价增值税税率的通知》 苏建函价〔2019〕178号 以及相应的补充规定和南通市现行的有关文件相关要求执行；材料价格按《南通建设工程造价信息》</w:t>
      </w:r>
      <w:r>
        <w:rPr>
          <w:rFonts w:hint="eastAsia" w:ascii="宋体" w:cs="宋体"/>
          <w:bCs/>
          <w:color w:val="auto"/>
          <w:kern w:val="0"/>
          <w:szCs w:val="21"/>
          <w:highlight w:val="none"/>
          <w:u w:val="single"/>
          <w:lang w:eastAsia="zh-CN"/>
        </w:rPr>
        <w:t>施工当期</w:t>
      </w:r>
      <w:r>
        <w:rPr>
          <w:rFonts w:hint="eastAsia" w:ascii="宋体" w:cs="宋体"/>
          <w:bCs/>
          <w:color w:val="auto"/>
          <w:kern w:val="0"/>
          <w:szCs w:val="21"/>
          <w:highlight w:val="none"/>
          <w:u w:val="single"/>
        </w:rPr>
        <w:t>信息价及市场询价。安全文明施工措施费以造价部门最终核定的为准。</w:t>
      </w:r>
      <w:r>
        <w:rPr>
          <w:rFonts w:hint="eastAsia" w:ascii="宋体" w:hAnsi="宋体"/>
          <w:bCs/>
          <w:color w:val="auto"/>
          <w:sz w:val="24"/>
          <w:highlight w:val="none"/>
        </w:rPr>
        <w:t xml:space="preserve">  </w:t>
      </w:r>
    </w:p>
    <w:p>
      <w:pPr>
        <w:autoSpaceDE w:val="0"/>
        <w:autoSpaceDN w:val="0"/>
        <w:adjustRightInd w:val="0"/>
        <w:spacing w:line="360" w:lineRule="auto"/>
        <w:ind w:firstLine="480"/>
        <w:rPr>
          <w:rFonts w:ascii="宋体" w:cs="宋体"/>
          <w:bCs/>
          <w:color w:val="auto"/>
          <w:kern w:val="0"/>
          <w:szCs w:val="21"/>
          <w:highlight w:val="none"/>
          <w:u w:val="single"/>
        </w:rPr>
      </w:pPr>
      <w:r>
        <w:rPr>
          <w:rFonts w:hint="eastAsia" w:ascii="宋体" w:cs="宋体"/>
          <w:bCs/>
          <w:color w:val="auto"/>
          <w:kern w:val="0"/>
          <w:szCs w:val="21"/>
          <w:highlight w:val="none"/>
          <w:u w:val="single"/>
        </w:rPr>
        <w:t>2.3 其他费率：临时设施费按0.6%计取，其他总价措施费均不计取。</w:t>
      </w:r>
    </w:p>
    <w:p>
      <w:pPr>
        <w:tabs>
          <w:tab w:val="left" w:pos="2410"/>
        </w:tabs>
        <w:snapToGrid w:val="0"/>
        <w:spacing w:line="360" w:lineRule="auto"/>
        <w:ind w:firstLine="420" w:firstLineChars="200"/>
        <w:jc w:val="left"/>
        <w:rPr>
          <w:rFonts w:hint="eastAsia" w:ascii="宋体" w:cs="宋体"/>
          <w:bCs/>
          <w:color w:val="auto"/>
          <w:kern w:val="0"/>
          <w:szCs w:val="21"/>
          <w:highlight w:val="none"/>
          <w:u w:val="single"/>
        </w:rPr>
      </w:pPr>
      <w:r>
        <w:rPr>
          <w:rFonts w:hint="eastAsia" w:ascii="宋体" w:hAnsi="宋体"/>
          <w:color w:val="auto"/>
          <w:szCs w:val="21"/>
          <w:highlight w:val="none"/>
        </w:rPr>
        <w:t>3、审计费的支付：</w:t>
      </w:r>
      <w:r>
        <w:rPr>
          <w:rFonts w:hint="eastAsia" w:ascii="宋体" w:cs="宋体"/>
          <w:bCs/>
          <w:color w:val="auto"/>
          <w:kern w:val="0"/>
          <w:szCs w:val="21"/>
          <w:highlight w:val="none"/>
          <w:u w:val="single"/>
        </w:rPr>
        <w:t>承包人应如实报送工程竣工结算，如经第三方审计机构审计后，核减额小于5%（含5%），审计费由发包人支付；核减额大于5%、小于10%（含10%），超出5%的审计费由承包人承担；核减额大于10%，审计费全部由承包人承担。审计费按核减额的6%计取、发包方无需另行提供票据证实，直接在应付款中扣除。核减额=初审核减额+复审核减额，审计核减率=核减额/送审金额*100%</w:t>
      </w:r>
    </w:p>
    <w:p>
      <w:pPr>
        <w:tabs>
          <w:tab w:val="left" w:pos="2410"/>
        </w:tabs>
        <w:snapToGrid w:val="0"/>
        <w:spacing w:line="360" w:lineRule="auto"/>
        <w:ind w:firstLine="420" w:firstLineChars="200"/>
        <w:jc w:val="left"/>
        <w:rPr>
          <w:color w:val="auto"/>
          <w:highlight w:val="none"/>
        </w:rPr>
      </w:pPr>
      <w:r>
        <w:rPr>
          <w:rFonts w:hint="eastAsia" w:ascii="宋体" w:hAnsi="宋体"/>
          <w:color w:val="auto"/>
          <w:szCs w:val="21"/>
          <w:highlight w:val="none"/>
        </w:rPr>
        <w:t>如上级审计或监管部门在检查中发现审计结果有误，承包人已支付工程款（进度款）超过结算价相应比例的部分，承包人无条件同意在未付的工程款中直接扣除超支部分及按照银行同期贷款利率计算利息，未支付的工程款中不足以完全覆盖前述退款及利息或承包人已付清工程款的，承包人应在发包人发出退款通知的10日内向发包人支付退款及利息。</w:t>
      </w:r>
    </w:p>
    <w:p>
      <w:pPr>
        <w:keepNext/>
        <w:keepLines/>
        <w:snapToGrid w:val="0"/>
        <w:spacing w:line="360" w:lineRule="auto"/>
        <w:outlineLvl w:val="3"/>
        <w:rPr>
          <w:rFonts w:hint="eastAsia" w:ascii="宋体" w:hAnsi="宋体"/>
          <w:b/>
          <w:color w:val="auto"/>
          <w:szCs w:val="21"/>
          <w:highlight w:val="none"/>
        </w:rPr>
      </w:pPr>
      <w:r>
        <w:rPr>
          <w:rFonts w:hint="eastAsia" w:ascii="宋体" w:hAnsi="宋体"/>
          <w:b/>
          <w:color w:val="auto"/>
          <w:szCs w:val="21"/>
          <w:highlight w:val="none"/>
        </w:rPr>
        <w:t>第十条  其它</w:t>
      </w:r>
    </w:p>
    <w:p>
      <w:pPr>
        <w:snapToGrid w:val="0"/>
        <w:spacing w:line="360" w:lineRule="auto"/>
        <w:ind w:firstLine="482"/>
        <w:rPr>
          <w:rFonts w:hint="eastAsia" w:ascii="宋体" w:hAnsi="宋体" w:cs="宋体"/>
          <w:color w:val="auto"/>
          <w:szCs w:val="21"/>
          <w:highlight w:val="none"/>
        </w:rPr>
      </w:pPr>
      <w:r>
        <w:rPr>
          <w:rFonts w:hint="eastAsia" w:ascii="宋体" w:hAnsi="宋体" w:cs="宋体"/>
          <w:color w:val="auto"/>
          <w:szCs w:val="21"/>
          <w:highlight w:val="none"/>
        </w:rPr>
        <w:t>1.乙方必须按标准化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投标报价中。</w:t>
      </w:r>
    </w:p>
    <w:p>
      <w:pPr>
        <w:snapToGrid w:val="0"/>
        <w:spacing w:line="360" w:lineRule="auto"/>
        <w:ind w:firstLine="482"/>
        <w:rPr>
          <w:rFonts w:hint="eastAsia" w:ascii="宋体" w:hAnsi="宋体" w:cs="宋体"/>
          <w:color w:val="auto"/>
          <w:szCs w:val="21"/>
          <w:highlight w:val="none"/>
        </w:rPr>
      </w:pPr>
      <w:r>
        <w:rPr>
          <w:rFonts w:hint="eastAsia" w:ascii="宋体" w:hAnsi="宋体" w:cs="宋体"/>
          <w:color w:val="auto"/>
          <w:szCs w:val="21"/>
          <w:highlight w:val="none"/>
        </w:rPr>
        <w:t>2.乙方无条件接受建设单位及代建单位的管理，并做好安全文明施工管理、质量管理、进度管理、签证管理、信息管理、现场协调、现场材料合理布置和看管、消防工作、进场人员的安全技术交底工作并做好民工工资发放检查工作、成品保护、工程资料填写与报验、工序质量验收等工作。</w:t>
      </w:r>
    </w:p>
    <w:p>
      <w:pPr>
        <w:snapToGrid w:val="0"/>
        <w:spacing w:line="360" w:lineRule="auto"/>
        <w:ind w:firstLine="482"/>
        <w:rPr>
          <w:rFonts w:hint="eastAsia" w:ascii="宋体" w:hAnsi="宋体" w:cs="宋体"/>
          <w:color w:val="auto"/>
          <w:szCs w:val="21"/>
          <w:highlight w:val="none"/>
        </w:rPr>
      </w:pPr>
      <w:r>
        <w:rPr>
          <w:rFonts w:hint="eastAsia" w:ascii="宋体" w:hAnsi="宋体" w:cs="宋体"/>
          <w:color w:val="auto"/>
          <w:szCs w:val="21"/>
          <w:highlight w:val="none"/>
        </w:rPr>
        <w:t>3.与施工总承包单位、其他专业单位等承包商间的协调、配合、通信关系，由乙方自行解决，确保各分项工程满足设计图纸、验收规范等要求，发生的费用由乙方自行承担，并相互做好成品保护工作，并无条件接受施工总承包单位的总包管理,甲方不再另行支付任何涉及工序交叉影响的费用。</w:t>
      </w:r>
    </w:p>
    <w:p>
      <w:pPr>
        <w:autoSpaceDE w:val="0"/>
        <w:autoSpaceDN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4.本项目施工用水、电费用由乙方向甲方缴纳。</w:t>
      </w:r>
      <w:r>
        <w:rPr>
          <w:rFonts w:hint="eastAsia" w:ascii="宋体" w:hAnsi="宋体" w:cs="宋体"/>
          <w:color w:val="auto"/>
          <w:kern w:val="0"/>
          <w:szCs w:val="21"/>
          <w:highlight w:val="none"/>
          <w:lang w:bidi="ar"/>
        </w:rPr>
        <w:t xml:space="preserve">    </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5.考核标准</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5.1乙方日常检查内容及处理标准（一）</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5.1.1人员配备及到岗</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（1）现场管理人员未按照合同约定到岗，与备案人员不符；甲方有权收取承包人5000元/人·天的违约金。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（2）管理人员人证不符，到岗未履职；甲方有权收取2000元/人的违约金。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（3）管理人员缺勤未履行请假手续；甲方有权收取承包人2000元/人·天的违约金。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（4）应参加例会的人员未参加例会，未履行请假手续；甲方有权收取2000元/人/次的违约金。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（5）特种作业人员无证上岗、人证不符；甲方有权收取2000元/人的违约金。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5.1.2施工准备</w:t>
      </w:r>
    </w:p>
    <w:p>
      <w:pPr>
        <w:numPr>
          <w:ilvl w:val="0"/>
          <w:numId w:val="6"/>
        </w:num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未在要求的时间内提供报建资料；未落实专人配合完成报建；甲方有权收取2000元/人的违约金。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（2）未按时完成人、材、机、临设及现场施工总平布置等施工准备工作，影响工程实施进展；甲方有权收取1000元/项的违约金。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 xml:space="preserve">（3）在规定的时间内未完成开工前《施工组织设计》、《施工总进度计划》、《质量、安全管理制度》等相关资料报审；甲方有权收取1000元/项的违约金。   </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5.1.3质量管理</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（1）专职质量管理人员未按规定配备；甲方有权收取2000元/人的违约金。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（2）施工前《施工组织设计》和《施工方案》未申报；未经审批；甲方有权收取1000元/项的违约金。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（3）现场未配备齐全涉及到本项目的图集、规范和相关标准；甲方有权收取1000元/项的违约金。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（4）原材料、构配件未按规范要求见证取样检验，使用前未报监理验收；未经审批；乙方须支付1000元/次的违约金。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（5）未按图纸、图集和施工技术标准施工；擅自修改设计，偷工减料；乙方须支付1000元/项的违约金。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（6）隐蔽工程未经验收，无隐蔽验收记录；检验批、分部分项工程未及时报验；乙方须支付1000元/项的违约金。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（7）未实施样板引路制度，未设置实体样板和工序样板；乙方须支付1000元/项的违约金。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（8）不合格试验报告未及时处置闭合；乙方须支付1000元/项的违约金。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（9）未按照要求做好成品保护工作；乙方须支付1000元/项的违约金。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（10）施工期间受到主管部门通报批评和责令停工；乙方须支付2000元/次的违约金。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5.2乙方日常检查内容及处理标准（二）</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5.2.1安全管理</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（1）专职安全管理人员未按规定人数配备；施工时无专职安全生产管里人员现场监督；乙方须支付1000元/人的违约金。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（2）未按规定对从业人员进行安全生产教育和培训；乙方须支付500元/人的违约金。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（3）总分包之间未签订安全生产协议书，未对分包单位进行安全管理；未经审批；乙方须支付500元/次的违约金。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（4）未按规定为作业人员提供劳动防护用品；安全防护用具、机械设备、施工机具及配件未经验收或验收不合格仍投入使用；乙方须支付500元/项的违约金。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（5）未在危险区域和有关设施、设备上设置明显的安全警示标志；施工现场未设置消防通道、消防水源、配备消防设施和灭火器材；乙方须支付500元/处的违约金。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（6）未按规定在施工起重机械和脚手架、模板支架等设施上设验收合格牌；处理标准：乙方须支付500元/处的违约金。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（7）未建立健全安全事故隐患排查治理制度，未定期进行隐患排查和治理；处理标准：乙方须支付500元/项的违约金。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（8）施工企业负责人和项目负责人未按规定执行现场带班制度；乙方须支付500元/次的违约金。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（9）未编制安全专项方案和事故应急救援预案；乙方须支付1000元/处的违约金。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（10）在尚未竣工的建筑物内设置员工宿舍；乙方须支付500元/次的违约金。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（11）未对施工可能造成损害的毗邻建筑物、构筑物和地下管线等采取有效的防护措施；乙方须支付500元/项的违约金。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（12）施工组织设计中未编制安全技术措施，未按规定编制安全专项方案；现场未按审批的方案组织实施；乙方须支付1000元/项的违约金。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（13）现场未按照相关要求做好扬尘控制和扬尘控制不力；乙方须支付1000元/次的违约金。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（14）未经批准占用公共道路，工地进出口不符合安全、卫生要求；乙方须支付500元/项的违约金。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（15）现场未做到“工完料清”，周边建筑垃圾未及时清运；乙方须支付200元/次的违约金。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 xml:space="preserve">（16）施工期间受到主管部门通报批评和责令停工；乙方须支付2000元/次的违约金。    </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5.3乙方日常检查内容及处理标准（三）</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5.3.1进度控制</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（1）未在要求的时间内提供切实可行的施工进度计划；乙方须支付500元/次的违约金。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（2）因材料供应不及时、机械设备不到位、施工人员力量不足等原因造成施工进度延误；乙方须支付500元/项的违约金。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（3）实际进度滞后计划进度未采取有效措施赶工，致使进度滞后超过7天；致使基础、主体结构等主要节点验收滞后超过3天；乙方须支付1000元/次的违约金。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5.3.2资料管理</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（1）现场无专职资料员，施工期间工程资料未按照实际进度同步收集整理；乙方须支付500元/次的违约金。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（2）未按规定建立材料检验、试块登记、工序报验等资料台账；乙方须支付200元/项的违约金。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（3）对关键工序和隐蔽部位未留存影响资料；乙方须支付200元/项的违约金。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（4）质量、安全等资料有造假、不完整、签字不全和代签现象；乙方须支付500元/项的违约金。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5.3.3投资控制</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（1）签证资料不及时上报，虚报工程量；乙方须支付200元/项的违约金。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（2）未按规定程序及时办理工程变更；乙方须支付500元/项的违约金。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（3）未按要求的时间及时提供决算，不积极配合监理单位做好工程决算审计；乙方须支付1000元/次的违约金。</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5.3.4上述内容中人员不符及不到岗的按天处理。</w:t>
      </w:r>
    </w:p>
    <w:p>
      <w:pPr>
        <w:snapToGrid w:val="0"/>
        <w:spacing w:line="360" w:lineRule="auto"/>
        <w:ind w:firstLine="420" w:firstLineChars="200"/>
        <w:jc w:val="left"/>
        <w:rPr>
          <w:rFonts w:hint="eastAsia" w:ascii="宋体" w:hAnsi="宋体" w:cs="宋体"/>
          <w:b/>
          <w:bCs/>
          <w:color w:val="auto"/>
          <w:kern w:val="0"/>
          <w:szCs w:val="21"/>
          <w:highlight w:val="none"/>
          <w:lang w:bidi="ar"/>
        </w:rPr>
      </w:pPr>
      <w:r>
        <w:rPr>
          <w:rFonts w:hint="eastAsia" w:ascii="宋体" w:hAnsi="宋体" w:cs="宋体"/>
          <w:bCs/>
          <w:color w:val="auto"/>
          <w:szCs w:val="21"/>
          <w:highlight w:val="none"/>
        </w:rPr>
        <w:t>5.4标准不一致的，以处理标准高的为准。合同另有约定的按合同约定执行。</w:t>
      </w:r>
    </w:p>
    <w:p>
      <w:pPr>
        <w:keepNext/>
        <w:keepLines/>
        <w:snapToGrid w:val="0"/>
        <w:spacing w:line="360" w:lineRule="auto"/>
        <w:outlineLvl w:val="3"/>
        <w:rPr>
          <w:rFonts w:hint="eastAsia" w:ascii="宋体" w:hAnsi="宋体"/>
          <w:b/>
          <w:color w:val="auto"/>
          <w:szCs w:val="21"/>
          <w:highlight w:val="none"/>
        </w:rPr>
      </w:pPr>
      <w:r>
        <w:rPr>
          <w:rFonts w:hint="eastAsia" w:ascii="宋体" w:hAnsi="宋体"/>
          <w:b/>
          <w:color w:val="auto"/>
          <w:szCs w:val="21"/>
          <w:highlight w:val="none"/>
        </w:rPr>
        <w:t xml:space="preserve">第十一条  甲方权利和义务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1.组织工程建设项目的技术交底，向乙方明确施工任务；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2.提供必要的施工条件；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3.指派甲方代表对建设工程项目进行全面协调和监督检查；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4.在乙方提供全套竣工资料和书面竣工验收报告后会同有关部门及时组织验收；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5.按合同约定按时向乙方支付工程款。 </w:t>
      </w:r>
    </w:p>
    <w:p>
      <w:pPr>
        <w:snapToGrid w:val="0"/>
        <w:spacing w:line="360" w:lineRule="auto"/>
        <w:jc w:val="left"/>
        <w:rPr>
          <w:rFonts w:hint="eastAsia" w:ascii="宋体" w:hAnsi="宋体" w:cs="宋体"/>
          <w:color w:val="auto"/>
          <w:szCs w:val="21"/>
          <w:highlight w:val="none"/>
        </w:rPr>
      </w:pPr>
      <w:r>
        <w:rPr>
          <w:rFonts w:hint="eastAsia" w:ascii="宋体" w:hAnsi="宋体"/>
          <w:b/>
          <w:color w:val="auto"/>
          <w:szCs w:val="21"/>
          <w:highlight w:val="none"/>
        </w:rPr>
        <w:t xml:space="preserve">第十二条  乙方权利和义务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1.乙方不得将其承包的全部工程转包给他人，也不得将其承包的全部工程肢解以后以分包的名义分别转包给他人；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2.非经甲方同意，乙方不得将承包工程的任何部分分包；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3.精心组织施工管理人员、施工人员、材料、施工机械进场施工；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4.合理组织施工，编制施工方案、施工总进度计划、材料供应计划，并在施工前送甲方备案；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5.做好施工材料的检验、清点和保管，乙方采购的材料应按照约定及设计和有关标准要求采购，并提供产品合格证明，对材料设备的质量负责，采购的材料设备须经甲方书面认可后方能使用，采购的材料设备与设计或标准要求不符时，应重新采购符合要求的产品，并承担由此发生的费用及延误工期的责任；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6.服从甲方监理及甲方代表对施工过程的管理与监督，工程具备隐蔽条件或达到约定的中间验收部位，乙方进行自检，并在隐蔽或中间验收前48小时以书面形式通知甲方监理及甲方代表验收。通知包括隐蔽和中间验收的内容、验收时间和地点。乙方准备验收记录，验收合格，甲方监理及甲方代表在验收记录上签字后，乙方可进行隐蔽和继续施工。否则，甲方有权要求乙方返工，并由乙方承担返工费用及延误工期的责任；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7.线路工程的施工，乙方同时承担电话机及数据终端的安装任务。在施工过程中和工程竣工后半年内，乙方应服从甲方的要求进行该项目范围内的电话机及数据终端的安装工作。 </w:t>
      </w:r>
    </w:p>
    <w:p>
      <w:pPr>
        <w:snapToGrid w:val="0"/>
        <w:spacing w:line="360" w:lineRule="auto"/>
        <w:ind w:firstLine="420" w:firstLineChars="200"/>
        <w:jc w:val="left"/>
        <w:rPr>
          <w:rFonts w:hint="eastAsia" w:ascii="宋体" w:hAnsi="宋体" w:cs="宋体"/>
          <w:b/>
          <w:bCs/>
          <w:color w:val="auto"/>
          <w:szCs w:val="21"/>
          <w:highlight w:val="none"/>
        </w:rPr>
      </w:pPr>
      <w:r>
        <w:rPr>
          <w:rFonts w:hint="eastAsia" w:ascii="宋体" w:hAnsi="宋体" w:cs="宋体"/>
          <w:color w:val="auto"/>
          <w:kern w:val="0"/>
          <w:szCs w:val="21"/>
          <w:highlight w:val="none"/>
          <w:lang w:bidi="ar"/>
        </w:rPr>
        <w:t>8.施工过程中必须严格遵守安全操作规程，采取必要的安全防护措施，消除事故隐患，切实做好安全生产工作。乙方在施工中所发生的一切人身伤亡事故和施工单位原因造成的设备事故，事故的责任和因此发生的费用由乙方承担，并不得因此影响工程进度。</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9.严格按照招标文件、合同及合同附件要求施工，对本合同涉及的产品的质量、安装质量、安全及进度等承担责任。 </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10.乙方负责合同中相关设备的采购、系统安装及调试，系统应当达到设计及项目功能规定的使用目的要求，相关费用由乙方承担。 </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11.负责对甲方相关人员进行培训，使其能够掌握有关软、硬件的安装、使用和日常维护，具备排除故障的能力。 </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12.负责安全生产，以及施工及试运行期间的防火防盗及设备保管工作。 </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13.对涉及的项目全部信息负有保密义务，未经甲方书面许可不得向外泄漏。 </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14.对甲方提出的技术支持要求及时响应和处理，及时满足甲方的要求。 </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15.提供完整的设备安装技术文档、设备说明书、系统技术说明书、系统使用说明书、用户手册等。 </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16.服从本项目监理机构以及建设单位的管理。 </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17.乙方派驻项目工地的负责人按时参加工地例会（含专题例会）、监理例会以及甲方或监理机构组织的各类工地协调会，因故不能参加的应提前 6 小时提出申请并需获得甲方及监理机构批准。未经批准缺席会议的，乙方须按 2000 元/次向甲方支付违约金；会议期间不得迟到或早退，迟到或早退超过 10 分钟的，承包人须按 500 元/次向甲方支付违约金。</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18.乙方设计文件除满足现行规范及行业验收标准外，需经发包人认可后方可实施。</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19.检修井原则上应设计在绿化带中，井深标高应按照绿化地形进行调整，井盖采用钢纤维混凝土井盖；在道路上的检查井应采用重型铸铁球墨井盖；在铺装场地内的检查井应采用不锈钢隐形井盖。以上井盖均须有明显的功能标识。</w:t>
      </w:r>
    </w:p>
    <w:p>
      <w:pPr>
        <w:pStyle w:val="3"/>
        <w:snapToGrid w:val="0"/>
        <w:spacing w:after="0" w:line="360" w:lineRule="auto"/>
        <w:ind w:left="63" w:right="63" w:firstLine="420" w:firstLineChars="200"/>
        <w:jc w:val="both"/>
        <w:rPr>
          <w:color w:val="auto"/>
          <w:highlight w:val="none"/>
        </w:rPr>
      </w:pPr>
      <w:r>
        <w:rPr>
          <w:rFonts w:hint="eastAsia" w:ascii="宋体" w:hAnsi="宋体" w:cs="宋体"/>
          <w:color w:val="auto"/>
          <w:szCs w:val="21"/>
          <w:highlight w:val="none"/>
        </w:rPr>
        <w:t>20.招标文件约定的内容是本合同的重要组成。</w:t>
      </w:r>
    </w:p>
    <w:p>
      <w:pPr>
        <w:snapToGrid w:val="0"/>
        <w:spacing w:line="360" w:lineRule="auto"/>
        <w:jc w:val="left"/>
        <w:rPr>
          <w:rFonts w:hint="eastAsia" w:ascii="宋体" w:hAnsi="宋体"/>
          <w:b/>
          <w:color w:val="auto"/>
          <w:szCs w:val="21"/>
          <w:highlight w:val="none"/>
        </w:rPr>
      </w:pPr>
      <w:r>
        <w:rPr>
          <w:rFonts w:hint="eastAsia" w:ascii="宋体" w:hAnsi="宋体"/>
          <w:b/>
          <w:color w:val="auto"/>
          <w:szCs w:val="21"/>
          <w:highlight w:val="none"/>
        </w:rPr>
        <w:t xml:space="preserve">第十三条  合同解除 </w:t>
      </w:r>
    </w:p>
    <w:p>
      <w:pPr>
        <w:snapToGrid w:val="0"/>
        <w:spacing w:line="360" w:lineRule="auto"/>
        <w:ind w:firstLine="420" w:firstLineChars="200"/>
        <w:jc w:val="left"/>
        <w:rPr>
          <w:rFonts w:hint="eastAsia" w:ascii="宋体" w:hAnsi="宋体" w:cs="宋体"/>
          <w:bCs/>
          <w:color w:val="auto"/>
          <w:szCs w:val="21"/>
          <w:highlight w:val="none"/>
        </w:rPr>
      </w:pPr>
      <w:r>
        <w:rPr>
          <w:rFonts w:hint="eastAsia" w:ascii="宋体" w:hAnsi="宋体" w:cs="宋体"/>
          <w:color w:val="auto"/>
          <w:kern w:val="0"/>
          <w:szCs w:val="21"/>
          <w:highlight w:val="none"/>
          <w:lang w:bidi="ar"/>
        </w:rPr>
        <w:t>1.</w:t>
      </w:r>
      <w:r>
        <w:rPr>
          <w:rFonts w:hint="eastAsia" w:ascii="宋体" w:hAnsi="宋体" w:cs="宋体"/>
          <w:bCs/>
          <w:color w:val="auto"/>
          <w:szCs w:val="21"/>
          <w:highlight w:val="none"/>
        </w:rPr>
        <w:t xml:space="preserve">甲方在以下情形之一发生时，有权解除合同，并发给乙方解除合同通知书： </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 xml:space="preserve">（1）乙方不按合同要求执行，且经指出后在限期内又不予改正的。 </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 xml:space="preserve">（2）乙方因自身原因无法完成合同义务。 </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 xml:space="preserve">（3）乙方拒绝遵守或延期执行甲方按合同要求拆换及更改不合格设备的书面指示，从而使工作受到根本影响。 </w:t>
      </w:r>
    </w:p>
    <w:p>
      <w:pPr>
        <w:snapToGrid w:val="0"/>
        <w:spacing w:line="360" w:lineRule="auto"/>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rPr>
        <w:t>（4）乙方破产或无力偿还债务或停止经营。</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lang w:bidi="ar"/>
        </w:rPr>
        <w:t xml:space="preserve">未经甲方同意，乙方将承包工程的任何部分分包或乙方将其承包的全部工程转包给他人或者肢解以后以分包分别转包给他人的，甲方有权解除本合同。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2.有下列情形之一的，甲方、乙方可以协商解除合同：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(1)因不可抗力致使合同无法履行;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(2)因一方严重违约致使合同无法履行。 </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4.一方依据本条1、2款约定要求解除合同的，应以书面形式向对方发出解除合同的通知，通知到达对方时合同解除，合同解除后乙方应做好已完工程的保护和移交工作，并按甲方要求将自有机械设备和人员撤出施工场地。有过错的一方应当赔偿因合同解除给对方造成的损失。 </w:t>
      </w:r>
    </w:p>
    <w:p>
      <w:pPr>
        <w:snapToGrid w:val="0"/>
        <w:spacing w:line="360" w:lineRule="auto"/>
        <w:jc w:val="left"/>
        <w:rPr>
          <w:rFonts w:hint="eastAsia" w:ascii="宋体" w:hAnsi="宋体"/>
          <w:b/>
          <w:color w:val="auto"/>
          <w:szCs w:val="21"/>
          <w:highlight w:val="none"/>
        </w:rPr>
      </w:pPr>
      <w:r>
        <w:rPr>
          <w:rFonts w:hint="eastAsia" w:ascii="宋体" w:hAnsi="宋体"/>
          <w:b/>
          <w:color w:val="auto"/>
          <w:szCs w:val="21"/>
          <w:highlight w:val="none"/>
        </w:rPr>
        <w:t>第十四条  违约责任</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 xml:space="preserve">1.如乙方未按合同规定日期完成安装、调试及本项目工程内的其他全部合同义务，按合同总额每日万分之三向甲方支付违约金，因不可抗力除外。如经甲方催告并给予宽限期后10日内仍不能履行相关义务的，加倍承担违约责任。 </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 xml:space="preserve">2.如乙方在完成安装、调试后，初验不合格的，或经安装、调试仍达不到产品说明书所列功能及合同要求的，乙方需要按照甲方要求调整整改达标，并对甲方的损失承担赔偿责任。 </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 xml:space="preserve">3.任何一方违反合同约定擅自解除合同的，违约方应按合同总额的 30%， 向守约方支付违约金。 </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 xml:space="preserve">4.违约金不足以弥补损失的，违约方还应当赔偿损失。 </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5.合同签订后，如因乙方违反承诺及本合同要求而给甲方造成损失的， 乙方应承担全部赔偿责任。</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 xml:space="preserve">6.乙方已知本合同约定的违约金具有惩罚性质，不得以甲方没有损失或者损失较小为由抗辩调减违约金。 </w:t>
      </w:r>
    </w:p>
    <w:p>
      <w:pPr>
        <w:snapToGrid w:val="0"/>
        <w:spacing w:line="360" w:lineRule="auto"/>
        <w:ind w:firstLine="420" w:firstLineChars="200"/>
        <w:rPr>
          <w:rFonts w:hint="eastAsia" w:ascii="宋体" w:hAnsi="宋体" w:cs="宋体"/>
          <w:b/>
          <w:bCs/>
          <w:color w:val="auto"/>
          <w:szCs w:val="21"/>
          <w:highlight w:val="none"/>
        </w:rPr>
      </w:pPr>
      <w:r>
        <w:rPr>
          <w:rFonts w:hint="eastAsia" w:ascii="宋体" w:hAnsi="宋体" w:cs="宋体"/>
          <w:color w:val="auto"/>
          <w:szCs w:val="21"/>
          <w:highlight w:val="none"/>
        </w:rPr>
        <w:t xml:space="preserve"> 7.因乙方违约或乙方的原告产生的诉讼/仲裁的，甲方产生的损失（包括但不限于诉讼费、仲裁费、保全费、律师费等）由乙方承担，该损失甲方可以直接从支付被告的款项中予以直接扣除。</w:t>
      </w:r>
    </w:p>
    <w:p>
      <w:pPr>
        <w:snapToGrid w:val="0"/>
        <w:spacing w:line="360" w:lineRule="auto"/>
        <w:jc w:val="left"/>
        <w:rPr>
          <w:rFonts w:hint="eastAsia" w:ascii="宋体" w:hAnsi="宋体"/>
          <w:b/>
          <w:color w:val="auto"/>
          <w:szCs w:val="21"/>
          <w:highlight w:val="none"/>
        </w:rPr>
      </w:pPr>
      <w:r>
        <w:rPr>
          <w:rFonts w:hint="eastAsia" w:ascii="宋体" w:hAnsi="宋体"/>
          <w:b/>
          <w:color w:val="auto"/>
          <w:szCs w:val="21"/>
          <w:highlight w:val="none"/>
        </w:rPr>
        <w:t>第十五条  保密及知识产权</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 xml:space="preserve">1.甲乙双方未事先征得对方同意，不得把合同的权利和义务委托别人或转让他方。同时甲乙双方应履行保密义务，未经对方书面许可，不向合同之外的人或单位展示、披露或以其它方式泄露任何技术文件或与合同有关的数据，包括合同本身，保密义务不因合同有限期的终止而结束。 </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因履行本协议甲方向乙方提供的所有信息，无论是书面的、口头的、图形的或其它任何形式的信息，包括（但不限于）数据、模型、样品、草案、技术、方法、仪器设备和其它信息，只要不为社会公众所周知，乙方均应予以保密，且只能在本合同目的范围内使用。</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3.项目中所涉及的技术专利申请权的归属问题由甲乙双方协商确定。</w:t>
      </w:r>
    </w:p>
    <w:p>
      <w:pPr>
        <w:snapToGrid w:val="0"/>
        <w:spacing w:line="360" w:lineRule="auto"/>
        <w:jc w:val="left"/>
        <w:rPr>
          <w:rFonts w:hint="eastAsia" w:ascii="宋体" w:hAnsi="宋体"/>
          <w:b/>
          <w:color w:val="auto"/>
          <w:szCs w:val="21"/>
          <w:highlight w:val="none"/>
        </w:rPr>
      </w:pPr>
      <w:r>
        <w:rPr>
          <w:rFonts w:hint="eastAsia" w:ascii="宋体" w:hAnsi="宋体"/>
          <w:b/>
          <w:color w:val="auto"/>
          <w:szCs w:val="21"/>
          <w:highlight w:val="none"/>
        </w:rPr>
        <w:t>第十六条  不可抗力</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 xml:space="preserve">1.合同执行期间发生的不可抗力，是指战争、暴风雨、台风、洪水、意外火灾、地震等依照我国法律规定的不可预见、不可避免、不可抗拒的情况。 </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 xml:space="preserve">2.因不可抗力影响合同履行，不能履行合同的一方，应在该情况发生后10日内及时通知另一方，并取得国家有关主管部门的书面证明。 </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3.甲乙双方在发生不可抗力情况时，应及时采取措施，尽量避免由此造成的经济损失。</w:t>
      </w:r>
    </w:p>
    <w:p>
      <w:pPr>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bCs/>
          <w:color w:val="auto"/>
          <w:szCs w:val="21"/>
          <w:highlight w:val="none"/>
        </w:rPr>
        <w:t>4.由于不可抗力严重影响合同的，有关合同是否继续履行之事宜，由甲、乙双方及时友好协商解决。</w:t>
      </w:r>
    </w:p>
    <w:p>
      <w:pPr>
        <w:snapToGrid w:val="0"/>
        <w:spacing w:line="360" w:lineRule="auto"/>
        <w:jc w:val="left"/>
        <w:rPr>
          <w:rFonts w:hint="eastAsia" w:ascii="宋体" w:hAnsi="宋体"/>
          <w:b/>
          <w:color w:val="auto"/>
          <w:szCs w:val="21"/>
          <w:highlight w:val="none"/>
        </w:rPr>
      </w:pPr>
      <w:r>
        <w:rPr>
          <w:rFonts w:hint="eastAsia" w:ascii="宋体" w:hAnsi="宋体"/>
          <w:b/>
          <w:color w:val="auto"/>
          <w:szCs w:val="21"/>
          <w:highlight w:val="none"/>
        </w:rPr>
        <w:t>第十七条  合同生效、争议处理及纠纷解决</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 xml:space="preserve">1.本合同经甲乙双方签字并加盖公章（或合同章）后生效。 </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2.合同生效后，甲乙双方均须严格履行合同。合同履行过程中，如产生纠纷，双方友好协商解决，协商不成的，任何一方可以向项目所在地人民法院提起诉讼。</w:t>
      </w:r>
    </w:p>
    <w:p>
      <w:pPr>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3.合同在执行过程中出现的未尽事宜，双方在不违背本合同的原则下协商解决，协商结果以书面形式盖章记录在案，作为本合同的附件，与本合同具有同等效力。</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bCs/>
          <w:color w:val="auto"/>
          <w:szCs w:val="21"/>
          <w:highlight w:val="none"/>
        </w:rPr>
        <w:t>4.中标通知书、投标文件、招标文件及本合同之所有附件均为本合同</w:t>
      </w:r>
      <w:r>
        <w:rPr>
          <w:rFonts w:hint="eastAsia" w:ascii="宋体" w:hAnsi="宋体" w:cs="宋体"/>
          <w:color w:val="auto"/>
          <w:szCs w:val="21"/>
          <w:highlight w:val="none"/>
        </w:rPr>
        <w:t xml:space="preserve">的有效组成部分， 解释顺序按（1）合同；（2）中标通知书；（3）招标文件及附件；（4）投标文件及附件。属于同一类内容的文件解释的顺序以文件生成时间在后的为准。 </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5.本合同一式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份，甲方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份、乙方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份。 </w:t>
      </w:r>
    </w:p>
    <w:p>
      <w:pPr>
        <w:pStyle w:val="17"/>
        <w:spacing w:line="360" w:lineRule="auto"/>
        <w:rPr>
          <w:rFonts w:hint="eastAsia" w:ascii="宋体" w:hAnsi="宋体" w:cs="宋体"/>
          <w:color w:val="auto"/>
          <w:sz w:val="21"/>
          <w:szCs w:val="21"/>
          <w:highlight w:val="none"/>
        </w:rPr>
      </w:pPr>
    </w:p>
    <w:p>
      <w:pPr>
        <w:pStyle w:val="17"/>
        <w:spacing w:line="360" w:lineRule="auto"/>
        <w:rPr>
          <w:rFonts w:hint="eastAsia" w:ascii="宋体" w:hAnsi="宋体" w:cs="宋体"/>
          <w:color w:val="auto"/>
          <w:sz w:val="21"/>
          <w:szCs w:val="21"/>
          <w:highlight w:val="none"/>
        </w:rPr>
      </w:pPr>
    </w:p>
    <w:p>
      <w:pPr>
        <w:pStyle w:val="17"/>
        <w:spacing w:line="360" w:lineRule="auto"/>
        <w:rPr>
          <w:rFonts w:hint="eastAsia" w:ascii="宋体" w:hAnsi="宋体" w:cs="宋体"/>
          <w:color w:val="auto"/>
          <w:sz w:val="21"/>
          <w:szCs w:val="21"/>
          <w:highlight w:val="none"/>
        </w:rPr>
      </w:pPr>
    </w:p>
    <w:p>
      <w:pPr>
        <w:snapToGrid w:val="0"/>
        <w:spacing w:line="60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甲方（公章）：                             乙方（公章）：</w:t>
      </w:r>
    </w:p>
    <w:p>
      <w:pPr>
        <w:snapToGrid w:val="0"/>
        <w:spacing w:line="60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法人签章：                                法人签章：</w:t>
      </w:r>
    </w:p>
    <w:p>
      <w:pPr>
        <w:snapToGrid w:val="0"/>
        <w:spacing w:line="60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委托代理人：                              委托代理人：</w:t>
      </w:r>
    </w:p>
    <w:p>
      <w:pPr>
        <w:snapToGrid w:val="0"/>
        <w:spacing w:line="60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签订日期：</w:t>
      </w:r>
    </w:p>
    <w:p>
      <w:pPr>
        <w:snapToGrid w:val="0"/>
        <w:spacing w:line="360" w:lineRule="auto"/>
        <w:rPr>
          <w:rFonts w:hint="eastAsia" w:hAnsi="宋体" w:cs="宋体"/>
          <w:color w:val="auto"/>
          <w:highlight w:val="none"/>
        </w:rPr>
      </w:pPr>
      <w:r>
        <w:rPr>
          <w:rFonts w:hint="eastAsia" w:ascii="宋体" w:hAnsi="宋体"/>
          <w:b/>
          <w:bCs/>
          <w:color w:val="auto"/>
          <w:sz w:val="28"/>
          <w:szCs w:val="28"/>
          <w:highlight w:val="none"/>
        </w:rPr>
        <w:br w:type="page"/>
      </w:r>
    </w:p>
    <w:p>
      <w:pPr>
        <w:spacing w:line="400" w:lineRule="exact"/>
        <w:rPr>
          <w:rFonts w:hint="eastAsia" w:hAnsi="宋体" w:cs="宋体"/>
          <w:color w:val="auto"/>
          <w:highlight w:val="none"/>
        </w:rPr>
      </w:pPr>
      <w:r>
        <w:rPr>
          <w:rFonts w:hint="eastAsia" w:hAnsi="宋体" w:cs="宋体"/>
          <w:color w:val="auto"/>
          <w:highlight w:val="none"/>
        </w:rPr>
        <w:t>附件1：</w:t>
      </w:r>
    </w:p>
    <w:p>
      <w:pPr>
        <w:spacing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rPr>
        <w:t>工程建设廉政承诺书</w:t>
      </w:r>
    </w:p>
    <w:p>
      <w:pPr>
        <w:spacing w:line="360" w:lineRule="auto"/>
        <w:rPr>
          <w:rFonts w:hint="eastAsia" w:ascii="宋体" w:hAnsi="宋体"/>
          <w:color w:val="auto"/>
          <w:sz w:val="18"/>
          <w:szCs w:val="18"/>
          <w:highlight w:val="none"/>
        </w:rPr>
      </w:pPr>
    </w:p>
    <w:p>
      <w:pPr>
        <w:spacing w:line="360" w:lineRule="auto"/>
        <w:rPr>
          <w:rFonts w:hint="eastAsia" w:ascii="宋体" w:hAnsi="宋体"/>
          <w:b/>
          <w:color w:val="auto"/>
          <w:szCs w:val="21"/>
          <w:highlight w:val="none"/>
        </w:rPr>
      </w:pPr>
      <w:r>
        <w:rPr>
          <w:rFonts w:hint="eastAsia" w:ascii="宋体" w:hAnsi="宋体"/>
          <w:b/>
          <w:color w:val="auto"/>
          <w:szCs w:val="21"/>
          <w:highlight w:val="none"/>
        </w:rPr>
        <w:t>（发包人名称）：</w:t>
      </w:r>
    </w:p>
    <w:p>
      <w:pPr>
        <w:spacing w:line="360" w:lineRule="auto"/>
        <w:ind w:firstLine="420" w:firstLineChars="200"/>
        <w:rPr>
          <w:rFonts w:hint="eastAsia" w:ascii="宋体" w:hAnsi="宋体"/>
          <w:b/>
          <w:color w:val="auto"/>
          <w:szCs w:val="21"/>
          <w:highlight w:val="none"/>
        </w:rPr>
      </w:pPr>
      <w:r>
        <w:rPr>
          <w:rFonts w:hint="eastAsia" w:ascii="宋体" w:hAnsi="宋体"/>
          <w:color w:val="auto"/>
          <w:szCs w:val="21"/>
          <w:highlight w:val="none"/>
        </w:rPr>
        <w:t>本公司于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日中标承建，中标价</w:t>
      </w:r>
      <w:r>
        <w:rPr>
          <w:rFonts w:hint="eastAsia" w:ascii="宋体" w:hAnsi="宋体"/>
          <w:color w:val="auto"/>
          <w:szCs w:val="21"/>
          <w:highlight w:val="none"/>
          <w:u w:val="single"/>
        </w:rPr>
        <w:t xml:space="preserve">       </w:t>
      </w:r>
      <w:r>
        <w:rPr>
          <w:rFonts w:hint="eastAsia" w:ascii="宋体" w:hAnsi="宋体"/>
          <w:color w:val="auto"/>
          <w:szCs w:val="21"/>
          <w:highlight w:val="none"/>
        </w:rPr>
        <w:t>元，为确保</w:t>
      </w:r>
      <w:r>
        <w:rPr>
          <w:rFonts w:hint="eastAsia" w:ascii="宋体" w:hAnsi="宋体" w:cs="宋体"/>
          <w:color w:val="auto"/>
          <w:kern w:val="0"/>
          <w:szCs w:val="21"/>
          <w:highlight w:val="none"/>
        </w:rPr>
        <w:t>在工程建设中保持廉洁自律的工作作风，防止各种不正当行为的发生，根据国家有关建设工程廉政建设的规定</w:t>
      </w:r>
      <w:r>
        <w:rPr>
          <w:rFonts w:hint="eastAsia" w:ascii="宋体" w:hAnsi="宋体"/>
          <w:color w:val="auto"/>
          <w:szCs w:val="21"/>
          <w:highlight w:val="none"/>
        </w:rPr>
        <w:t>，现自愿向你委承诺如下：</w:t>
      </w:r>
    </w:p>
    <w:p>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1、在施工现场醒目位置设置《廉政公示牌》。</w:t>
      </w:r>
    </w:p>
    <w:p>
      <w:pPr>
        <w:widowControl/>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2、不以任何名义向建设方和监理公司工作人员赠送礼金、购物卡、兑换券、有价证券、贵重物品等。</w:t>
      </w:r>
    </w:p>
    <w:p>
      <w:pPr>
        <w:widowControl/>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3、不以任何名义邀请建设方和监理公司工作人员到高档娱乐场所消费或外出旅游，不介绍或诱惑相关人员参与“黄、赌、毒”活动。</w:t>
      </w:r>
    </w:p>
    <w:p>
      <w:pPr>
        <w:widowControl/>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4、发现建设方和监理方人员有索贿、吃拿卡要、报销个人费用等行为，以及擅自介绍或指定材料供应商的，应及时向纪委监委汇报。</w:t>
      </w:r>
    </w:p>
    <w:p>
      <w:pPr>
        <w:widowControl/>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5、未经甲方许可备案登记，不得变更项目经理，不得分包、转包工程。</w:t>
      </w:r>
    </w:p>
    <w:p>
      <w:pPr>
        <w:widowControl/>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以上承诺，本公司将自觉、自愿遵守，自觉接受群众和纪委监委的监督，如违反上述任何一条，我公司同意三年内不再承建</w:t>
      </w:r>
      <w:r>
        <w:rPr>
          <w:rFonts w:hint="eastAsia" w:ascii="宋体" w:hAnsi="宋体" w:cs="宋体"/>
          <w:color w:val="auto"/>
          <w:kern w:val="0"/>
          <w:szCs w:val="21"/>
          <w:highlight w:val="none"/>
          <w:lang w:eastAsia="zh-CN"/>
        </w:rPr>
        <w:t>鑫兴绿色（南通）产业发展有限公司</w:t>
      </w:r>
      <w:r>
        <w:rPr>
          <w:rFonts w:hint="eastAsia" w:ascii="宋体" w:hAnsi="宋体" w:cs="宋体"/>
          <w:color w:val="auto"/>
          <w:kern w:val="0"/>
          <w:szCs w:val="21"/>
          <w:highlight w:val="none"/>
        </w:rPr>
        <w:t>工程项目，项目经理进入你司“黑名单”。</w:t>
      </w:r>
    </w:p>
    <w:p>
      <w:pPr>
        <w:widowControl/>
        <w:spacing w:line="360" w:lineRule="auto"/>
        <w:ind w:firstLine="420" w:firstLineChars="200"/>
        <w:rPr>
          <w:rFonts w:hint="eastAsia" w:ascii="宋体" w:hAnsi="宋体" w:cs="宋体"/>
          <w:color w:val="auto"/>
          <w:kern w:val="0"/>
          <w:szCs w:val="21"/>
          <w:highlight w:val="none"/>
        </w:rPr>
      </w:pPr>
    </w:p>
    <w:p>
      <w:pPr>
        <w:pStyle w:val="20"/>
        <w:rPr>
          <w:rFonts w:hint="eastAsia" w:cs="宋体"/>
          <w:color w:val="auto"/>
          <w:kern w:val="0"/>
          <w:szCs w:val="21"/>
          <w:highlight w:val="none"/>
        </w:rPr>
      </w:pPr>
    </w:p>
    <w:p>
      <w:pPr>
        <w:rPr>
          <w:rFonts w:hint="eastAsia" w:ascii="宋体" w:hAnsi="宋体" w:cs="宋体"/>
          <w:color w:val="auto"/>
          <w:kern w:val="0"/>
          <w:szCs w:val="21"/>
          <w:highlight w:val="none"/>
        </w:rPr>
      </w:pPr>
    </w:p>
    <w:p>
      <w:pPr>
        <w:pStyle w:val="20"/>
        <w:rPr>
          <w:rFonts w:hint="eastAsia"/>
          <w:color w:val="auto"/>
          <w:highlight w:val="none"/>
        </w:rPr>
      </w:pPr>
    </w:p>
    <w:p>
      <w:pPr>
        <w:widowControl/>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　　　　　　　　        单位盖章：</w:t>
      </w:r>
    </w:p>
    <w:p>
      <w:pPr>
        <w:widowControl/>
        <w:spacing w:line="360" w:lineRule="auto"/>
        <w:ind w:firstLine="2940" w:firstLineChars="1400"/>
        <w:rPr>
          <w:rFonts w:hint="eastAsia" w:ascii="宋体" w:hAnsi="宋体" w:cs="宋体"/>
          <w:color w:val="auto"/>
          <w:kern w:val="0"/>
          <w:szCs w:val="21"/>
          <w:highlight w:val="none"/>
        </w:rPr>
      </w:pPr>
      <w:r>
        <w:rPr>
          <w:rFonts w:hint="eastAsia" w:ascii="宋体" w:hAnsi="宋体" w:cs="宋体"/>
          <w:color w:val="auto"/>
          <w:kern w:val="0"/>
          <w:szCs w:val="21"/>
          <w:highlight w:val="none"/>
        </w:rPr>
        <w:t>承 诺 人（签字）：</w:t>
      </w:r>
    </w:p>
    <w:p>
      <w:pPr>
        <w:spacing w:line="440" w:lineRule="exact"/>
        <w:ind w:firstLine="5670" w:firstLineChars="2700"/>
        <w:rPr>
          <w:rFonts w:hint="eastAsia" w:hAnsi="宋体" w:cs="宋体"/>
          <w:color w:val="auto"/>
          <w:szCs w:val="21"/>
          <w:highlight w:val="none"/>
        </w:rPr>
      </w:pPr>
      <w:r>
        <w:rPr>
          <w:rFonts w:hint="eastAsia" w:ascii="宋体" w:hAnsi="宋体" w:cs="宋体"/>
          <w:color w:val="auto"/>
          <w:kern w:val="0"/>
          <w:szCs w:val="21"/>
          <w:highlight w:val="none"/>
        </w:rPr>
        <w:t>日    期：</w:t>
      </w:r>
    </w:p>
    <w:p>
      <w:pPr>
        <w:rPr>
          <w:rFonts w:hint="eastAsia" w:hAnsi="宋体" w:cs="宋体"/>
          <w:color w:val="auto"/>
          <w:szCs w:val="21"/>
          <w:highlight w:val="none"/>
        </w:rPr>
      </w:pPr>
      <w:r>
        <w:rPr>
          <w:rFonts w:hint="eastAsia" w:hAnsi="宋体" w:cs="宋体"/>
          <w:color w:val="auto"/>
          <w:szCs w:val="21"/>
          <w:highlight w:val="none"/>
        </w:rPr>
        <w:br w:type="page"/>
      </w:r>
    </w:p>
    <w:p>
      <w:pPr>
        <w:spacing w:line="440" w:lineRule="exact"/>
        <w:rPr>
          <w:rFonts w:hint="eastAsia" w:hAnsi="宋体" w:cs="宋体"/>
          <w:b/>
          <w:bCs/>
          <w:color w:val="auto"/>
          <w:szCs w:val="21"/>
          <w:highlight w:val="none"/>
        </w:rPr>
      </w:pPr>
      <w:r>
        <w:rPr>
          <w:rFonts w:hint="eastAsia" w:hAnsi="宋体" w:cs="宋体"/>
          <w:color w:val="auto"/>
          <w:szCs w:val="21"/>
          <w:highlight w:val="none"/>
        </w:rPr>
        <w:t xml:space="preserve">附件2：    </w:t>
      </w:r>
    </w:p>
    <w:p>
      <w:pPr>
        <w:spacing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rPr>
        <w:t>安全生产协议书</w:t>
      </w:r>
    </w:p>
    <w:p>
      <w:pPr>
        <w:widowControl/>
        <w:spacing w:line="360" w:lineRule="auto"/>
        <w:rPr>
          <w:rFonts w:hint="eastAsia" w:hAnsi="宋体"/>
          <w:color w:val="auto"/>
          <w:szCs w:val="21"/>
          <w:highlight w:val="none"/>
        </w:rPr>
      </w:pPr>
      <w:r>
        <w:rPr>
          <w:rFonts w:hint="eastAsia" w:hAnsi="宋体"/>
          <w:color w:val="auto"/>
          <w:szCs w:val="21"/>
          <w:highlight w:val="none"/>
        </w:rPr>
        <w:t>发包人：</w:t>
      </w:r>
      <w:r>
        <w:rPr>
          <w:rFonts w:hint="eastAsia" w:hAnsi="宋体"/>
          <w:color w:val="auto"/>
          <w:szCs w:val="21"/>
          <w:highlight w:val="none"/>
          <w:u w:val="single"/>
        </w:rPr>
        <w:t xml:space="preserve">              </w:t>
      </w:r>
      <w:r>
        <w:rPr>
          <w:rFonts w:hint="eastAsia" w:hAnsi="宋体"/>
          <w:color w:val="auto"/>
          <w:szCs w:val="21"/>
          <w:highlight w:val="none"/>
        </w:rPr>
        <w:t>（ 以下简称“甲方” ）</w:t>
      </w:r>
    </w:p>
    <w:p>
      <w:pPr>
        <w:widowControl/>
        <w:spacing w:line="360" w:lineRule="auto"/>
        <w:rPr>
          <w:rFonts w:hint="eastAsia" w:hAnsi="宋体"/>
          <w:color w:val="auto"/>
          <w:szCs w:val="21"/>
          <w:highlight w:val="none"/>
          <w:u w:val="single"/>
        </w:rPr>
      </w:pPr>
      <w:r>
        <w:rPr>
          <w:rFonts w:hint="eastAsia" w:hAnsi="宋体"/>
          <w:color w:val="auto"/>
          <w:szCs w:val="21"/>
          <w:highlight w:val="none"/>
        </w:rPr>
        <w:t>承包人：</w:t>
      </w:r>
      <w:r>
        <w:rPr>
          <w:rFonts w:hint="eastAsia" w:hAnsi="宋体"/>
          <w:color w:val="auto"/>
          <w:szCs w:val="21"/>
          <w:highlight w:val="none"/>
          <w:u w:val="single"/>
        </w:rPr>
        <w:t xml:space="preserve">              </w:t>
      </w:r>
      <w:r>
        <w:rPr>
          <w:rFonts w:hint="eastAsia" w:hAnsi="宋体"/>
          <w:color w:val="auto"/>
          <w:szCs w:val="21"/>
          <w:highlight w:val="none"/>
        </w:rPr>
        <w:t>（ 以下简称“乙方” ）</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为在施工合同的实施过程中创造安全、高效的施工环境，切实搞好本项目的安全管理工作，特此签订安全生产合同。具体如下：</w:t>
      </w:r>
    </w:p>
    <w:p>
      <w:pPr>
        <w:snapToGrid w:val="0"/>
        <w:spacing w:line="360" w:lineRule="auto"/>
        <w:ind w:firstLine="422"/>
        <w:rPr>
          <w:rFonts w:hint="eastAsia" w:hAnsi="宋体"/>
          <w:b/>
          <w:color w:val="auto"/>
          <w:szCs w:val="21"/>
          <w:highlight w:val="none"/>
        </w:rPr>
      </w:pPr>
      <w:r>
        <w:rPr>
          <w:rFonts w:hint="eastAsia" w:hAnsi="宋体"/>
          <w:b/>
          <w:color w:val="auto"/>
          <w:szCs w:val="21"/>
          <w:highlight w:val="none"/>
        </w:rPr>
        <w:t>一、</w:t>
      </w:r>
      <w:r>
        <w:rPr>
          <w:rFonts w:hint="eastAsia" w:hAnsi="宋体"/>
          <w:color w:val="auto"/>
          <w:szCs w:val="21"/>
          <w:highlight w:val="none"/>
        </w:rPr>
        <w:t>甲方职责</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1．严格遵守国家有关安全生产的法律法规，认真执行工程承包合同中的有关安全要求。</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2．按照“安全第一、预防为主”和坚持“管生产必需管安全”的原则进行安全生产管理，做到生产与安全工作同时计划、布置、检查、总结和评比。</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3．定期召开安全生产协调会，及时传达中央及地方有关安全生产的精神。</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4．组织对乙方施工现场安全生产检查，建立安全生产责任制网络、汇总重要危险源、监督乙方及时处理发现的各种安全隐患。</w:t>
      </w:r>
    </w:p>
    <w:p>
      <w:pPr>
        <w:snapToGrid w:val="0"/>
        <w:spacing w:line="360" w:lineRule="auto"/>
        <w:ind w:firstLine="422"/>
        <w:rPr>
          <w:rFonts w:hint="eastAsia" w:hAnsi="宋体"/>
          <w:b/>
          <w:color w:val="auto"/>
          <w:szCs w:val="21"/>
          <w:highlight w:val="none"/>
        </w:rPr>
      </w:pPr>
      <w:r>
        <w:rPr>
          <w:rFonts w:hint="eastAsia" w:hAnsi="宋体"/>
          <w:b/>
          <w:color w:val="auto"/>
          <w:szCs w:val="21"/>
          <w:highlight w:val="none"/>
        </w:rPr>
        <w:t>二、</w:t>
      </w:r>
      <w:r>
        <w:rPr>
          <w:rFonts w:hint="eastAsia" w:hAnsi="宋体"/>
          <w:color w:val="auto"/>
          <w:szCs w:val="21"/>
          <w:highlight w:val="none"/>
        </w:rPr>
        <w:t>乙方职责</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1．严格遵守国家有关安全生产的法律法规、有关安全生产的规定，认真执行工程承包合同中的有关安全要求，接受甲方和监理工程师对安全生产工作的指导。</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4．乙方在任何时侯都应采取各种合理的预防措施，防止其人员发生任何违法、违禁、暴力、违规或妨碍治安的行为。</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6．加强施工中交通运输安全管理，各种运输机械等需划定运输路线行驶。</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7．对于易燃易爆的材料除应专门有效封闭、妥善保管之外，还应配备有足够的消防设施，所有施工人员都应熟悉消防设备的性能和使用方法。</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8．操作人员上岗，必须按规定穿戴防护用品。施工负责人和安全检查员应随时检查劳动防护用品的穿戴情况，不按规定穿戴防护用品的人员不得上岗。</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9．所有施工机具、设备和劳动保护用品应具备有效的安检合格证明，并经安全员签字同意后方可使用，施工期间应定期检查，保证其处于完好状态；不合格的机具、设备和劳动保护用品严禁使用。</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10．施工现场必须具有相关的安全标志牌。</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11．建立主要危险源备案制度，要明确潜在隐患、防范措施和落实责任人。</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napToGrid w:val="0"/>
        <w:spacing w:line="360" w:lineRule="auto"/>
        <w:ind w:firstLine="422"/>
        <w:rPr>
          <w:rFonts w:hint="eastAsia" w:hAnsi="宋体"/>
          <w:b/>
          <w:color w:val="auto"/>
          <w:szCs w:val="21"/>
          <w:highlight w:val="none"/>
        </w:rPr>
      </w:pPr>
      <w:r>
        <w:rPr>
          <w:rFonts w:hint="eastAsia" w:hAnsi="宋体"/>
          <w:b/>
          <w:color w:val="auto"/>
          <w:szCs w:val="21"/>
          <w:highlight w:val="none"/>
        </w:rPr>
        <w:t>三、</w:t>
      </w:r>
      <w:r>
        <w:rPr>
          <w:rFonts w:hint="eastAsia" w:hAnsi="宋体"/>
          <w:color w:val="auto"/>
          <w:szCs w:val="21"/>
          <w:highlight w:val="none"/>
        </w:rPr>
        <w:t>违约责任</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如因甲方或乙方违约造成安全事故，将报请有关部门依法追究责任。</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如发生下列情况之一者，视为乙方严重违约，甲方可以采取相应的措施，并要求乙方承担由此给甲方造成的一切经济损失。</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(1)工期严重滞后，甲方有权单方面终止合同。</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(2)工程质量达不到合同的约定。</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(3)乙方不服从甲方工地代表的调度指挥或不执行甲方的管理规定。</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(4)乙方出现偷工减料行为，经甲方或监理方多次警告后仍未改正，甲方有权单方面解除合同，材料设备必须无条件退场，一切责任由乙方承担。</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(5)乙方将其承包的全部或部分工程分包、转包给他人，则甲方有权单方面终止合同。</w:t>
      </w:r>
    </w:p>
    <w:p>
      <w:pPr>
        <w:snapToGrid w:val="0"/>
        <w:spacing w:line="360" w:lineRule="auto"/>
        <w:ind w:firstLine="420"/>
        <w:rPr>
          <w:rFonts w:hint="eastAsia" w:hAnsi="宋体"/>
          <w:color w:val="auto"/>
          <w:szCs w:val="21"/>
          <w:highlight w:val="none"/>
        </w:rPr>
      </w:pPr>
      <w:r>
        <w:rPr>
          <w:rFonts w:hint="eastAsia" w:hAnsi="宋体"/>
          <w:color w:val="auto"/>
          <w:szCs w:val="21"/>
          <w:highlight w:val="none"/>
        </w:rPr>
        <w:t>本合同一式二份，由双方法定代表人或其授权的代理人签署和加盖公章后生效，全部工程竣工验收后失效。</w:t>
      </w:r>
    </w:p>
    <w:p>
      <w:pPr>
        <w:spacing w:line="360" w:lineRule="auto"/>
        <w:ind w:right="-233" w:rightChars="-111" w:firstLine="420" w:firstLineChars="200"/>
        <w:jc w:val="left"/>
        <w:rPr>
          <w:rFonts w:hint="eastAsia" w:ascii="宋体" w:hAnsi="宋体" w:cs="宋体"/>
          <w:color w:val="auto"/>
          <w:highlight w:val="none"/>
        </w:rPr>
      </w:pPr>
      <w:r>
        <w:rPr>
          <w:rFonts w:hint="eastAsia" w:ascii="宋体" w:hAnsi="宋体" w:cs="宋体"/>
          <w:color w:val="auto"/>
          <w:highlight w:val="none"/>
        </w:rPr>
        <w:t>发包人：(公章)                        承包人： (公章)</w:t>
      </w:r>
    </w:p>
    <w:p>
      <w:pPr>
        <w:spacing w:line="360" w:lineRule="auto"/>
        <w:ind w:right="-233" w:rightChars="-111" w:firstLine="420" w:firstLineChars="200"/>
        <w:jc w:val="left"/>
        <w:rPr>
          <w:rFonts w:hint="eastAsia" w:ascii="宋体" w:hAnsi="宋体" w:cs="宋体"/>
          <w:color w:val="auto"/>
          <w:highlight w:val="none"/>
        </w:rPr>
      </w:pPr>
    </w:p>
    <w:p>
      <w:pPr>
        <w:spacing w:line="360" w:lineRule="auto"/>
        <w:ind w:right="-233" w:rightChars="-111" w:firstLine="420" w:firstLineChars="200"/>
        <w:jc w:val="left"/>
        <w:rPr>
          <w:rFonts w:hint="eastAsia" w:ascii="宋体" w:hAnsi="宋体" w:cs="宋体"/>
          <w:color w:val="auto"/>
          <w:highlight w:val="none"/>
        </w:rPr>
      </w:pPr>
      <w:r>
        <w:rPr>
          <w:rFonts w:hint="eastAsia" w:ascii="宋体" w:hAnsi="宋体" w:cs="宋体"/>
          <w:color w:val="auto"/>
          <w:highlight w:val="none"/>
        </w:rPr>
        <w:t>法定代表人：(签字)                    法定代表人：(签字)</w:t>
      </w:r>
    </w:p>
    <w:p>
      <w:pPr>
        <w:spacing w:line="360" w:lineRule="auto"/>
        <w:ind w:right="-233" w:rightChars="-111" w:firstLine="420" w:firstLineChars="200"/>
        <w:jc w:val="left"/>
        <w:rPr>
          <w:rFonts w:hint="eastAsia" w:ascii="宋体" w:hAnsi="宋体" w:cs="宋体"/>
          <w:color w:val="auto"/>
          <w:highlight w:val="none"/>
        </w:rPr>
      </w:pPr>
      <w:r>
        <w:rPr>
          <w:rFonts w:hint="eastAsia" w:ascii="宋体" w:hAnsi="宋体" w:cs="宋体"/>
          <w:color w:val="auto"/>
          <w:highlight w:val="none"/>
        </w:rPr>
        <w:t>委托代理人：(签字)                    委托代理人：(签字)</w:t>
      </w:r>
    </w:p>
    <w:p>
      <w:pPr>
        <w:spacing w:line="360" w:lineRule="auto"/>
        <w:ind w:firstLine="420" w:firstLineChars="200"/>
        <w:rPr>
          <w:rFonts w:hint="eastAsia" w:ascii="新宋体" w:hAnsi="新宋体" w:eastAsia="新宋体" w:cs="新宋体"/>
          <w:color w:val="auto"/>
          <w:sz w:val="30"/>
          <w:szCs w:val="30"/>
          <w:highlight w:val="none"/>
        </w:rPr>
      </w:pPr>
      <w:r>
        <w:rPr>
          <w:rFonts w:hint="eastAsia" w:ascii="宋体" w:hAnsi="宋体" w:cs="宋体"/>
          <w:color w:val="auto"/>
          <w:highlight w:val="none"/>
        </w:rPr>
        <w:t>地址：                                地址：</w:t>
      </w:r>
    </w:p>
    <w:p>
      <w:pPr>
        <w:spacing w:line="360" w:lineRule="auto"/>
        <w:ind w:right="-233" w:rightChars="-111" w:firstLine="420" w:firstLineChars="200"/>
        <w:jc w:val="left"/>
        <w:rPr>
          <w:rFonts w:hint="eastAsia" w:ascii="宋体" w:hAnsi="宋体" w:cs="宋体"/>
          <w:color w:val="auto"/>
          <w:highlight w:val="none"/>
        </w:rPr>
      </w:pPr>
    </w:p>
    <w:p>
      <w:pPr>
        <w:snapToGrid w:val="0"/>
        <w:spacing w:line="360" w:lineRule="auto"/>
        <w:ind w:firstLine="4252" w:firstLineChars="2025"/>
        <w:rPr>
          <w:color w:val="auto"/>
          <w:szCs w:val="21"/>
          <w:highlight w:val="none"/>
        </w:rPr>
      </w:pPr>
      <w:r>
        <w:rPr>
          <w:rFonts w:hint="eastAsia" w:hAnsi="宋体"/>
          <w:color w:val="auto"/>
          <w:szCs w:val="21"/>
          <w:highlight w:val="none"/>
        </w:rPr>
        <w:t>日     期：    年   月    日</w:t>
      </w:r>
    </w:p>
    <w:p>
      <w:pPr>
        <w:spacing w:line="440" w:lineRule="exact"/>
        <w:jc w:val="center"/>
        <w:rPr>
          <w:rFonts w:hint="eastAsia" w:hAnsi="宋体" w:cs="宋体"/>
          <w:color w:val="auto"/>
          <w:szCs w:val="21"/>
          <w:highlight w:val="none"/>
        </w:rPr>
      </w:pPr>
    </w:p>
    <w:p>
      <w:pPr>
        <w:rPr>
          <w:rFonts w:hint="eastAsia" w:hAnsi="宋体"/>
          <w:b/>
          <w:color w:val="auto"/>
          <w:sz w:val="36"/>
          <w:szCs w:val="36"/>
          <w:highlight w:val="none"/>
        </w:rPr>
      </w:pPr>
      <w:r>
        <w:rPr>
          <w:rFonts w:hAnsi="宋体"/>
          <w:b/>
          <w:color w:val="auto"/>
          <w:sz w:val="36"/>
          <w:szCs w:val="36"/>
          <w:highlight w:val="none"/>
        </w:rPr>
        <w:br w:type="page"/>
      </w:r>
    </w:p>
    <w:p>
      <w:pPr>
        <w:spacing w:line="440" w:lineRule="exact"/>
        <w:rPr>
          <w:rFonts w:hint="eastAsia" w:hAnsi="宋体" w:cs="宋体"/>
          <w:color w:val="auto"/>
          <w:highlight w:val="none"/>
        </w:rPr>
      </w:pPr>
      <w:r>
        <w:rPr>
          <w:rFonts w:hint="eastAsia" w:hAnsi="宋体" w:cs="宋体"/>
          <w:color w:val="auto"/>
          <w:highlight w:val="none"/>
        </w:rPr>
        <w:t>附件3：</w:t>
      </w:r>
    </w:p>
    <w:p>
      <w:pPr>
        <w:spacing w:before="156" w:beforeLines="50" w:after="156" w:afterLines="50" w:line="440" w:lineRule="exact"/>
        <w:jc w:val="center"/>
        <w:rPr>
          <w:rFonts w:hint="eastAsia" w:ascii="宋体" w:hAnsi="宋体"/>
          <w:color w:val="auto"/>
          <w:sz w:val="24"/>
          <w:highlight w:val="none"/>
        </w:rPr>
      </w:pPr>
      <w:r>
        <w:rPr>
          <w:rFonts w:ascii="宋体" w:hAnsi="宋体"/>
          <w:color w:val="auto"/>
          <w:sz w:val="24"/>
          <w:highlight w:val="none"/>
        </w:rPr>
        <w:t>工程质量保修书</w:t>
      </w:r>
    </w:p>
    <w:p>
      <w:pPr>
        <w:autoSpaceDE w:val="0"/>
        <w:autoSpaceDN w:val="0"/>
        <w:adjustRightInd w:val="0"/>
        <w:spacing w:line="440" w:lineRule="exact"/>
        <w:ind w:firstLine="436" w:firstLineChars="208"/>
        <w:jc w:val="left"/>
        <w:rPr>
          <w:rFonts w:ascii="@时尚中黑简体"/>
          <w:color w:val="auto"/>
          <w:kern w:val="0"/>
          <w:szCs w:val="21"/>
          <w:highlight w:val="none"/>
          <w:u w:val="single"/>
        </w:rPr>
      </w:pPr>
      <w:r>
        <w:rPr>
          <w:rFonts w:hint="eastAsia" w:ascii="@时尚中黑简体"/>
          <w:color w:val="auto"/>
          <w:kern w:val="0"/>
          <w:szCs w:val="21"/>
          <w:highlight w:val="none"/>
        </w:rPr>
        <w:t>发包人（全称）：</w:t>
      </w:r>
      <w:r>
        <w:rPr>
          <w:rFonts w:hint="eastAsia" w:ascii="@时尚中黑简体"/>
          <w:color w:val="auto"/>
          <w:kern w:val="0"/>
          <w:szCs w:val="21"/>
          <w:highlight w:val="none"/>
          <w:u w:val="single"/>
        </w:rPr>
        <w:t xml:space="preserve">                           </w:t>
      </w:r>
    </w:p>
    <w:p>
      <w:pPr>
        <w:autoSpaceDE w:val="0"/>
        <w:autoSpaceDN w:val="0"/>
        <w:adjustRightInd w:val="0"/>
        <w:spacing w:line="440" w:lineRule="exact"/>
        <w:ind w:firstLine="436" w:firstLineChars="208"/>
        <w:jc w:val="left"/>
        <w:rPr>
          <w:rFonts w:ascii="@时尚中黑简体"/>
          <w:color w:val="auto"/>
          <w:kern w:val="0"/>
          <w:szCs w:val="21"/>
          <w:highlight w:val="none"/>
        </w:rPr>
      </w:pPr>
      <w:r>
        <w:rPr>
          <w:rFonts w:hint="eastAsia" w:ascii="@时尚中黑简体"/>
          <w:color w:val="auto"/>
          <w:kern w:val="0"/>
          <w:szCs w:val="21"/>
          <w:highlight w:val="none"/>
        </w:rPr>
        <w:t>承包人（全称）：</w:t>
      </w:r>
      <w:r>
        <w:rPr>
          <w:rFonts w:hint="eastAsia" w:ascii="@时尚中黑简体"/>
          <w:color w:val="auto"/>
          <w:kern w:val="0"/>
          <w:szCs w:val="21"/>
          <w:highlight w:val="none"/>
          <w:u w:val="single"/>
        </w:rPr>
        <w:t xml:space="preserve">                          </w:t>
      </w:r>
    </w:p>
    <w:p>
      <w:pPr>
        <w:spacing w:line="440" w:lineRule="exact"/>
        <w:rPr>
          <w:rFonts w:hint="eastAsia" w:ascii="宋体" w:hAnsi="宋体"/>
          <w:color w:val="auto"/>
          <w:szCs w:val="21"/>
          <w:highlight w:val="none"/>
        </w:rPr>
      </w:pPr>
      <w:r>
        <w:rPr>
          <w:rFonts w:hint="eastAsia" w:ascii="宋体" w:hAnsi="宋体"/>
          <w:color w:val="auto"/>
          <w:szCs w:val="21"/>
          <w:highlight w:val="none"/>
        </w:rPr>
        <w:t xml:space="preserve">　 </w:t>
      </w:r>
    </w:p>
    <w:p>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w:t>
      </w:r>
      <w:r>
        <w:rPr>
          <w:rFonts w:hint="eastAsia"/>
          <w:color w:val="auto"/>
          <w:kern w:val="0"/>
          <w:szCs w:val="21"/>
          <w:highlight w:val="none"/>
        </w:rPr>
        <w:t>包人</w:t>
      </w:r>
      <w:r>
        <w:rPr>
          <w:rFonts w:hint="eastAsia" w:ascii="宋体" w:hAnsi="宋体"/>
          <w:color w:val="auto"/>
          <w:szCs w:val="21"/>
          <w:highlight w:val="none"/>
        </w:rPr>
        <w:t>和承包人根据《中华人民共和国建筑法》和《建设工程质量管理条例》，经协商一致就（工程全称）签订工程质量保修书。</w:t>
      </w:r>
    </w:p>
    <w:p>
      <w:pPr>
        <w:snapToGrid w:val="0"/>
        <w:spacing w:line="360" w:lineRule="auto"/>
        <w:rPr>
          <w:rFonts w:hint="eastAsia" w:ascii="宋体" w:hAnsi="宋体"/>
          <w:color w:val="auto"/>
          <w:szCs w:val="21"/>
          <w:highlight w:val="none"/>
        </w:rPr>
      </w:pPr>
      <w:r>
        <w:rPr>
          <w:rFonts w:hint="eastAsia" w:ascii="宋体" w:hAnsi="宋体"/>
          <w:color w:val="auto"/>
          <w:szCs w:val="21"/>
          <w:highlight w:val="none"/>
        </w:rPr>
        <w:t>　　一、工程质量保修范围和内容</w:t>
      </w:r>
    </w:p>
    <w:p>
      <w:pPr>
        <w:snapToGrid w:val="0"/>
        <w:spacing w:line="360" w:lineRule="auto"/>
        <w:rPr>
          <w:rFonts w:hint="eastAsia" w:ascii="宋体" w:hAnsi="宋体"/>
          <w:color w:val="auto"/>
          <w:szCs w:val="21"/>
          <w:highlight w:val="none"/>
        </w:rPr>
      </w:pPr>
      <w:r>
        <w:rPr>
          <w:rFonts w:hint="eastAsia" w:ascii="宋体" w:hAnsi="宋体"/>
          <w:color w:val="auto"/>
          <w:szCs w:val="21"/>
          <w:highlight w:val="none"/>
        </w:rPr>
        <w:t>　　承包人在质量保修期内，按照有关法律规定和合同约定，承担工程质量保修责任。</w:t>
      </w:r>
    </w:p>
    <w:p>
      <w:pPr>
        <w:snapToGrid w:val="0"/>
        <w:spacing w:line="360" w:lineRule="auto"/>
        <w:rPr>
          <w:rFonts w:hint="eastAsia" w:ascii="宋体" w:hAnsi="宋体"/>
          <w:color w:val="auto"/>
          <w:szCs w:val="21"/>
          <w:highlight w:val="none"/>
          <w:u w:val="single"/>
        </w:rPr>
      </w:pPr>
      <w:r>
        <w:rPr>
          <w:rFonts w:hint="eastAsia" w:ascii="宋体" w:hAnsi="宋体"/>
          <w:color w:val="auto"/>
          <w:szCs w:val="21"/>
          <w:highlight w:val="none"/>
        </w:rPr>
        <w:t>　　具体保修的内容，双方约定如下：</w:t>
      </w:r>
    </w:p>
    <w:p>
      <w:pPr>
        <w:snapToGrid w:val="0"/>
        <w:spacing w:line="360" w:lineRule="auto"/>
        <w:rPr>
          <w:rFonts w:hint="eastAsia" w:ascii="宋体" w:hAnsi="宋体"/>
          <w:color w:val="auto"/>
          <w:szCs w:val="21"/>
          <w:highlight w:val="none"/>
        </w:rPr>
      </w:pPr>
      <w:r>
        <w:rPr>
          <w:rFonts w:hint="eastAsia" w:ascii="宋体" w:hAnsi="宋体"/>
          <w:color w:val="auto"/>
          <w:szCs w:val="21"/>
          <w:highlight w:val="none"/>
        </w:rPr>
        <w:t>　　二、质量保修期</w:t>
      </w:r>
    </w:p>
    <w:p>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根据《建设工程质量管理条例》及有关规定，工程的质量保修期如下：</w:t>
      </w:r>
    </w:p>
    <w:p>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1．地基基础工程和主体结构工程为设计文件规定的工程合理使用年限；</w:t>
      </w:r>
    </w:p>
    <w:p>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2．屋面防水工程、有防水要求的卫生间、房间和外墙面的防渗为</w:t>
      </w:r>
      <w:r>
        <w:rPr>
          <w:rFonts w:hint="eastAsia" w:ascii="宋体" w:hAnsi="宋体"/>
          <w:color w:val="auto"/>
          <w:szCs w:val="21"/>
          <w:highlight w:val="none"/>
          <w:u w:val="single"/>
        </w:rPr>
        <w:t xml:space="preserve">  /  </w:t>
      </w:r>
      <w:r>
        <w:rPr>
          <w:rFonts w:hint="eastAsia" w:ascii="宋体" w:hAnsi="宋体"/>
          <w:color w:val="auto"/>
          <w:szCs w:val="21"/>
          <w:highlight w:val="none"/>
        </w:rPr>
        <w:t>年；</w:t>
      </w:r>
    </w:p>
    <w:p>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3．装修工程为</w:t>
      </w:r>
      <w:r>
        <w:rPr>
          <w:rFonts w:hint="eastAsia" w:ascii="宋体" w:hAnsi="宋体"/>
          <w:color w:val="auto"/>
          <w:szCs w:val="21"/>
          <w:highlight w:val="none"/>
          <w:u w:val="single"/>
        </w:rPr>
        <w:t xml:space="preserve">  /  </w:t>
      </w:r>
      <w:r>
        <w:rPr>
          <w:rFonts w:hint="eastAsia" w:ascii="宋体" w:hAnsi="宋体"/>
          <w:color w:val="auto"/>
          <w:szCs w:val="21"/>
          <w:highlight w:val="none"/>
        </w:rPr>
        <w:t>年；</w:t>
      </w:r>
    </w:p>
    <w:p>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4．电气管线、给排水管道、设备安装工程为</w:t>
      </w:r>
      <w:r>
        <w:rPr>
          <w:rFonts w:hint="eastAsia" w:ascii="宋体" w:hAnsi="宋体"/>
          <w:color w:val="auto"/>
          <w:szCs w:val="21"/>
          <w:highlight w:val="none"/>
          <w:u w:val="single"/>
        </w:rPr>
        <w:t xml:space="preserve">  /  </w:t>
      </w:r>
      <w:r>
        <w:rPr>
          <w:rFonts w:hint="eastAsia" w:ascii="宋体" w:hAnsi="宋体"/>
          <w:color w:val="auto"/>
          <w:szCs w:val="21"/>
          <w:highlight w:val="none"/>
        </w:rPr>
        <w:t>年；</w:t>
      </w:r>
    </w:p>
    <w:p>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5．供热与供冷系统为</w:t>
      </w:r>
      <w:r>
        <w:rPr>
          <w:rFonts w:hint="eastAsia" w:ascii="宋体" w:hAnsi="宋体"/>
          <w:color w:val="auto"/>
          <w:szCs w:val="21"/>
          <w:highlight w:val="none"/>
          <w:u w:val="single"/>
        </w:rPr>
        <w:t xml:space="preserve">  / </w:t>
      </w:r>
      <w:r>
        <w:rPr>
          <w:rFonts w:hint="eastAsia" w:ascii="宋体" w:hAnsi="宋体"/>
          <w:color w:val="auto"/>
          <w:szCs w:val="21"/>
          <w:highlight w:val="none"/>
        </w:rPr>
        <w:t>个采暖期、供冷期；</w:t>
      </w:r>
    </w:p>
    <w:p>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6．住宅小区内的给排水设施、道路等配套工程为</w:t>
      </w:r>
      <w:r>
        <w:rPr>
          <w:rFonts w:hint="eastAsia" w:ascii="宋体" w:hAnsi="宋体"/>
          <w:color w:val="auto"/>
          <w:szCs w:val="21"/>
          <w:highlight w:val="none"/>
          <w:u w:val="single"/>
        </w:rPr>
        <w:t xml:space="preserve">   /   </w:t>
      </w:r>
      <w:r>
        <w:rPr>
          <w:rFonts w:hint="eastAsia" w:ascii="宋体" w:hAnsi="宋体"/>
          <w:color w:val="auto"/>
          <w:szCs w:val="21"/>
          <w:highlight w:val="none"/>
        </w:rPr>
        <w:t>年；</w:t>
      </w:r>
    </w:p>
    <w:p>
      <w:pPr>
        <w:snapToGrid w:val="0"/>
        <w:spacing w:line="360" w:lineRule="auto"/>
        <w:ind w:firstLine="420" w:firstLineChars="200"/>
        <w:rPr>
          <w:b/>
          <w:bCs/>
          <w:color w:val="auto"/>
          <w:highlight w:val="none"/>
          <w:u w:val="single"/>
        </w:rPr>
      </w:pPr>
      <w:r>
        <w:rPr>
          <w:rFonts w:hint="eastAsia" w:ascii="宋体" w:hAnsi="宋体"/>
          <w:color w:val="auto"/>
          <w:szCs w:val="21"/>
          <w:highlight w:val="none"/>
        </w:rPr>
        <w:t>7．其他项目保修期限约定如下：</w:t>
      </w:r>
      <w:r>
        <w:rPr>
          <w:rFonts w:hint="eastAsia" w:ascii="宋体" w:hAnsi="宋体"/>
          <w:b/>
          <w:bCs/>
          <w:color w:val="auto"/>
          <w:szCs w:val="21"/>
          <w:highlight w:val="none"/>
          <w:u w:val="single"/>
        </w:rPr>
        <w:t>本工程免费质保期为2年。2年质</w:t>
      </w:r>
      <w:r>
        <w:rPr>
          <w:rFonts w:hint="eastAsia" w:ascii="宋体" w:hAnsi="宋体" w:cs="宋体"/>
          <w:b/>
          <w:bCs/>
          <w:color w:val="auto"/>
          <w:szCs w:val="21"/>
          <w:highlight w:val="none"/>
          <w:u w:val="single"/>
        </w:rPr>
        <w:t>保期满后，乙方须持甲方出具的质保期内维保、维修工作完成情况的证明与甲方结算工程质量保证金。</w:t>
      </w:r>
      <w:r>
        <w:rPr>
          <w:rFonts w:hint="eastAsia" w:ascii="宋体" w:cs="宋体"/>
          <w:b/>
          <w:bCs/>
          <w:color w:val="auto"/>
          <w:szCs w:val="21"/>
          <w:highlight w:val="none"/>
          <w:u w:val="single"/>
        </w:rPr>
        <w:t>承包人须对本项目进行免费终身维保，并提供24小时维修服务</w:t>
      </w:r>
      <w:r>
        <w:rPr>
          <w:rFonts w:hint="eastAsia" w:ascii="宋体" w:hAnsi="宋体" w:cs="宋体"/>
          <w:b/>
          <w:bCs/>
          <w:color w:val="auto"/>
          <w:szCs w:val="21"/>
          <w:highlight w:val="none"/>
          <w:u w:val="single"/>
        </w:rPr>
        <w:t>。</w:t>
      </w:r>
    </w:p>
    <w:p>
      <w:pPr>
        <w:snapToGrid w:val="0"/>
        <w:spacing w:line="360" w:lineRule="auto"/>
        <w:rPr>
          <w:rFonts w:hint="eastAsia" w:ascii="宋体" w:hAnsi="宋体"/>
          <w:b/>
          <w:color w:val="auto"/>
          <w:szCs w:val="21"/>
          <w:highlight w:val="none"/>
        </w:rPr>
      </w:pPr>
      <w:r>
        <w:rPr>
          <w:rFonts w:hint="eastAsia" w:ascii="宋体" w:hAnsi="宋体"/>
          <w:color w:val="auto"/>
          <w:szCs w:val="21"/>
          <w:highlight w:val="none"/>
        </w:rPr>
        <w:t>　　</w:t>
      </w:r>
      <w:r>
        <w:rPr>
          <w:rFonts w:hint="eastAsia" w:ascii="宋体" w:hAnsi="宋体"/>
          <w:b/>
          <w:color w:val="auto"/>
          <w:szCs w:val="21"/>
          <w:highlight w:val="none"/>
        </w:rPr>
        <w:t>质量保修期自工程竣工验收合格之日起计算。</w:t>
      </w:r>
    </w:p>
    <w:p>
      <w:pPr>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三、缺陷责任期</w:t>
      </w:r>
    </w:p>
    <w:p>
      <w:pPr>
        <w:snapToGrid w:val="0"/>
        <w:spacing w:line="360" w:lineRule="auto"/>
        <w:ind w:firstLine="420" w:firstLineChars="200"/>
        <w:jc w:val="left"/>
        <w:rPr>
          <w:color w:val="auto"/>
          <w:highlight w:val="none"/>
        </w:rPr>
      </w:pPr>
      <w:r>
        <w:rPr>
          <w:rFonts w:hint="eastAsia" w:ascii="宋体" w:cs="宋体"/>
          <w:color w:val="auto"/>
          <w:szCs w:val="21"/>
          <w:highlight w:val="none"/>
        </w:rPr>
        <w:t>本工程缺陷责任期为两年。承包人免费终身维保，并提供24小时维修服务。缺陷责任期自工程竣工验收合格之日起计算。</w:t>
      </w:r>
    </w:p>
    <w:p>
      <w:pPr>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缺陷责任期终止后，发包人应退还剩余的质量保证金。</w:t>
      </w:r>
    </w:p>
    <w:p>
      <w:pPr>
        <w:snapToGrid w:val="0"/>
        <w:spacing w:line="360" w:lineRule="auto"/>
        <w:rPr>
          <w:rFonts w:hint="eastAsia" w:ascii="宋体" w:hAnsi="宋体"/>
          <w:color w:val="auto"/>
          <w:szCs w:val="21"/>
          <w:highlight w:val="none"/>
        </w:rPr>
      </w:pPr>
      <w:r>
        <w:rPr>
          <w:rFonts w:hint="eastAsia" w:ascii="宋体" w:hAnsi="宋体"/>
          <w:color w:val="auto"/>
          <w:szCs w:val="21"/>
          <w:highlight w:val="none"/>
        </w:rPr>
        <w:t xml:space="preserve">    四、质量保修责任</w:t>
      </w:r>
    </w:p>
    <w:p>
      <w:pPr>
        <w:snapToGrid w:val="0"/>
        <w:spacing w:line="360" w:lineRule="auto"/>
        <w:ind w:left="105" w:leftChars="50" w:firstLine="430" w:firstLineChars="205"/>
        <w:rPr>
          <w:rFonts w:hint="eastAsia" w:ascii="宋体" w:hAnsi="宋体"/>
          <w:color w:val="auto"/>
          <w:szCs w:val="21"/>
          <w:highlight w:val="none"/>
        </w:rPr>
      </w:pPr>
      <w:r>
        <w:rPr>
          <w:rFonts w:hint="eastAsia" w:ascii="宋体" w:hAnsi="宋体"/>
          <w:color w:val="auto"/>
          <w:szCs w:val="21"/>
          <w:highlight w:val="none"/>
        </w:rPr>
        <w:t>1．属于保修范围、内容的项目，保修期内承包人需提供全天候的即时响应，紧急故障4小时内修复，常规故障24小时内排除，特殊故障48小时内排除。承包人不在约定期限内派人保修的，发包人可以委托他人修理，发包人委托他人代修的修理费（另加20%的管理费）由承包人承担。</w:t>
      </w:r>
    </w:p>
    <w:p>
      <w:pPr>
        <w:snapToGrid w:val="0"/>
        <w:spacing w:line="360" w:lineRule="auto"/>
        <w:ind w:left="105" w:leftChars="50" w:firstLine="430" w:firstLineChars="205"/>
        <w:rPr>
          <w:rFonts w:hint="eastAsia" w:ascii="宋体" w:hAnsi="宋体"/>
          <w:color w:val="auto"/>
          <w:szCs w:val="21"/>
          <w:highlight w:val="none"/>
        </w:rPr>
      </w:pPr>
      <w:r>
        <w:rPr>
          <w:rFonts w:hint="eastAsia" w:ascii="宋体" w:hAnsi="宋体"/>
          <w:color w:val="auto"/>
          <w:szCs w:val="21"/>
          <w:highlight w:val="none"/>
        </w:rPr>
        <w:t>2．发生紧急事故需抢修的，承包人在接到事故通知后，应当立即到达事故现场抢修。</w:t>
      </w:r>
    </w:p>
    <w:p>
      <w:pPr>
        <w:snapToGrid w:val="0"/>
        <w:spacing w:line="360" w:lineRule="auto"/>
        <w:ind w:left="105" w:leftChars="50" w:firstLine="430" w:firstLineChars="205"/>
        <w:rPr>
          <w:rFonts w:hint="eastAsia" w:ascii="宋体" w:hAnsi="宋体"/>
          <w:color w:val="auto"/>
          <w:szCs w:val="21"/>
          <w:highlight w:val="none"/>
        </w:rPr>
      </w:pPr>
      <w:r>
        <w:rPr>
          <w:rFonts w:hint="eastAsia" w:ascii="宋体" w:hAnsi="宋体"/>
          <w:color w:val="auto"/>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napToGrid w:val="0"/>
        <w:spacing w:line="360" w:lineRule="auto"/>
        <w:ind w:left="105" w:leftChars="50" w:firstLine="430" w:firstLineChars="205"/>
        <w:rPr>
          <w:rFonts w:hint="eastAsia" w:ascii="宋体" w:hAnsi="宋体"/>
          <w:color w:val="auto"/>
          <w:szCs w:val="21"/>
          <w:highlight w:val="none"/>
        </w:rPr>
      </w:pPr>
      <w:r>
        <w:rPr>
          <w:rFonts w:hint="eastAsia" w:ascii="宋体" w:hAnsi="宋体"/>
          <w:color w:val="auto"/>
          <w:szCs w:val="21"/>
          <w:highlight w:val="none"/>
        </w:rPr>
        <w:t>4．因承包人原因致使工程在设计使用期内造成人身和财产损害的，承包人应承担损害赔偿责任。</w:t>
      </w:r>
    </w:p>
    <w:p>
      <w:pPr>
        <w:snapToGrid w:val="0"/>
        <w:spacing w:line="360" w:lineRule="auto"/>
        <w:ind w:left="105" w:leftChars="50" w:firstLine="430" w:firstLineChars="205"/>
        <w:rPr>
          <w:rFonts w:hint="eastAsia" w:ascii="宋体" w:hAnsi="宋体"/>
          <w:color w:val="auto"/>
          <w:szCs w:val="21"/>
          <w:highlight w:val="none"/>
        </w:rPr>
      </w:pPr>
      <w:r>
        <w:rPr>
          <w:rFonts w:hint="eastAsia" w:ascii="宋体" w:hAnsi="宋体"/>
          <w:color w:val="auto"/>
          <w:szCs w:val="21"/>
          <w:highlight w:val="none"/>
        </w:rPr>
        <w:t>5.质量保修完成后，由发包人组织验收。</w:t>
      </w:r>
    </w:p>
    <w:p>
      <w:pPr>
        <w:snapToGrid w:val="0"/>
        <w:spacing w:line="360" w:lineRule="auto"/>
        <w:ind w:firstLine="210" w:firstLineChars="100"/>
        <w:rPr>
          <w:rFonts w:hint="eastAsia" w:ascii="宋体" w:hAnsi="宋体"/>
          <w:color w:val="auto"/>
          <w:szCs w:val="21"/>
          <w:highlight w:val="none"/>
        </w:rPr>
      </w:pPr>
      <w:r>
        <w:rPr>
          <w:rFonts w:hint="eastAsia" w:ascii="宋体" w:hAnsi="宋体"/>
          <w:color w:val="auto"/>
          <w:szCs w:val="21"/>
          <w:highlight w:val="none"/>
        </w:rPr>
        <w:t>　五、保修费用</w:t>
      </w:r>
    </w:p>
    <w:p>
      <w:pPr>
        <w:snapToGrid w:val="0"/>
        <w:spacing w:line="360" w:lineRule="auto"/>
        <w:ind w:firstLine="585"/>
        <w:rPr>
          <w:rFonts w:hint="eastAsia" w:ascii="宋体" w:hAnsi="宋体"/>
          <w:color w:val="auto"/>
          <w:szCs w:val="21"/>
          <w:highlight w:val="none"/>
        </w:rPr>
      </w:pPr>
      <w:r>
        <w:rPr>
          <w:rFonts w:hint="eastAsia" w:ascii="宋体" w:hAnsi="宋体"/>
          <w:color w:val="auto"/>
          <w:szCs w:val="21"/>
          <w:highlight w:val="none"/>
        </w:rPr>
        <w:t>保修费用由造成质量缺陷的责任方承担，工程质量保修金为最终确认的结算价的</w:t>
      </w:r>
      <w:r>
        <w:rPr>
          <w:rFonts w:hint="eastAsia" w:ascii="宋体" w:hAnsi="宋体"/>
          <w:color w:val="auto"/>
          <w:szCs w:val="21"/>
          <w:highlight w:val="none"/>
          <w:u w:val="single"/>
        </w:rPr>
        <w:t>3</w:t>
      </w:r>
      <w:r>
        <w:rPr>
          <w:rFonts w:hint="eastAsia" w:ascii="宋体" w:hAnsi="宋体"/>
          <w:color w:val="auto"/>
          <w:szCs w:val="21"/>
          <w:highlight w:val="none"/>
        </w:rPr>
        <w:t>%。</w:t>
      </w:r>
    </w:p>
    <w:p>
      <w:pPr>
        <w:snapToGrid w:val="0"/>
        <w:spacing w:line="360" w:lineRule="auto"/>
        <w:ind w:firstLine="422" w:firstLineChars="200"/>
        <w:jc w:val="left"/>
        <w:rPr>
          <w:rFonts w:hint="eastAsia" w:ascii="宋体" w:hAnsi="宋体"/>
          <w:color w:val="auto"/>
          <w:szCs w:val="21"/>
          <w:highlight w:val="none"/>
        </w:rPr>
      </w:pPr>
      <w:r>
        <w:rPr>
          <w:rFonts w:hint="eastAsia" w:ascii="宋体" w:hAnsi="宋体"/>
          <w:b/>
          <w:color w:val="auto"/>
          <w:szCs w:val="21"/>
          <w:highlight w:val="none"/>
        </w:rPr>
        <w:t>六</w:t>
      </w:r>
      <w:r>
        <w:rPr>
          <w:rFonts w:hint="eastAsia" w:ascii="宋体" w:hAnsi="宋体"/>
          <w:color w:val="auto"/>
          <w:szCs w:val="21"/>
          <w:highlight w:val="none"/>
        </w:rPr>
        <w:t>、双方约定的其他工程质量保修事项：</w:t>
      </w:r>
    </w:p>
    <w:p>
      <w:pPr>
        <w:snapToGrid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（1）工程保修期内，承包人委托一名代表专职处理本工程的维修工作。</w:t>
      </w:r>
    </w:p>
    <w:p>
      <w:pPr>
        <w:snapToGrid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（2）本合同约定的质量保修金银行利率为0。</w:t>
      </w:r>
    </w:p>
    <w:p>
      <w:pPr>
        <w:snapToGrid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（3）承包人实施工程质量保修须遵守有关规定。</w:t>
      </w:r>
    </w:p>
    <w:p>
      <w:pPr>
        <w:snapToGrid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（4）因承包人未能及时履行保修责任引起发包人的一切损失，均由承包人承担，发生的保修费用由发包人从保修金中抵扣。不足部分，由承包人承担。</w:t>
      </w:r>
    </w:p>
    <w:p>
      <w:pPr>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 xml:space="preserve"> 本工程质量保修书，由发包人、承包人双方在竣工验收前共同签署，作为施工合同附件，其有效期限至保修期满。</w:t>
      </w:r>
    </w:p>
    <w:p>
      <w:pPr>
        <w:autoSpaceDE w:val="0"/>
        <w:autoSpaceDN w:val="0"/>
        <w:adjustRightInd w:val="0"/>
        <w:snapToGrid w:val="0"/>
        <w:spacing w:line="360" w:lineRule="auto"/>
        <w:jc w:val="left"/>
        <w:rPr>
          <w:rFonts w:ascii="@时尚中黑简体"/>
          <w:color w:val="auto"/>
          <w:kern w:val="0"/>
          <w:szCs w:val="21"/>
          <w:highlight w:val="none"/>
        </w:rPr>
      </w:pPr>
    </w:p>
    <w:p>
      <w:pPr>
        <w:autoSpaceDE w:val="0"/>
        <w:autoSpaceDN w:val="0"/>
        <w:adjustRightInd w:val="0"/>
        <w:spacing w:line="420" w:lineRule="exact"/>
        <w:ind w:right="-512" w:rightChars="-244"/>
        <w:jc w:val="left"/>
        <w:rPr>
          <w:rFonts w:hint="eastAsia" w:ascii="宋体" w:hAnsi="宋体"/>
          <w:color w:val="auto"/>
          <w:kern w:val="0"/>
          <w:szCs w:val="21"/>
          <w:highlight w:val="none"/>
        </w:rPr>
      </w:pPr>
      <w:r>
        <w:rPr>
          <w:rFonts w:hint="eastAsia" w:ascii="宋体" w:hAnsi="宋体"/>
          <w:color w:val="auto"/>
          <w:kern w:val="0"/>
          <w:szCs w:val="21"/>
          <w:highlight w:val="none"/>
        </w:rPr>
        <w:t xml:space="preserve">发包人(公章)：                                     </w:t>
      </w:r>
      <w:r>
        <w:rPr>
          <w:rFonts w:hint="eastAsia" w:ascii="宋体" w:hAnsi="宋体"/>
          <w:color w:val="auto"/>
          <w:szCs w:val="21"/>
          <w:highlight w:val="none"/>
        </w:rPr>
        <w:t>承包人</w:t>
      </w:r>
      <w:r>
        <w:rPr>
          <w:rFonts w:hint="eastAsia" w:ascii="宋体" w:hAnsi="宋体"/>
          <w:color w:val="auto"/>
          <w:kern w:val="0"/>
          <w:szCs w:val="21"/>
          <w:highlight w:val="none"/>
        </w:rPr>
        <w:t xml:space="preserve">(公章)：           </w:t>
      </w:r>
    </w:p>
    <w:p>
      <w:pPr>
        <w:autoSpaceDE w:val="0"/>
        <w:autoSpaceDN w:val="0"/>
        <w:adjustRightInd w:val="0"/>
        <w:spacing w:line="420" w:lineRule="exact"/>
        <w:ind w:right="-512" w:rightChars="-244"/>
        <w:jc w:val="left"/>
        <w:rPr>
          <w:rFonts w:hint="eastAsia" w:ascii="宋体" w:hAnsi="宋体"/>
          <w:color w:val="auto"/>
          <w:kern w:val="0"/>
          <w:szCs w:val="21"/>
          <w:highlight w:val="none"/>
        </w:rPr>
      </w:pPr>
      <w:r>
        <w:rPr>
          <w:rFonts w:hint="eastAsia" w:ascii="宋体" w:hAnsi="宋体"/>
          <w:color w:val="auto"/>
          <w:kern w:val="0"/>
          <w:szCs w:val="21"/>
          <w:highlight w:val="none"/>
        </w:rPr>
        <w:t xml:space="preserve">法定代表人(签字或盖章)：                           法定代表人(签字或盖章)：     </w:t>
      </w:r>
    </w:p>
    <w:p>
      <w:pPr>
        <w:autoSpaceDE w:val="0"/>
        <w:autoSpaceDN w:val="0"/>
        <w:adjustRightInd w:val="0"/>
        <w:spacing w:line="420" w:lineRule="exact"/>
        <w:ind w:firstLine="420" w:firstLineChars="200"/>
        <w:jc w:val="left"/>
        <w:rPr>
          <w:rFonts w:hint="eastAsia" w:ascii="宋体" w:hAnsi="宋体"/>
          <w:color w:val="auto"/>
          <w:kern w:val="0"/>
          <w:szCs w:val="21"/>
          <w:highlight w:val="none"/>
        </w:rPr>
      </w:pPr>
    </w:p>
    <w:p>
      <w:pPr>
        <w:autoSpaceDE w:val="0"/>
        <w:autoSpaceDN w:val="0"/>
        <w:adjustRightInd w:val="0"/>
        <w:spacing w:line="420" w:lineRule="exact"/>
        <w:jc w:val="left"/>
        <w:rPr>
          <w:rFonts w:hint="eastAsia" w:ascii="宋体" w:hAnsi="宋体"/>
          <w:color w:val="auto"/>
          <w:kern w:val="0"/>
          <w:szCs w:val="21"/>
          <w:highlight w:val="none"/>
        </w:rPr>
      </w:pPr>
      <w:r>
        <w:rPr>
          <w:rFonts w:hint="eastAsia" w:ascii="宋体" w:hAnsi="宋体"/>
          <w:color w:val="auto"/>
          <w:kern w:val="0"/>
          <w:szCs w:val="21"/>
          <w:highlight w:val="none"/>
        </w:rPr>
        <w:t xml:space="preserve">年  月  日                                            年   月  日  </w:t>
      </w:r>
    </w:p>
    <w:p>
      <w:pPr>
        <w:rPr>
          <w:rFonts w:hint="eastAsia" w:hAnsi="宋体"/>
          <w:b/>
          <w:color w:val="auto"/>
          <w:sz w:val="36"/>
          <w:szCs w:val="36"/>
          <w:highlight w:val="none"/>
        </w:rPr>
      </w:pPr>
      <w:r>
        <w:rPr>
          <w:rFonts w:hAnsi="宋体"/>
          <w:b/>
          <w:color w:val="auto"/>
          <w:sz w:val="36"/>
          <w:szCs w:val="36"/>
          <w:highlight w:val="none"/>
        </w:rPr>
        <w:br w:type="page"/>
      </w:r>
    </w:p>
    <w:p>
      <w:pPr>
        <w:spacing w:line="440" w:lineRule="exact"/>
        <w:rPr>
          <w:rFonts w:hint="eastAsia" w:ascii="宋体" w:hAnsi="宋体"/>
          <w:b/>
          <w:color w:val="auto"/>
          <w:sz w:val="32"/>
          <w:szCs w:val="32"/>
          <w:highlight w:val="none"/>
        </w:rPr>
      </w:pPr>
      <w:r>
        <w:rPr>
          <w:rFonts w:hint="eastAsia" w:hAnsi="宋体" w:cs="宋体"/>
          <w:color w:val="auto"/>
          <w:highlight w:val="none"/>
        </w:rPr>
        <w:t xml:space="preserve">附件4：                   </w:t>
      </w:r>
      <w:r>
        <w:rPr>
          <w:rFonts w:hint="eastAsia" w:ascii="宋体" w:hAnsi="宋体"/>
          <w:b/>
          <w:color w:val="auto"/>
          <w:sz w:val="32"/>
          <w:szCs w:val="32"/>
          <w:highlight w:val="none"/>
        </w:rPr>
        <w:t>不拖欠农民工工资的承诺</w:t>
      </w:r>
    </w:p>
    <w:p>
      <w:pPr>
        <w:spacing w:line="360" w:lineRule="auto"/>
        <w:rPr>
          <w:rFonts w:hint="eastAsia" w:ascii="仿宋" w:hAnsi="仿宋" w:eastAsia="仿宋" w:cs="宋体"/>
          <w:color w:val="auto"/>
          <w:szCs w:val="21"/>
          <w:highlight w:val="none"/>
        </w:rPr>
      </w:pPr>
    </w:p>
    <w:p>
      <w:pPr>
        <w:spacing w:line="360" w:lineRule="auto"/>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致：</w:t>
      </w:r>
      <w:r>
        <w:rPr>
          <w:rFonts w:hint="eastAsia" w:cs="宋体" w:asciiTheme="minorEastAsia" w:hAnsiTheme="minorEastAsia" w:eastAsiaTheme="minorEastAsia"/>
          <w:b/>
          <w:bCs/>
          <w:color w:val="auto"/>
          <w:szCs w:val="21"/>
          <w:highlight w:val="none"/>
          <w:u w:val="single"/>
        </w:rPr>
        <w:t xml:space="preserve"> </w:t>
      </w:r>
      <w:r>
        <w:rPr>
          <w:rFonts w:cs="宋体" w:asciiTheme="minorEastAsia" w:hAnsiTheme="minorEastAsia" w:eastAsiaTheme="minorEastAsia"/>
          <w:b/>
          <w:bCs/>
          <w:color w:val="auto"/>
          <w:szCs w:val="21"/>
          <w:highlight w:val="none"/>
          <w:u w:val="single"/>
        </w:rPr>
        <w:t xml:space="preserve">                            </w:t>
      </w:r>
    </w:p>
    <w:p>
      <w:pPr>
        <w:spacing w:line="360" w:lineRule="auto"/>
        <w:ind w:firstLine="42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我单位</w:t>
      </w:r>
      <w:r>
        <w:rPr>
          <w:rFonts w:hint="eastAsia" w:cs="宋体" w:asciiTheme="minorEastAsia" w:hAnsiTheme="minorEastAsia" w:eastAsiaTheme="minorEastAsia"/>
          <w:color w:val="auto"/>
          <w:sz w:val="24"/>
          <w:highlight w:val="none"/>
          <w:u w:val="single"/>
        </w:rPr>
        <w:t xml:space="preserve">               </w:t>
      </w:r>
      <w:r>
        <w:rPr>
          <w:rFonts w:hint="eastAsia" w:cs="宋体" w:asciiTheme="minorEastAsia" w:hAnsiTheme="minorEastAsia" w:eastAsiaTheme="minorEastAsia"/>
          <w:color w:val="auto"/>
          <w:sz w:val="24"/>
          <w:highlight w:val="none"/>
        </w:rPr>
        <w:t>在工程施工招标中,有幸中标,在这项工程的实施过程中,我们除响应本项目招标文件的所有条款、履行合同内容外,并郑重承诺：</w:t>
      </w:r>
    </w:p>
    <w:p>
      <w:pPr>
        <w:spacing w:line="360" w:lineRule="auto"/>
        <w:ind w:firstLine="480" w:firstLineChars="2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在项目实施过程中,我单位将根据工程进度,及时支付农民工工资,不从农民工工资中扣留质保金等其他费用,同时也不以工程变更或计量支付未批复为借口延期支付农民工工资。如果项目资金不能及时到位,我单位将用自有流动资金及时支付农民工工资,避免恶意拖欠。</w:t>
      </w:r>
    </w:p>
    <w:p>
      <w:pPr>
        <w:spacing w:line="360" w:lineRule="auto"/>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 xml:space="preserve">    2、解决好农民工食宿问题,确保食堂卫生,住宿整洁。</w:t>
      </w:r>
    </w:p>
    <w:p>
      <w:pPr>
        <w:spacing w:line="360" w:lineRule="auto"/>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 xml:space="preserve">    3、我单位承诺在发包方指定的银行开设该项目“农民工工资专用账户”,用于该项目已实名登记的农民工工资发放,实行工程项目人工费用与其他工程款分账管理,每笔工程款支付时由发包人直接将20%的应支付的工程款汇至“农民工工资专用账户”。</w:t>
      </w:r>
    </w:p>
    <w:p>
      <w:pPr>
        <w:spacing w:line="360" w:lineRule="auto"/>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 xml:space="preserve">    </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我单位若拖欠民工工资引起民工上访事件,发包人将有权无条件地暂停支付当期工程进度款用于支付民工工资,或启用履约保证金以及发包人应付我单位的任何款项用于支付民工工资。我单位因拖欠货款工程款而使其直接向发包人追索价款或到发包人处、政府滋生事端的,我单位应向发包人支付本合同价款1%的违约金,发包人有权启用履约保证金或动用发包人应付我单位的任何款项支付货款或工程款。我单位出现拖欠工资等债务纠纷或在现场产生公害等不正当行为,或发生其它给发包人造成不便或影响公众形象,则每出现一次上述情况,我单位应向发包人支付人民币2万元的违约金。若违约金无法弥补发包人的损失，我单位应赔偿发包人的经济损失,即使这种不正当行为或违约是在工程竣工之后发现。</w:t>
      </w:r>
    </w:p>
    <w:p>
      <w:pPr>
        <w:spacing w:line="360" w:lineRule="auto"/>
        <w:ind w:firstLine="480"/>
        <w:rPr>
          <w:rFonts w:hint="eastAsia" w:cs="宋体" w:asciiTheme="minorEastAsia" w:hAnsiTheme="minorEastAsia" w:eastAsiaTheme="minorEastAsia"/>
          <w:color w:val="auto"/>
          <w:sz w:val="24"/>
          <w:highlight w:val="none"/>
        </w:rPr>
      </w:pPr>
      <w:r>
        <w:rPr>
          <w:rFonts w:cs="宋体" w:asciiTheme="minorEastAsia" w:hAnsiTheme="minorEastAsia" w:eastAsiaTheme="minorEastAsia"/>
          <w:color w:val="auto"/>
          <w:sz w:val="24"/>
          <w:highlight w:val="none"/>
        </w:rPr>
        <w:t>5</w:t>
      </w:r>
      <w:r>
        <w:rPr>
          <w:rFonts w:hint="eastAsia" w:cs="宋体" w:asciiTheme="minorEastAsia" w:hAnsiTheme="minorEastAsia" w:eastAsiaTheme="minorEastAsia"/>
          <w:color w:val="auto"/>
          <w:sz w:val="24"/>
          <w:highlight w:val="none"/>
        </w:rPr>
        <w:t>、发包人将定期或不定期对我单位施工期间的农民工工资发放进行调查,每调查发现一次我单位及其下属分包人拖欠民工工资以及拖欠分承包人、供应商等单位和人员债务,我单位应向发包人支付2-5万元</w:t>
      </w:r>
      <w:r>
        <w:rPr>
          <w:rFonts w:hint="eastAsia" w:cs="宋体" w:asciiTheme="minorEastAsia" w:hAnsiTheme="minorEastAsia" w:eastAsiaTheme="minorEastAsia"/>
          <w:color w:val="auto"/>
          <w:sz w:val="24"/>
          <w:highlight w:val="none"/>
          <w:lang w:val="en-GB"/>
        </w:rPr>
        <w:t>/</w:t>
      </w:r>
      <w:r>
        <w:rPr>
          <w:rFonts w:hint="eastAsia" w:cs="宋体" w:asciiTheme="minorEastAsia" w:hAnsiTheme="minorEastAsia" w:eastAsiaTheme="minorEastAsia"/>
          <w:color w:val="auto"/>
          <w:sz w:val="24"/>
          <w:highlight w:val="none"/>
        </w:rPr>
        <w:t>次的违约金,具体金额由发包人确定。</w:t>
      </w:r>
    </w:p>
    <w:p>
      <w:pPr>
        <w:spacing w:line="360" w:lineRule="auto"/>
        <w:ind w:firstLine="4622" w:firstLineChars="1926"/>
        <w:rPr>
          <w:rFonts w:hint="eastAsia" w:cs="宋体" w:asciiTheme="minorEastAsia" w:hAnsiTheme="minorEastAsia" w:eastAsiaTheme="minorEastAsia"/>
          <w:color w:val="auto"/>
          <w:sz w:val="24"/>
          <w:highlight w:val="none"/>
        </w:rPr>
      </w:pPr>
    </w:p>
    <w:p>
      <w:pPr>
        <w:spacing w:line="360" w:lineRule="auto"/>
        <w:ind w:firstLine="5520" w:firstLineChars="23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承诺单位（盖章）</w:t>
      </w:r>
    </w:p>
    <w:p>
      <w:pPr>
        <w:spacing w:line="360" w:lineRule="auto"/>
        <w:ind w:firstLine="5520" w:firstLineChars="23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法人代表(签字)</w:t>
      </w:r>
    </w:p>
    <w:p>
      <w:pPr>
        <w:spacing w:line="360" w:lineRule="auto"/>
        <w:ind w:firstLine="6000" w:firstLineChars="250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年  月  日</w:t>
      </w:r>
    </w:p>
    <w:p>
      <w:pPr>
        <w:spacing w:line="400" w:lineRule="exact"/>
        <w:rPr>
          <w:rFonts w:hint="eastAsia" w:ascii="仿宋" w:hAnsi="仿宋" w:eastAsia="仿宋" w:cs="宋体"/>
          <w:color w:val="auto"/>
          <w:sz w:val="18"/>
          <w:szCs w:val="18"/>
          <w:highlight w:val="none"/>
        </w:rPr>
      </w:pPr>
      <w:r>
        <w:rPr>
          <w:rFonts w:hint="eastAsia" w:ascii="仿宋" w:hAnsi="仿宋" w:eastAsia="仿宋" w:cs="宋体"/>
          <w:color w:val="auto"/>
          <w:sz w:val="18"/>
          <w:szCs w:val="18"/>
          <w:highlight w:val="none"/>
        </w:rPr>
        <w:t>注：中标人于签订合同前三个工作日内必须向业主提供该承诺书原件，否则业主有权取消投标人中标资格。</w:t>
      </w:r>
    </w:p>
    <w:p>
      <w:pPr>
        <w:widowControl/>
        <w:spacing w:line="360" w:lineRule="auto"/>
        <w:jc w:val="center"/>
        <w:rPr>
          <w:b/>
          <w:bCs/>
          <w:color w:val="auto"/>
          <w:sz w:val="24"/>
          <w:highlight w:val="none"/>
        </w:rPr>
      </w:pPr>
      <w:r>
        <w:rPr>
          <w:rFonts w:hAnsi="宋体"/>
          <w:b/>
          <w:color w:val="auto"/>
          <w:sz w:val="36"/>
          <w:szCs w:val="36"/>
          <w:highlight w:val="none"/>
        </w:rPr>
        <w:t>第四章</w:t>
      </w:r>
      <w:r>
        <w:rPr>
          <w:rFonts w:hint="eastAsia" w:hAnsi="宋体"/>
          <w:b/>
          <w:color w:val="auto"/>
          <w:sz w:val="36"/>
          <w:szCs w:val="36"/>
          <w:highlight w:val="none"/>
        </w:rPr>
        <w:t xml:space="preserve">   </w:t>
      </w:r>
      <w:r>
        <w:rPr>
          <w:rFonts w:hAnsi="宋体"/>
          <w:b/>
          <w:color w:val="auto"/>
          <w:sz w:val="36"/>
          <w:szCs w:val="36"/>
          <w:highlight w:val="none"/>
        </w:rPr>
        <w:t>工程建设标准</w:t>
      </w:r>
      <w:bookmarkEnd w:id="34"/>
    </w:p>
    <w:p>
      <w:pPr>
        <w:spacing w:line="360" w:lineRule="auto"/>
        <w:ind w:right="-233" w:rightChars="-111"/>
        <w:jc w:val="left"/>
        <w:rPr>
          <w:rFonts w:hint="eastAsia" w:hAnsi="宋体"/>
          <w:b/>
          <w:bCs/>
          <w:color w:val="auto"/>
          <w:szCs w:val="21"/>
          <w:highlight w:val="none"/>
        </w:rPr>
      </w:pPr>
    </w:p>
    <w:p>
      <w:pPr>
        <w:spacing w:line="360" w:lineRule="auto"/>
        <w:ind w:right="-233" w:rightChars="-111"/>
        <w:jc w:val="left"/>
        <w:rPr>
          <w:b/>
          <w:bCs/>
          <w:color w:val="auto"/>
          <w:szCs w:val="21"/>
          <w:highlight w:val="none"/>
        </w:rPr>
      </w:pPr>
      <w:r>
        <w:rPr>
          <w:rFonts w:hAnsi="宋体"/>
          <w:b/>
          <w:bCs/>
          <w:color w:val="auto"/>
          <w:szCs w:val="21"/>
          <w:highlight w:val="none"/>
        </w:rPr>
        <w:t>一、本工程采用的技术规范</w:t>
      </w:r>
    </w:p>
    <w:p>
      <w:pPr>
        <w:spacing w:line="360" w:lineRule="auto"/>
        <w:ind w:right="-233" w:rightChars="-111" w:firstLine="420" w:firstLineChars="200"/>
        <w:jc w:val="left"/>
        <w:rPr>
          <w:color w:val="auto"/>
          <w:szCs w:val="21"/>
          <w:highlight w:val="none"/>
        </w:rPr>
      </w:pPr>
      <w:r>
        <w:rPr>
          <w:color w:val="auto"/>
          <w:szCs w:val="21"/>
          <w:highlight w:val="none"/>
        </w:rPr>
        <w:t>1</w:t>
      </w:r>
      <w:r>
        <w:rPr>
          <w:rFonts w:hAnsi="宋体"/>
          <w:color w:val="auto"/>
          <w:szCs w:val="21"/>
          <w:highlight w:val="none"/>
        </w:rPr>
        <w:t>、《建筑工程施工质量验收统一标准》（</w:t>
      </w:r>
      <w:r>
        <w:rPr>
          <w:color w:val="auto"/>
          <w:szCs w:val="21"/>
          <w:highlight w:val="none"/>
        </w:rPr>
        <w:t>GB50300-20</w:t>
      </w:r>
      <w:r>
        <w:rPr>
          <w:rFonts w:hint="eastAsia"/>
          <w:color w:val="auto"/>
          <w:szCs w:val="21"/>
          <w:highlight w:val="none"/>
        </w:rPr>
        <w:t>13</w:t>
      </w:r>
      <w:r>
        <w:rPr>
          <w:rFonts w:hAnsi="宋体"/>
          <w:color w:val="auto"/>
          <w:szCs w:val="21"/>
          <w:highlight w:val="none"/>
        </w:rPr>
        <w:t>）；</w:t>
      </w:r>
    </w:p>
    <w:p>
      <w:pPr>
        <w:spacing w:line="360" w:lineRule="auto"/>
        <w:ind w:right="-233" w:rightChars="-111" w:firstLine="420" w:firstLineChars="200"/>
        <w:jc w:val="left"/>
        <w:rPr>
          <w:rFonts w:hint="eastAsia" w:hAnsi="宋体"/>
          <w:color w:val="auto"/>
          <w:szCs w:val="21"/>
          <w:highlight w:val="none"/>
        </w:rPr>
      </w:pPr>
      <w:r>
        <w:rPr>
          <w:rFonts w:hAnsi="宋体"/>
          <w:color w:val="auto"/>
          <w:szCs w:val="21"/>
          <w:highlight w:val="none"/>
        </w:rPr>
        <w:t>2、</w:t>
      </w:r>
      <w:r>
        <w:rPr>
          <w:rFonts w:hint="eastAsia" w:hAnsi="宋体"/>
          <w:color w:val="auto"/>
          <w:szCs w:val="21"/>
          <w:highlight w:val="none"/>
        </w:rPr>
        <w:t>《关于推进5G新型信息基础设施与传统基础实施项目协同建设的通知》苏发改投资发（2021）465号文；</w:t>
      </w:r>
    </w:p>
    <w:p>
      <w:pPr>
        <w:spacing w:line="360" w:lineRule="auto"/>
        <w:ind w:right="-233" w:rightChars="-111" w:firstLine="420" w:firstLineChars="200"/>
        <w:jc w:val="left"/>
        <w:rPr>
          <w:rFonts w:hint="eastAsia" w:hAnsi="宋体"/>
          <w:color w:val="auto"/>
          <w:szCs w:val="21"/>
          <w:highlight w:val="none"/>
        </w:rPr>
      </w:pPr>
      <w:r>
        <w:rPr>
          <w:rFonts w:hint="eastAsia" w:hAnsi="宋体"/>
          <w:color w:val="auto"/>
          <w:szCs w:val="21"/>
          <w:highlight w:val="none"/>
        </w:rPr>
        <w:t>3、南通市通信行业协会（2021）20号文</w:t>
      </w:r>
    </w:p>
    <w:p>
      <w:pPr>
        <w:spacing w:line="360" w:lineRule="auto"/>
        <w:ind w:right="-233" w:rightChars="-111" w:firstLine="420" w:firstLineChars="200"/>
        <w:jc w:val="left"/>
        <w:rPr>
          <w:color w:val="auto"/>
          <w:szCs w:val="21"/>
          <w:highlight w:val="none"/>
        </w:rPr>
      </w:pPr>
      <w:r>
        <w:rPr>
          <w:rFonts w:hint="eastAsia" w:hAnsi="宋体"/>
          <w:color w:val="auto"/>
          <w:szCs w:val="21"/>
          <w:highlight w:val="none"/>
        </w:rPr>
        <w:t>4、</w:t>
      </w:r>
      <w:r>
        <w:rPr>
          <w:rFonts w:hAnsi="宋体"/>
          <w:color w:val="auto"/>
          <w:szCs w:val="21"/>
          <w:highlight w:val="none"/>
        </w:rPr>
        <w:t>设计文件中明确的有关技术标准、规定；</w:t>
      </w:r>
    </w:p>
    <w:p>
      <w:pPr>
        <w:spacing w:line="360" w:lineRule="auto"/>
        <w:ind w:right="-233" w:rightChars="-111" w:firstLine="420" w:firstLineChars="200"/>
        <w:jc w:val="left"/>
        <w:rPr>
          <w:color w:val="auto"/>
          <w:szCs w:val="21"/>
          <w:highlight w:val="none"/>
        </w:rPr>
      </w:pPr>
      <w:r>
        <w:rPr>
          <w:rFonts w:hAnsi="宋体"/>
          <w:color w:val="auto"/>
          <w:szCs w:val="21"/>
          <w:highlight w:val="none"/>
        </w:rPr>
        <w:t>上述技术标准和规范如有不足之处或未能达到国际最新标准时，投标方应使系统的设计、施工及选用的设备</w:t>
      </w:r>
      <w:r>
        <w:rPr>
          <w:color w:val="auto"/>
          <w:szCs w:val="21"/>
          <w:highlight w:val="none"/>
        </w:rPr>
        <w:t>/</w:t>
      </w:r>
      <w:r>
        <w:rPr>
          <w:rFonts w:hAnsi="宋体"/>
          <w:color w:val="auto"/>
          <w:szCs w:val="21"/>
          <w:highlight w:val="none"/>
        </w:rPr>
        <w:t>材料符合最新版本的国际和国家标准、规范，并提供所采用的国际和国家标准、规范及所采用版本的有关技术资料。</w:t>
      </w:r>
    </w:p>
    <w:p>
      <w:pPr>
        <w:spacing w:line="360" w:lineRule="auto"/>
        <w:ind w:right="-233" w:rightChars="-111"/>
        <w:jc w:val="left"/>
        <w:rPr>
          <w:b/>
          <w:bCs/>
          <w:color w:val="auto"/>
          <w:szCs w:val="21"/>
          <w:highlight w:val="none"/>
        </w:rPr>
      </w:pPr>
      <w:r>
        <w:rPr>
          <w:rFonts w:hint="eastAsia" w:hAnsi="宋体"/>
          <w:b/>
          <w:bCs/>
          <w:color w:val="auto"/>
          <w:szCs w:val="21"/>
          <w:highlight w:val="none"/>
        </w:rPr>
        <w:t>二</w:t>
      </w:r>
      <w:r>
        <w:rPr>
          <w:rFonts w:hAnsi="宋体"/>
          <w:b/>
          <w:bCs/>
          <w:color w:val="auto"/>
          <w:szCs w:val="21"/>
          <w:highlight w:val="none"/>
        </w:rPr>
        <w:t>、本工程对施工工艺的特殊要求</w:t>
      </w:r>
    </w:p>
    <w:p>
      <w:pPr>
        <w:spacing w:line="360" w:lineRule="auto"/>
        <w:ind w:right="-233" w:rightChars="-111" w:firstLine="420" w:firstLineChars="200"/>
        <w:jc w:val="left"/>
        <w:rPr>
          <w:color w:val="auto"/>
          <w:szCs w:val="21"/>
          <w:highlight w:val="none"/>
        </w:rPr>
      </w:pPr>
      <w:r>
        <w:rPr>
          <w:color w:val="auto"/>
          <w:szCs w:val="21"/>
          <w:highlight w:val="none"/>
        </w:rPr>
        <w:t>1</w:t>
      </w:r>
      <w:r>
        <w:rPr>
          <w:rFonts w:hint="eastAsia"/>
          <w:color w:val="auto"/>
          <w:szCs w:val="21"/>
          <w:highlight w:val="none"/>
        </w:rPr>
        <w:t>、</w:t>
      </w:r>
      <w:r>
        <w:rPr>
          <w:rFonts w:hAnsi="宋体"/>
          <w:color w:val="auto"/>
          <w:szCs w:val="21"/>
          <w:highlight w:val="none"/>
        </w:rPr>
        <w:t>施工期间注意周边环境，减少对周围居民、行人的影响（交通、灰尘、噪音等）。</w:t>
      </w:r>
    </w:p>
    <w:p>
      <w:pPr>
        <w:spacing w:line="360" w:lineRule="auto"/>
        <w:ind w:right="-233" w:rightChars="-111" w:firstLine="420" w:firstLineChars="200"/>
        <w:jc w:val="left"/>
        <w:rPr>
          <w:color w:val="auto"/>
          <w:szCs w:val="21"/>
          <w:highlight w:val="none"/>
        </w:rPr>
      </w:pPr>
      <w:r>
        <w:rPr>
          <w:color w:val="auto"/>
          <w:szCs w:val="21"/>
          <w:highlight w:val="none"/>
        </w:rPr>
        <w:t>2</w:t>
      </w:r>
      <w:r>
        <w:rPr>
          <w:rFonts w:hint="eastAsia"/>
          <w:color w:val="auto"/>
          <w:szCs w:val="21"/>
          <w:highlight w:val="none"/>
        </w:rPr>
        <w:t>、</w:t>
      </w:r>
      <w:r>
        <w:rPr>
          <w:rFonts w:hAnsi="宋体"/>
          <w:color w:val="auto"/>
          <w:szCs w:val="21"/>
          <w:highlight w:val="none"/>
        </w:rPr>
        <w:t>工程主要部位和特殊要求由建设、设计、监理三方讨论后以书面开式通知施工单位实施。</w:t>
      </w:r>
    </w:p>
    <w:p>
      <w:pPr>
        <w:spacing w:line="360" w:lineRule="auto"/>
        <w:ind w:right="-233" w:rightChars="-111" w:firstLine="420" w:firstLineChars="200"/>
        <w:jc w:val="left"/>
        <w:rPr>
          <w:color w:val="auto"/>
          <w:szCs w:val="21"/>
          <w:highlight w:val="none"/>
        </w:rPr>
      </w:pPr>
      <w:r>
        <w:rPr>
          <w:color w:val="auto"/>
          <w:szCs w:val="21"/>
          <w:highlight w:val="none"/>
        </w:rPr>
        <w:t>3</w:t>
      </w:r>
      <w:r>
        <w:rPr>
          <w:rFonts w:hint="eastAsia"/>
          <w:color w:val="auto"/>
          <w:szCs w:val="21"/>
          <w:highlight w:val="none"/>
        </w:rPr>
        <w:t>、</w:t>
      </w:r>
      <w:r>
        <w:rPr>
          <w:rFonts w:hAnsi="宋体"/>
          <w:color w:val="auto"/>
          <w:szCs w:val="21"/>
          <w:highlight w:val="none"/>
        </w:rPr>
        <w:t>其余见设计院设计说明。</w:t>
      </w:r>
    </w:p>
    <w:p>
      <w:pPr>
        <w:spacing w:line="360" w:lineRule="auto"/>
        <w:ind w:right="-233" w:rightChars="-111"/>
        <w:jc w:val="center"/>
        <w:rPr>
          <w:b/>
          <w:bCs/>
          <w:color w:val="auto"/>
          <w:sz w:val="24"/>
          <w:highlight w:val="none"/>
        </w:rPr>
      </w:pPr>
      <w:r>
        <w:rPr>
          <w:b/>
          <w:bCs/>
          <w:color w:val="auto"/>
          <w:sz w:val="24"/>
          <w:highlight w:val="none"/>
        </w:rPr>
        <w:br w:type="page"/>
      </w:r>
    </w:p>
    <w:p>
      <w:pPr>
        <w:pStyle w:val="10"/>
        <w:spacing w:line="420" w:lineRule="atLeast"/>
        <w:outlineLvl w:val="0"/>
        <w:rPr>
          <w:rFonts w:ascii="Times New Roman" w:hAnsi="Times New Roman" w:eastAsia="宋体"/>
          <w:b/>
          <w:bCs/>
          <w:color w:val="auto"/>
          <w:szCs w:val="21"/>
          <w:highlight w:val="none"/>
        </w:rPr>
      </w:pPr>
      <w:bookmarkStart w:id="39" w:name="_Toc465181337"/>
      <w:bookmarkStart w:id="40" w:name="_Toc286661174"/>
      <w:bookmarkStart w:id="41" w:name="_Toc404159962"/>
      <w:r>
        <w:rPr>
          <w:rFonts w:ascii="Times New Roman" w:hAnsi="宋体" w:eastAsia="宋体"/>
          <w:b/>
          <w:bCs/>
          <w:color w:val="auto"/>
          <w:szCs w:val="21"/>
          <w:highlight w:val="none"/>
        </w:rPr>
        <w:t>第五章</w:t>
      </w:r>
      <w:r>
        <w:rPr>
          <w:rFonts w:hint="eastAsia" w:ascii="Times New Roman" w:hAnsi="宋体" w:eastAsia="宋体"/>
          <w:b/>
          <w:bCs/>
          <w:color w:val="auto"/>
          <w:szCs w:val="21"/>
          <w:highlight w:val="none"/>
        </w:rPr>
        <w:t xml:space="preserve">  </w:t>
      </w:r>
      <w:r>
        <w:rPr>
          <w:rFonts w:ascii="Times New Roman" w:hAnsi="宋体" w:eastAsia="宋体"/>
          <w:b/>
          <w:bCs/>
          <w:color w:val="auto"/>
          <w:szCs w:val="21"/>
          <w:highlight w:val="none"/>
        </w:rPr>
        <w:t>图纸、技术资料及附件</w:t>
      </w:r>
      <w:bookmarkEnd w:id="39"/>
      <w:bookmarkEnd w:id="40"/>
    </w:p>
    <w:bookmarkEnd w:id="41"/>
    <w:p>
      <w:pPr>
        <w:spacing w:line="360" w:lineRule="auto"/>
        <w:rPr>
          <w:color w:val="auto"/>
          <w:sz w:val="25"/>
          <w:highlight w:val="none"/>
        </w:rPr>
      </w:pPr>
    </w:p>
    <w:p>
      <w:pPr>
        <w:spacing w:line="360" w:lineRule="auto"/>
        <w:rPr>
          <w:color w:val="auto"/>
          <w:sz w:val="25"/>
          <w:highlight w:val="none"/>
        </w:rPr>
      </w:pPr>
    </w:p>
    <w:p>
      <w:pPr>
        <w:spacing w:line="360" w:lineRule="auto"/>
        <w:rPr>
          <w:color w:val="auto"/>
          <w:sz w:val="25"/>
          <w:highlight w:val="none"/>
        </w:rPr>
      </w:pPr>
    </w:p>
    <w:p>
      <w:pPr>
        <w:spacing w:line="360" w:lineRule="auto"/>
        <w:rPr>
          <w:color w:val="auto"/>
          <w:sz w:val="25"/>
          <w:highlight w:val="none"/>
        </w:rPr>
      </w:pPr>
    </w:p>
    <w:p>
      <w:pPr>
        <w:spacing w:line="360" w:lineRule="auto"/>
        <w:rPr>
          <w:color w:val="auto"/>
          <w:sz w:val="25"/>
          <w:highlight w:val="none"/>
        </w:rPr>
      </w:pPr>
    </w:p>
    <w:p>
      <w:pPr>
        <w:spacing w:line="360" w:lineRule="auto"/>
        <w:rPr>
          <w:color w:val="auto"/>
          <w:sz w:val="25"/>
          <w:highlight w:val="none"/>
        </w:rPr>
      </w:pPr>
    </w:p>
    <w:p>
      <w:pPr>
        <w:spacing w:line="360" w:lineRule="auto"/>
        <w:rPr>
          <w:color w:val="auto"/>
          <w:sz w:val="25"/>
          <w:highlight w:val="none"/>
        </w:rPr>
      </w:pPr>
    </w:p>
    <w:p>
      <w:pPr>
        <w:spacing w:line="360" w:lineRule="auto"/>
        <w:rPr>
          <w:color w:val="auto"/>
          <w:sz w:val="25"/>
          <w:highlight w:val="none"/>
        </w:rPr>
      </w:pPr>
    </w:p>
    <w:p>
      <w:pPr>
        <w:spacing w:line="500" w:lineRule="exact"/>
        <w:jc w:val="center"/>
        <w:rPr>
          <w:b/>
          <w:bCs/>
          <w:color w:val="auto"/>
          <w:sz w:val="32"/>
          <w:highlight w:val="none"/>
        </w:rPr>
      </w:pPr>
      <w:r>
        <w:rPr>
          <w:b/>
          <w:bCs/>
          <w:color w:val="auto"/>
          <w:sz w:val="32"/>
          <w:highlight w:val="none"/>
        </w:rPr>
        <w:br w:type="page"/>
      </w:r>
    </w:p>
    <w:p>
      <w:pPr>
        <w:pStyle w:val="6"/>
        <w:jc w:val="center"/>
        <w:rPr>
          <w:color w:val="auto"/>
          <w:sz w:val="36"/>
          <w:szCs w:val="48"/>
          <w:highlight w:val="none"/>
        </w:rPr>
      </w:pPr>
      <w:bookmarkStart w:id="42" w:name="_Toc286661175"/>
      <w:bookmarkStart w:id="43" w:name="_Toc404159963"/>
      <w:bookmarkStart w:id="44" w:name="_Toc465181338"/>
      <w:r>
        <w:rPr>
          <w:rFonts w:hAnsi="宋体"/>
          <w:color w:val="auto"/>
          <w:sz w:val="36"/>
          <w:szCs w:val="48"/>
          <w:highlight w:val="none"/>
        </w:rPr>
        <w:t>第六章</w:t>
      </w:r>
      <w:r>
        <w:rPr>
          <w:rFonts w:hint="eastAsia" w:hAnsi="宋体"/>
          <w:color w:val="auto"/>
          <w:sz w:val="36"/>
          <w:szCs w:val="48"/>
          <w:highlight w:val="none"/>
        </w:rPr>
        <w:t xml:space="preserve">  </w:t>
      </w:r>
      <w:r>
        <w:rPr>
          <w:rFonts w:hAnsi="宋体"/>
          <w:color w:val="auto"/>
          <w:sz w:val="36"/>
          <w:szCs w:val="48"/>
          <w:highlight w:val="none"/>
        </w:rPr>
        <w:t>投标文件格式</w:t>
      </w:r>
      <w:bookmarkEnd w:id="42"/>
      <w:bookmarkEnd w:id="43"/>
      <w:bookmarkEnd w:id="44"/>
    </w:p>
    <w:p>
      <w:pPr>
        <w:widowControl/>
        <w:spacing w:before="100" w:beforeAutospacing="1" w:after="100" w:afterAutospacing="1" w:line="495" w:lineRule="atLeast"/>
        <w:jc w:val="right"/>
        <w:rPr>
          <w:rFonts w:hint="eastAsia" w:ascii="宋体" w:hAnsi="宋体" w:cs="宋体"/>
          <w:color w:val="auto"/>
          <w:kern w:val="0"/>
          <w:sz w:val="32"/>
          <w:szCs w:val="32"/>
          <w:highlight w:val="none"/>
        </w:rPr>
      </w:pPr>
      <w:bookmarkStart w:id="45" w:name="_Toc286661178"/>
      <w:r>
        <w:rPr>
          <w:rFonts w:hint="eastAsia" w:ascii="宋体" w:hAnsi="宋体" w:cs="宋体"/>
          <w:color w:val="auto"/>
          <w:kern w:val="0"/>
          <w:sz w:val="44"/>
          <w:szCs w:val="44"/>
          <w:highlight w:val="none"/>
          <w:bdr w:val="single" w:color="000000" w:sz="4" w:space="0"/>
        </w:rPr>
        <w:t>正本/副本</w:t>
      </w:r>
    </w:p>
    <w:p>
      <w:pPr>
        <w:spacing w:line="500" w:lineRule="exact"/>
        <w:jc w:val="center"/>
        <w:rPr>
          <w:rFonts w:hint="eastAsia" w:ascii="宋体" w:hAnsi="宋体"/>
          <w:b/>
          <w:bCs/>
          <w:color w:val="auto"/>
          <w:sz w:val="32"/>
          <w:highlight w:val="none"/>
        </w:rPr>
      </w:pPr>
    </w:p>
    <w:bookmarkEnd w:id="45"/>
    <w:p>
      <w:pPr>
        <w:widowControl/>
        <w:spacing w:before="100" w:beforeAutospacing="1" w:after="100" w:afterAutospacing="1" w:line="495" w:lineRule="atLeast"/>
        <w:ind w:left="360"/>
        <w:jc w:val="center"/>
        <w:rPr>
          <w:rFonts w:hint="eastAsia" w:ascii="宋体" w:hAnsi="宋体" w:cs="宋体"/>
          <w:color w:val="auto"/>
          <w:kern w:val="0"/>
          <w:sz w:val="32"/>
          <w:szCs w:val="32"/>
          <w:highlight w:val="none"/>
        </w:rPr>
      </w:pPr>
      <w:r>
        <w:rPr>
          <w:rFonts w:hint="eastAsia" w:ascii="宋体" w:hAnsi="宋体" w:cs="宋体"/>
          <w:color w:val="auto"/>
          <w:kern w:val="0"/>
          <w:sz w:val="32"/>
          <w:szCs w:val="32"/>
          <w:highlight w:val="none"/>
          <w:u w:val="single"/>
        </w:rPr>
        <w:t xml:space="preserve">                         </w:t>
      </w:r>
      <w:r>
        <w:rPr>
          <w:rFonts w:hint="eastAsia" w:ascii="宋体" w:hAnsi="宋体" w:cs="宋体"/>
          <w:color w:val="auto"/>
          <w:kern w:val="0"/>
          <w:sz w:val="44"/>
          <w:szCs w:val="44"/>
          <w:highlight w:val="none"/>
        </w:rPr>
        <w:t>（项目名称）</w:t>
      </w:r>
    </w:p>
    <w:p>
      <w:pPr>
        <w:widowControl/>
        <w:spacing w:before="100" w:beforeAutospacing="1" w:after="100" w:afterAutospacing="1" w:line="495" w:lineRule="atLeast"/>
        <w:jc w:val="left"/>
        <w:rPr>
          <w:rFonts w:hint="eastAsia" w:ascii="宋体" w:hAnsi="宋体" w:cs="宋体"/>
          <w:color w:val="auto"/>
          <w:kern w:val="0"/>
          <w:sz w:val="32"/>
          <w:szCs w:val="32"/>
          <w:highlight w:val="none"/>
        </w:rPr>
      </w:pPr>
    </w:p>
    <w:p>
      <w:pPr>
        <w:widowControl/>
        <w:spacing w:before="100" w:beforeAutospacing="1" w:after="100" w:afterAutospacing="1" w:line="495" w:lineRule="atLeast"/>
        <w:jc w:val="left"/>
        <w:rPr>
          <w:rFonts w:hint="eastAsia" w:ascii="宋体" w:hAnsi="宋体" w:cs="宋体"/>
          <w:color w:val="auto"/>
          <w:kern w:val="0"/>
          <w:sz w:val="32"/>
          <w:szCs w:val="32"/>
          <w:highlight w:val="none"/>
        </w:rPr>
      </w:pPr>
      <w:r>
        <w:rPr>
          <w:rFonts w:hint="eastAsia" w:ascii="宋体" w:hAnsi="宋体" w:cs="宋体"/>
          <w:color w:val="auto"/>
          <w:kern w:val="0"/>
          <w:sz w:val="44"/>
          <w:szCs w:val="44"/>
          <w:highlight w:val="none"/>
        </w:rPr>
        <w:t> </w:t>
      </w:r>
    </w:p>
    <w:p>
      <w:pPr>
        <w:widowControl/>
        <w:spacing w:before="100" w:beforeAutospacing="1" w:after="100" w:afterAutospacing="1" w:line="495" w:lineRule="atLeast"/>
        <w:jc w:val="center"/>
        <w:rPr>
          <w:rFonts w:hint="eastAsia" w:ascii="宋体" w:hAnsi="宋体" w:cs="宋体"/>
          <w:color w:val="auto"/>
          <w:kern w:val="0"/>
          <w:sz w:val="32"/>
          <w:szCs w:val="32"/>
          <w:highlight w:val="none"/>
        </w:rPr>
      </w:pPr>
      <w:r>
        <w:rPr>
          <w:rFonts w:hint="eastAsia" w:ascii="宋体" w:hAnsi="宋体" w:cs="宋体"/>
          <w:color w:val="auto"/>
          <w:kern w:val="0"/>
          <w:sz w:val="72"/>
          <w:szCs w:val="72"/>
          <w:highlight w:val="none"/>
        </w:rPr>
        <w:t>投</w:t>
      </w:r>
      <w:r>
        <w:rPr>
          <w:rFonts w:hint="eastAsia" w:ascii="宋体" w:hAnsi="宋体" w:cs="宋体"/>
          <w:color w:val="auto"/>
          <w:kern w:val="0"/>
          <w:sz w:val="72"/>
          <w:highlight w:val="none"/>
        </w:rPr>
        <w:t> </w:t>
      </w:r>
      <w:r>
        <w:rPr>
          <w:rFonts w:hint="eastAsia" w:ascii="宋体" w:hAnsi="宋体" w:cs="宋体"/>
          <w:color w:val="auto"/>
          <w:kern w:val="0"/>
          <w:sz w:val="72"/>
          <w:szCs w:val="72"/>
          <w:highlight w:val="none"/>
        </w:rPr>
        <w:t>标</w:t>
      </w:r>
      <w:r>
        <w:rPr>
          <w:rFonts w:hint="eastAsia" w:ascii="宋体" w:hAnsi="宋体" w:cs="宋体"/>
          <w:color w:val="auto"/>
          <w:kern w:val="0"/>
          <w:sz w:val="72"/>
          <w:highlight w:val="none"/>
        </w:rPr>
        <w:t> </w:t>
      </w:r>
      <w:r>
        <w:rPr>
          <w:rFonts w:hint="eastAsia" w:ascii="宋体" w:hAnsi="宋体" w:cs="宋体"/>
          <w:color w:val="auto"/>
          <w:kern w:val="0"/>
          <w:sz w:val="72"/>
          <w:szCs w:val="72"/>
          <w:highlight w:val="none"/>
        </w:rPr>
        <w:t>书</w:t>
      </w:r>
    </w:p>
    <w:p>
      <w:pPr>
        <w:widowControl/>
        <w:spacing w:before="100" w:beforeAutospacing="1" w:after="100" w:afterAutospacing="1" w:line="495" w:lineRule="atLeast"/>
        <w:jc w:val="center"/>
        <w:rPr>
          <w:rFonts w:hint="eastAsia" w:ascii="宋体" w:hAnsi="宋体" w:cs="宋体"/>
          <w:color w:val="auto"/>
          <w:kern w:val="0"/>
          <w:sz w:val="32"/>
          <w:szCs w:val="32"/>
          <w:highlight w:val="none"/>
        </w:rPr>
      </w:pPr>
      <w:r>
        <w:rPr>
          <w:rFonts w:hint="eastAsia" w:ascii="宋体" w:hAnsi="宋体" w:cs="宋体"/>
          <w:color w:val="auto"/>
          <w:kern w:val="0"/>
          <w:sz w:val="44"/>
          <w:szCs w:val="44"/>
          <w:highlight w:val="none"/>
        </w:rPr>
        <w:t>（商务标）</w:t>
      </w:r>
    </w:p>
    <w:p>
      <w:pPr>
        <w:widowControl/>
        <w:spacing w:before="100" w:beforeAutospacing="1" w:after="100" w:afterAutospacing="1" w:line="495" w:lineRule="atLeast"/>
        <w:jc w:val="left"/>
        <w:rPr>
          <w:rFonts w:hint="eastAsia" w:ascii="宋体" w:hAnsi="宋体" w:cs="宋体"/>
          <w:color w:val="auto"/>
          <w:kern w:val="0"/>
          <w:sz w:val="32"/>
          <w:szCs w:val="32"/>
          <w:highlight w:val="none"/>
        </w:rPr>
      </w:pPr>
      <w:r>
        <w:rPr>
          <w:rFonts w:hint="eastAsia" w:ascii="宋体" w:hAnsi="宋体" w:cs="宋体"/>
          <w:color w:val="auto"/>
          <w:kern w:val="0"/>
          <w:sz w:val="28"/>
          <w:szCs w:val="28"/>
          <w:highlight w:val="none"/>
        </w:rPr>
        <w:t> </w:t>
      </w:r>
    </w:p>
    <w:p>
      <w:pPr>
        <w:widowControl/>
        <w:spacing w:before="100" w:beforeAutospacing="1" w:after="100" w:afterAutospacing="1" w:line="495" w:lineRule="atLeast"/>
        <w:jc w:val="left"/>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 </w:t>
      </w:r>
    </w:p>
    <w:p>
      <w:pPr>
        <w:widowControl/>
        <w:spacing w:before="100" w:beforeAutospacing="1" w:after="100" w:afterAutospacing="1" w:line="495" w:lineRule="atLeast"/>
        <w:jc w:val="left"/>
        <w:rPr>
          <w:rFonts w:hint="eastAsia" w:ascii="宋体" w:hAnsi="宋体" w:cs="宋体"/>
          <w:color w:val="auto"/>
          <w:kern w:val="0"/>
          <w:sz w:val="32"/>
          <w:szCs w:val="32"/>
          <w:highlight w:val="none"/>
        </w:rPr>
      </w:pPr>
    </w:p>
    <w:p>
      <w:pPr>
        <w:widowControl/>
        <w:spacing w:line="495" w:lineRule="atLeast"/>
        <w:rPr>
          <w:rFonts w:hint="eastAsia" w:ascii="宋体" w:hAnsi="宋体" w:cs="宋体"/>
          <w:color w:val="auto"/>
          <w:kern w:val="0"/>
          <w:sz w:val="32"/>
          <w:szCs w:val="32"/>
          <w:highlight w:val="none"/>
        </w:rPr>
      </w:pPr>
      <w:r>
        <w:rPr>
          <w:rFonts w:hint="eastAsia" w:ascii="宋体" w:hAnsi="宋体" w:cs="宋体"/>
          <w:color w:val="auto"/>
          <w:kern w:val="0"/>
          <w:sz w:val="28"/>
          <w:szCs w:val="28"/>
          <w:highlight w:val="none"/>
        </w:rPr>
        <w:t>投标人：</w:t>
      </w:r>
      <w:r>
        <w:rPr>
          <w:rFonts w:hint="eastAsia" w:ascii="宋体" w:hAnsi="宋体" w:cs="宋体"/>
          <w:color w:val="auto"/>
          <w:kern w:val="0"/>
          <w:sz w:val="32"/>
          <w:szCs w:val="32"/>
          <w:highlight w:val="none"/>
          <w:u w:val="single"/>
        </w:rPr>
        <w:t xml:space="preserve">                       </w:t>
      </w:r>
      <w:r>
        <w:rPr>
          <w:rFonts w:hint="eastAsia" w:ascii="宋体" w:hAnsi="宋体" w:cs="宋体"/>
          <w:color w:val="auto"/>
          <w:kern w:val="0"/>
          <w:sz w:val="28"/>
          <w:szCs w:val="28"/>
          <w:highlight w:val="none"/>
        </w:rPr>
        <w:t>（盖单位公章）</w:t>
      </w:r>
    </w:p>
    <w:p>
      <w:pPr>
        <w:widowControl/>
        <w:spacing w:line="495" w:lineRule="atLeast"/>
        <w:ind w:firstLine="640" w:firstLineChars="200"/>
        <w:rPr>
          <w:rFonts w:hint="eastAsia" w:ascii="宋体" w:hAnsi="宋体" w:cs="宋体"/>
          <w:color w:val="auto"/>
          <w:kern w:val="0"/>
          <w:sz w:val="32"/>
          <w:szCs w:val="32"/>
          <w:highlight w:val="none"/>
        </w:rPr>
      </w:pPr>
      <w:r>
        <w:rPr>
          <w:rFonts w:hint="eastAsia" w:ascii="宋体" w:hAnsi="宋体" w:cs="宋体"/>
          <w:color w:val="auto"/>
          <w:kern w:val="0"/>
          <w:sz w:val="32"/>
          <w:szCs w:val="32"/>
          <w:highlight w:val="none"/>
        </w:rPr>
        <w:t> </w:t>
      </w:r>
    </w:p>
    <w:p>
      <w:pPr>
        <w:widowControl/>
        <w:spacing w:line="495" w:lineRule="atLeast"/>
        <w:rPr>
          <w:rFonts w:hint="eastAsia" w:ascii="宋体" w:hAnsi="宋体" w:cs="宋体"/>
          <w:color w:val="auto"/>
          <w:kern w:val="0"/>
          <w:sz w:val="32"/>
          <w:szCs w:val="32"/>
          <w:highlight w:val="none"/>
        </w:rPr>
      </w:pPr>
      <w:r>
        <w:rPr>
          <w:rFonts w:hint="eastAsia" w:ascii="宋体" w:hAnsi="宋体" w:cs="宋体"/>
          <w:color w:val="auto"/>
          <w:sz w:val="28"/>
          <w:szCs w:val="28"/>
          <w:highlight w:val="none"/>
        </w:rPr>
        <w:t>法定代表人（分支机构负责人）或其委托代理人：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（签字或印章）</w:t>
      </w:r>
    </w:p>
    <w:p>
      <w:pPr>
        <w:widowControl/>
        <w:spacing w:line="495" w:lineRule="atLeast"/>
        <w:ind w:firstLine="640" w:firstLineChars="200"/>
        <w:rPr>
          <w:rFonts w:hint="eastAsia" w:ascii="宋体" w:hAnsi="宋体" w:cs="宋体"/>
          <w:color w:val="auto"/>
          <w:kern w:val="0"/>
          <w:sz w:val="32"/>
          <w:szCs w:val="32"/>
          <w:highlight w:val="none"/>
        </w:rPr>
      </w:pPr>
      <w:r>
        <w:rPr>
          <w:rFonts w:hint="eastAsia" w:ascii="宋体" w:hAnsi="宋体" w:cs="宋体"/>
          <w:color w:val="auto"/>
          <w:kern w:val="0"/>
          <w:sz w:val="32"/>
          <w:szCs w:val="32"/>
          <w:highlight w:val="none"/>
        </w:rPr>
        <w:t> </w:t>
      </w:r>
    </w:p>
    <w:p>
      <w:pPr>
        <w:widowControl/>
        <w:spacing w:line="495" w:lineRule="atLeast"/>
        <w:rPr>
          <w:rFonts w:hint="eastAsia" w:ascii="宋体" w:hAnsi="宋体" w:cs="宋体"/>
          <w:color w:val="auto"/>
          <w:kern w:val="0"/>
          <w:sz w:val="32"/>
          <w:szCs w:val="32"/>
          <w:highlight w:val="none"/>
          <w:u w:val="single"/>
        </w:rPr>
      </w:pPr>
      <w:r>
        <w:rPr>
          <w:rFonts w:hint="eastAsia" w:ascii="宋体" w:hAnsi="宋体" w:cs="宋体"/>
          <w:color w:val="auto"/>
          <w:sz w:val="28"/>
          <w:szCs w:val="28"/>
          <w:highlight w:val="none"/>
        </w:rPr>
        <w:t>日   期：</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rPr>
          <w:rFonts w:hint="eastAsia" w:hAnsi="宋体"/>
          <w:b/>
          <w:color w:val="auto"/>
          <w:sz w:val="36"/>
          <w:szCs w:val="36"/>
          <w:highlight w:val="none"/>
        </w:rPr>
      </w:pPr>
      <w:r>
        <w:rPr>
          <w:rFonts w:hint="eastAsia" w:hAnsi="宋体"/>
          <w:b/>
          <w:color w:val="auto"/>
          <w:sz w:val="36"/>
          <w:szCs w:val="36"/>
          <w:highlight w:val="none"/>
        </w:rPr>
        <w:br w:type="page"/>
      </w:r>
    </w:p>
    <w:p>
      <w:pPr>
        <w:pStyle w:val="9"/>
        <w:spacing w:line="360" w:lineRule="auto"/>
        <w:ind w:firstLine="0"/>
        <w:jc w:val="center"/>
        <w:outlineLvl w:val="1"/>
        <w:rPr>
          <w:rFonts w:hint="eastAsia" w:hAnsi="宋体"/>
          <w:b/>
          <w:color w:val="auto"/>
          <w:sz w:val="36"/>
          <w:szCs w:val="36"/>
          <w:highlight w:val="none"/>
        </w:rPr>
      </w:pPr>
    </w:p>
    <w:p>
      <w:pPr>
        <w:pStyle w:val="9"/>
        <w:spacing w:line="360" w:lineRule="auto"/>
        <w:ind w:firstLine="0"/>
        <w:jc w:val="center"/>
        <w:outlineLvl w:val="1"/>
        <w:rPr>
          <w:b/>
          <w:color w:val="auto"/>
          <w:sz w:val="36"/>
          <w:szCs w:val="36"/>
          <w:highlight w:val="none"/>
        </w:rPr>
      </w:pPr>
      <w:r>
        <w:rPr>
          <w:rFonts w:hint="eastAsia" w:hAnsi="宋体"/>
          <w:b/>
          <w:color w:val="auto"/>
          <w:sz w:val="36"/>
          <w:szCs w:val="36"/>
          <w:highlight w:val="none"/>
        </w:rPr>
        <w:t>一、</w:t>
      </w:r>
      <w:r>
        <w:rPr>
          <w:rFonts w:hAnsi="宋体"/>
          <w:b/>
          <w:color w:val="auto"/>
          <w:sz w:val="36"/>
          <w:szCs w:val="36"/>
          <w:highlight w:val="none"/>
        </w:rPr>
        <w:t>投标函</w:t>
      </w:r>
    </w:p>
    <w:p>
      <w:pPr>
        <w:pStyle w:val="9"/>
        <w:spacing w:line="360" w:lineRule="auto"/>
        <w:ind w:firstLine="0"/>
        <w:rPr>
          <w:color w:val="auto"/>
          <w:sz w:val="25"/>
          <w:highlight w:val="none"/>
          <w:u w:val="single"/>
        </w:rPr>
      </w:pPr>
    </w:p>
    <w:p>
      <w:pPr>
        <w:pStyle w:val="9"/>
        <w:keepNext w:val="0"/>
        <w:keepLines w:val="0"/>
        <w:pageBreakBefore w:val="0"/>
        <w:kinsoku/>
        <w:wordWrap/>
        <w:overflowPunct/>
        <w:topLinePunct w:val="0"/>
        <w:autoSpaceDE/>
        <w:autoSpaceDN/>
        <w:bidi w:val="0"/>
        <w:snapToGrid/>
        <w:spacing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（招标人）      </w:t>
      </w:r>
      <w:r>
        <w:rPr>
          <w:rFonts w:hint="eastAsia" w:ascii="宋体" w:hAnsi="宋体" w:eastAsia="宋体" w:cs="宋体"/>
          <w:color w:val="auto"/>
          <w:sz w:val="21"/>
          <w:szCs w:val="21"/>
          <w:highlight w:val="none"/>
        </w:rPr>
        <w:t>：</w:t>
      </w:r>
    </w:p>
    <w:p>
      <w:pPr>
        <w:pStyle w:val="20"/>
        <w:keepNext w:val="0"/>
        <w:keepLines w:val="0"/>
        <w:pageBreakBefore w:val="0"/>
        <w:numPr>
          <w:ilvl w:val="0"/>
          <w:numId w:val="0"/>
        </w:numPr>
        <w:kinsoku/>
        <w:wordWrap/>
        <w:overflowPunct/>
        <w:topLinePunct w:val="0"/>
        <w:autoSpaceDE/>
        <w:autoSpaceDN/>
        <w:bidi w:val="0"/>
        <w:snapToGrid/>
        <w:spacing w:after="0" w:line="360" w:lineRule="auto"/>
        <w:ind w:firstLine="420"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rPr>
        <w:t>（一） 根据已收到的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（工程名称）的招标文件，我方经仔细研究招标文件全部内容并对现场进行踏勘后，愿遵守《中华人民共和国招标投标法》等有关法律文件的规定，并愿以</w:t>
      </w:r>
      <w:r>
        <w:rPr>
          <w:rFonts w:hint="eastAsia" w:ascii="宋体" w:hAnsi="宋体" w:eastAsia="宋体" w:cs="宋体"/>
          <w:b/>
          <w:bCs/>
          <w:color w:val="auto"/>
          <w:sz w:val="21"/>
          <w:szCs w:val="21"/>
          <w:highlight w:val="none"/>
          <w:u w:val="single"/>
        </w:rPr>
        <w:t>（大写）：</w:t>
      </w:r>
      <w:r>
        <w:rPr>
          <w:rFonts w:hint="eastAsia" w:ascii="宋体" w:hAnsi="宋体" w:eastAsia="宋体" w:cs="宋体"/>
          <w:b/>
          <w:bCs/>
          <w:color w:val="auto"/>
          <w:sz w:val="21"/>
          <w:szCs w:val="21"/>
          <w:highlight w:val="none"/>
          <w:u w:val="single"/>
          <w:lang w:eastAsia="zh-CN"/>
        </w:rPr>
        <w:t>佰分之</w:t>
      </w:r>
      <w:r>
        <w:rPr>
          <w:rStyle w:val="32"/>
          <w:rFonts w:hint="eastAsia" w:ascii="宋体" w:hAnsi="宋体" w:eastAsia="宋体" w:cs="宋体"/>
          <w:b/>
          <w:bCs/>
          <w:color w:val="auto"/>
          <w:sz w:val="21"/>
          <w:szCs w:val="21"/>
          <w:highlight w:val="none"/>
          <w:u w:val="single"/>
          <w:shd w:val="clear" w:color="auto" w:fill="FFFFFF"/>
        </w:rPr>
        <w:object>
          <v:shape id="_x0000_i1025" o:spt="201" type="#_x0000_t201" style="height:18pt;width:54pt;" o:ole="t" filled="f" o:preferrelative="t" stroked="f" coordsize="21600,21600">
            <v:path/>
            <v:fill on="f" focussize="0,0"/>
            <v:stroke on="f"/>
            <v:imagedata r:id="rId7" o:title=""/>
            <o:lock v:ext="edit" aspectratio="t"/>
            <w10:wrap type="none"/>
            <w10:anchorlock/>
          </v:shape>
          <w:control r:id="rId6" w:name="HTMLText1" w:shapeid="_x0000_i1025"/>
        </w:object>
      </w:r>
      <w:r>
        <w:rPr>
          <w:rFonts w:hint="eastAsia" w:ascii="宋体" w:hAnsi="宋体" w:eastAsia="宋体" w:cs="宋体"/>
          <w:b/>
          <w:bCs/>
          <w:color w:val="auto"/>
          <w:sz w:val="21"/>
          <w:szCs w:val="21"/>
          <w:highlight w:val="none"/>
          <w:u w:val="single"/>
          <w:shd w:val="clear" w:color="auto" w:fill="FFFFFF"/>
        </w:rPr>
        <w:t xml:space="preserve"> </w:t>
      </w:r>
      <w:r>
        <w:rPr>
          <w:rFonts w:hint="eastAsia" w:ascii="宋体" w:hAnsi="宋体" w:eastAsia="宋体" w:cs="宋体"/>
          <w:b/>
          <w:bCs/>
          <w:color w:val="auto"/>
          <w:sz w:val="21"/>
          <w:szCs w:val="21"/>
          <w:highlight w:val="none"/>
          <w:u w:val="single"/>
        </w:rPr>
        <w:t>（</w:t>
      </w:r>
      <w:r>
        <w:rPr>
          <w:rStyle w:val="32"/>
          <w:rFonts w:hint="eastAsia" w:ascii="宋体" w:hAnsi="宋体" w:eastAsia="宋体" w:cs="宋体"/>
          <w:b/>
          <w:bCs/>
          <w:color w:val="auto"/>
          <w:sz w:val="21"/>
          <w:szCs w:val="21"/>
          <w:highlight w:val="none"/>
          <w:u w:val="single"/>
          <w:shd w:val="clear" w:color="auto" w:fill="FFFFFF"/>
        </w:rPr>
        <w:object>
          <v:shape id="_x0000_i1026" o:spt="201" type="#_x0000_t201" style="height:18pt;width:54pt;" o:ole="t" filled="f" o:preferrelative="t" stroked="f" coordsize="21600,21600">
            <v:path/>
            <v:fill on="f" focussize="0,0"/>
            <v:stroke on="f"/>
            <v:imagedata r:id="rId7" o:title=""/>
            <o:lock v:ext="edit" aspectratio="t"/>
            <w10:wrap type="none"/>
            <w10:anchorlock/>
          </v:shape>
          <w:control r:id="rId8" w:name="HTMLText2" w:shapeid="_x0000_i1026"/>
        </w:object>
      </w:r>
      <w:r>
        <w:rPr>
          <w:rFonts w:hint="eastAsia" w:ascii="宋体" w:hAnsi="宋体" w:eastAsia="宋体" w:cs="宋体"/>
          <w:b/>
          <w:bCs/>
          <w:color w:val="auto"/>
          <w:sz w:val="21"/>
          <w:szCs w:val="21"/>
          <w:highlight w:val="none"/>
          <w:u w:val="single"/>
          <w:shd w:val="clear" w:color="auto" w:fill="FFFFFF"/>
        </w:rPr>
        <w:t xml:space="preserve"> </w:t>
      </w:r>
      <w:r>
        <w:rPr>
          <w:rFonts w:hint="eastAsia" w:ascii="宋体" w:hAnsi="宋体" w:eastAsia="宋体" w:cs="宋体"/>
          <w:b/>
          <w:bCs/>
          <w:color w:val="auto"/>
          <w:sz w:val="21"/>
          <w:szCs w:val="21"/>
          <w:highlight w:val="none"/>
          <w:u w:val="single"/>
          <w:shd w:val="clear" w:color="auto" w:fill="FFFFFF"/>
          <w:lang w:val="en-US" w:eastAsia="zh-CN"/>
        </w:rPr>
        <w:t>%</w:t>
      </w:r>
      <w:r>
        <w:rPr>
          <w:rFonts w:hint="eastAsia" w:ascii="宋体" w:hAnsi="宋体" w:eastAsia="宋体" w:cs="宋体"/>
          <w:b/>
          <w:bCs/>
          <w:color w:val="auto"/>
          <w:sz w:val="21"/>
          <w:szCs w:val="21"/>
          <w:highlight w:val="none"/>
          <w:u w:val="single"/>
        </w:rPr>
        <w:t>）</w:t>
      </w:r>
      <w:r>
        <w:rPr>
          <w:rFonts w:hint="eastAsia" w:ascii="宋体" w:hAnsi="宋体" w:eastAsia="宋体" w:cs="宋体"/>
          <w:color w:val="auto"/>
          <w:sz w:val="21"/>
          <w:szCs w:val="21"/>
          <w:highlight w:val="none"/>
        </w:rPr>
        <w:t>的价格，按招标文件的要求承包本次招标范围内的全部工程，修补工程中的任何缺陷。</w:t>
      </w:r>
      <w:r>
        <w:rPr>
          <w:rFonts w:hint="eastAsia" w:ascii="宋体" w:hAnsi="宋体" w:eastAsia="宋体" w:cs="宋体"/>
          <w:b/>
          <w:bCs/>
          <w:color w:val="auto"/>
          <w:sz w:val="21"/>
          <w:szCs w:val="21"/>
          <w:highlight w:val="none"/>
        </w:rPr>
        <w:t>本工程采用下浮率招标，且至多保留2位小数。如投标人投标报价为7.678%，则按四舍五入法调整为7.68%。</w:t>
      </w:r>
    </w:p>
    <w:p>
      <w:pPr>
        <w:keepNext w:val="0"/>
        <w:keepLines w:val="0"/>
        <w:pageBreakBefore w:val="0"/>
        <w:kinsoku/>
        <w:wordWrap/>
        <w:overflowPunct/>
        <w:topLinePunct w:val="0"/>
        <w:autoSpaceDE/>
        <w:autoSpaceDN/>
        <w:bidi w:val="0"/>
        <w:snapToGrid/>
        <w:spacing w:line="360" w:lineRule="auto"/>
        <w:ind w:firstLine="45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(二)我方保证在收到贵单位发出的书面开工令后立即开工，并保证在设计工期</w:t>
      </w:r>
      <w:r>
        <w:rPr>
          <w:rFonts w:hint="eastAsia" w:ascii="宋体" w:hAnsi="宋体" w:eastAsia="宋体" w:cs="宋体"/>
          <w:b/>
          <w:color w:val="auto"/>
          <w:sz w:val="21"/>
          <w:szCs w:val="21"/>
          <w:highlight w:val="none"/>
          <w:u w:val="single"/>
        </w:rPr>
        <w:t xml:space="preserve">    </w:t>
      </w:r>
      <w:r>
        <w:rPr>
          <w:rFonts w:hint="eastAsia" w:ascii="宋体" w:hAnsi="宋体" w:eastAsia="宋体" w:cs="宋体"/>
          <w:color w:val="auto"/>
          <w:sz w:val="21"/>
          <w:szCs w:val="21"/>
          <w:highlight w:val="none"/>
        </w:rPr>
        <w:t>日历天、施工工期</w:t>
      </w:r>
      <w:r>
        <w:rPr>
          <w:rFonts w:hint="eastAsia" w:ascii="宋体" w:hAnsi="宋体" w:eastAsia="宋体" w:cs="宋体"/>
          <w:b/>
          <w:color w:val="auto"/>
          <w:sz w:val="21"/>
          <w:szCs w:val="21"/>
          <w:highlight w:val="none"/>
          <w:u w:val="single"/>
        </w:rPr>
        <w:t xml:space="preserve">    </w:t>
      </w:r>
      <w:r>
        <w:rPr>
          <w:rFonts w:hint="eastAsia" w:ascii="宋体" w:hAnsi="宋体" w:eastAsia="宋体" w:cs="宋体"/>
          <w:color w:val="auto"/>
          <w:sz w:val="21"/>
          <w:szCs w:val="21"/>
          <w:highlight w:val="none"/>
        </w:rPr>
        <w:t>日历天内完成所有施工、安装调试完毕，并取得南通市通信行业协会颁发的验收证书，具体开工时间以招标人或监理单位发出的开工令为准。</w:t>
      </w:r>
    </w:p>
    <w:p>
      <w:pPr>
        <w:keepNext w:val="0"/>
        <w:keepLines w:val="0"/>
        <w:pageBreakBefore w:val="0"/>
        <w:widowControl/>
        <w:kinsoku/>
        <w:wordWrap/>
        <w:overflowPunct/>
        <w:topLinePunct w:val="0"/>
        <w:autoSpaceDE/>
        <w:autoSpaceDN/>
        <w:bidi w:val="0"/>
        <w:snapToGrid/>
        <w:spacing w:line="360" w:lineRule="auto"/>
        <w:ind w:firstLine="4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(三)我方保证本工程质量达到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pStyle w:val="9"/>
        <w:keepNext w:val="0"/>
        <w:keepLines w:val="0"/>
        <w:pageBreakBefore w:val="0"/>
        <w:widowControl/>
        <w:kinsoku/>
        <w:wordWrap/>
        <w:overflowPunct/>
        <w:topLinePunct w:val="0"/>
        <w:autoSpaceDE/>
        <w:autoSpaceDN/>
        <w:bidi w:val="0"/>
        <w:adjustRightInd/>
        <w:snapToGrid/>
        <w:spacing w:line="360" w:lineRule="auto"/>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(四)我方金额为人民币（大写）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[¥(小写)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元］的投标保证金已按招标文件要求提交。</w:t>
      </w:r>
    </w:p>
    <w:p>
      <w:pPr>
        <w:pStyle w:val="9"/>
        <w:keepNext w:val="0"/>
        <w:keepLines w:val="0"/>
        <w:pageBreakBefore w:val="0"/>
        <w:widowControl/>
        <w:kinsoku/>
        <w:wordWrap/>
        <w:overflowPunct/>
        <w:topLinePunct w:val="0"/>
        <w:autoSpaceDE/>
        <w:autoSpaceDN/>
        <w:bidi w:val="0"/>
        <w:adjustRightInd/>
        <w:snapToGrid/>
        <w:spacing w:line="360" w:lineRule="auto"/>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(五)如果我方中标，我方承诺在收到中标通知书后，在中标通知书规定的期限内与贵方签订合同，并将按照招标文件规定的时间、数额提交履约保证金。</w:t>
      </w:r>
    </w:p>
    <w:p>
      <w:pPr>
        <w:pStyle w:val="9"/>
        <w:keepNext w:val="0"/>
        <w:keepLines w:val="0"/>
        <w:pageBreakBefore w:val="0"/>
        <w:kinsoku/>
        <w:wordWrap/>
        <w:overflowPunct/>
        <w:topLinePunct w:val="0"/>
        <w:autoSpaceDE/>
        <w:autoSpaceDN/>
        <w:bidi w:val="0"/>
        <w:snapToGrid/>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(六)贵单位的招标文件、中标通知书和本投标文件将构成约束我们双方的合同。</w:t>
      </w:r>
    </w:p>
    <w:p>
      <w:pPr>
        <w:pStyle w:val="9"/>
        <w:keepNext w:val="0"/>
        <w:keepLines w:val="0"/>
        <w:pageBreakBefore w:val="0"/>
        <w:kinsoku/>
        <w:wordWrap/>
        <w:overflowPunct/>
        <w:topLinePunct w:val="0"/>
        <w:autoSpaceDE/>
        <w:autoSpaceDN/>
        <w:bidi w:val="0"/>
        <w:snapToGrid/>
        <w:spacing w:line="360" w:lineRule="auto"/>
        <w:ind w:firstLine="0"/>
        <w:rPr>
          <w:rFonts w:hint="eastAsia" w:ascii="宋体" w:hAnsi="宋体" w:eastAsia="宋体" w:cs="宋体"/>
          <w:color w:val="auto"/>
          <w:sz w:val="21"/>
          <w:szCs w:val="21"/>
          <w:highlight w:val="none"/>
        </w:rPr>
      </w:pPr>
    </w:p>
    <w:p>
      <w:pPr>
        <w:pStyle w:val="9"/>
        <w:spacing w:line="360" w:lineRule="auto"/>
        <w:ind w:firstLine="0"/>
        <w:rPr>
          <w:rFonts w:hint="eastAsia" w:ascii="宋体" w:hAnsi="宋体" w:cs="宋体"/>
          <w:color w:val="auto"/>
          <w:sz w:val="21"/>
          <w:szCs w:val="21"/>
          <w:highlight w:val="none"/>
        </w:rPr>
      </w:pPr>
    </w:p>
    <w:p>
      <w:pPr>
        <w:pStyle w:val="9"/>
        <w:spacing w:line="360" w:lineRule="auto"/>
        <w:ind w:firstLine="0"/>
        <w:rPr>
          <w:rFonts w:hint="eastAsia" w:ascii="宋体" w:hAnsi="宋体" w:cs="宋体"/>
          <w:color w:val="auto"/>
          <w:sz w:val="21"/>
          <w:szCs w:val="21"/>
          <w:highlight w:val="none"/>
        </w:rPr>
      </w:pPr>
    </w:p>
    <w:p>
      <w:pPr>
        <w:pStyle w:val="9"/>
        <w:spacing w:line="360" w:lineRule="auto"/>
        <w:ind w:firstLine="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投标人(盖法人章)：</w:t>
      </w:r>
      <w:r>
        <w:rPr>
          <w:rFonts w:hint="eastAsia" w:ascii="宋体" w:hAnsi="宋体" w:cs="宋体"/>
          <w:color w:val="auto"/>
          <w:sz w:val="21"/>
          <w:szCs w:val="21"/>
          <w:highlight w:val="none"/>
          <w:u w:val="single"/>
        </w:rPr>
        <w:t xml:space="preserve">                               </w:t>
      </w:r>
    </w:p>
    <w:p>
      <w:pPr>
        <w:pStyle w:val="9"/>
        <w:spacing w:line="360" w:lineRule="auto"/>
        <w:ind w:firstLine="0"/>
        <w:rPr>
          <w:rFonts w:hint="eastAsia" w:ascii="宋体" w:hAnsi="宋体" w:cs="宋体"/>
          <w:color w:val="auto"/>
          <w:sz w:val="21"/>
          <w:szCs w:val="21"/>
          <w:highlight w:val="none"/>
        </w:rPr>
      </w:pPr>
    </w:p>
    <w:p>
      <w:pPr>
        <w:pStyle w:val="9"/>
        <w:spacing w:line="360" w:lineRule="auto"/>
        <w:ind w:firstLine="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法定代表人或委托代理人(签字或盖章)：</w:t>
      </w:r>
      <w:r>
        <w:rPr>
          <w:rFonts w:hint="eastAsia" w:ascii="宋体" w:hAnsi="宋体" w:cs="宋体"/>
          <w:color w:val="auto"/>
          <w:sz w:val="21"/>
          <w:szCs w:val="21"/>
          <w:highlight w:val="none"/>
          <w:u w:val="single"/>
        </w:rPr>
        <w:t xml:space="preserve">                        </w:t>
      </w:r>
    </w:p>
    <w:p>
      <w:pPr>
        <w:pStyle w:val="9"/>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w:t>
      </w:r>
    </w:p>
    <w:p>
      <w:pPr>
        <w:pStyle w:val="9"/>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日期：</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 xml:space="preserve"> </w:t>
      </w:r>
    </w:p>
    <w:p>
      <w:pPr>
        <w:pStyle w:val="9"/>
        <w:spacing w:line="360" w:lineRule="auto"/>
        <w:ind w:firstLine="0"/>
        <w:rPr>
          <w:rFonts w:hint="eastAsia" w:ascii="宋体" w:hAnsi="宋体"/>
          <w:color w:val="auto"/>
          <w:sz w:val="21"/>
          <w:szCs w:val="21"/>
          <w:highlight w:val="none"/>
        </w:rPr>
      </w:pPr>
    </w:p>
    <w:p>
      <w:pPr>
        <w:pStyle w:val="26"/>
        <w:spacing w:line="420" w:lineRule="atLeast"/>
        <w:rPr>
          <w:rFonts w:hint="eastAsia" w:ascii="宋体" w:hAnsi="宋体"/>
          <w:color w:val="auto"/>
          <w:sz w:val="32"/>
          <w:highlight w:val="none"/>
        </w:rPr>
      </w:pPr>
    </w:p>
    <w:p>
      <w:pPr>
        <w:pStyle w:val="9"/>
        <w:spacing w:line="360" w:lineRule="auto"/>
        <w:ind w:firstLine="0"/>
        <w:rPr>
          <w:rFonts w:hint="eastAsia" w:ascii="宋体" w:hAnsi="宋体"/>
          <w:b/>
          <w:color w:val="auto"/>
          <w:highlight w:val="none"/>
        </w:rPr>
      </w:pPr>
      <w:r>
        <w:rPr>
          <w:color w:val="auto"/>
          <w:sz w:val="32"/>
          <w:highlight w:val="none"/>
        </w:rPr>
        <w:br w:type="page"/>
      </w:r>
      <w:bookmarkStart w:id="46" w:name="_Toc286661179"/>
    </w:p>
    <w:bookmarkEnd w:id="46"/>
    <w:p>
      <w:pPr>
        <w:jc w:val="center"/>
        <w:rPr>
          <w:rFonts w:hint="eastAsia" w:hAnsi="宋体"/>
          <w:b/>
          <w:bCs/>
          <w:color w:val="auto"/>
          <w:sz w:val="32"/>
          <w:szCs w:val="32"/>
          <w:highlight w:val="none"/>
        </w:rPr>
      </w:pPr>
      <w:r>
        <w:rPr>
          <w:rFonts w:hint="eastAsia" w:hAnsi="宋体"/>
          <w:b/>
          <w:bCs/>
          <w:color w:val="auto"/>
          <w:sz w:val="32"/>
          <w:szCs w:val="32"/>
          <w:highlight w:val="none"/>
        </w:rPr>
        <w:t>二、计划投入的主要施工机械设备表</w:t>
      </w:r>
    </w:p>
    <w:tbl>
      <w:tblPr>
        <w:tblStyle w:val="21"/>
        <w:tblpPr w:leftFromText="180" w:rightFromText="180" w:vertAnchor="text" w:horzAnchor="page" w:tblpX="1348" w:tblpY="471"/>
        <w:tblOverlap w:val="never"/>
        <w:tblW w:w="94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pPr>
              <w:pStyle w:val="9"/>
              <w:spacing w:line="360" w:lineRule="auto"/>
              <w:ind w:firstLine="0"/>
              <w:jc w:val="center"/>
              <w:rPr>
                <w:rFonts w:hint="eastAsia" w:ascii="宋体" w:hAnsi="宋体"/>
                <w:color w:val="auto"/>
                <w:position w:val="-32"/>
                <w:sz w:val="23"/>
                <w:highlight w:val="none"/>
              </w:rPr>
            </w:pPr>
            <w:r>
              <w:rPr>
                <w:rFonts w:hint="eastAsia" w:ascii="宋体" w:hAnsi="宋体"/>
                <w:color w:val="auto"/>
                <w:position w:val="-32"/>
                <w:sz w:val="23"/>
                <w:highlight w:val="none"/>
              </w:rPr>
              <w:t>序号</w:t>
            </w:r>
          </w:p>
        </w:tc>
        <w:tc>
          <w:tcPr>
            <w:tcW w:w="2300" w:type="dxa"/>
          </w:tcPr>
          <w:p>
            <w:pPr>
              <w:pStyle w:val="9"/>
              <w:spacing w:line="360" w:lineRule="auto"/>
              <w:ind w:firstLine="0"/>
              <w:jc w:val="center"/>
              <w:rPr>
                <w:rFonts w:hint="eastAsia" w:ascii="宋体" w:hAnsi="宋体"/>
                <w:color w:val="auto"/>
                <w:position w:val="-50"/>
                <w:sz w:val="23"/>
                <w:highlight w:val="none"/>
              </w:rPr>
            </w:pPr>
            <w:r>
              <w:rPr>
                <w:rFonts w:hint="eastAsia" w:ascii="宋体" w:hAnsi="宋体"/>
                <w:color w:val="auto"/>
                <w:position w:val="-50"/>
                <w:sz w:val="23"/>
                <w:highlight w:val="none"/>
              </w:rPr>
              <w:t>机械设备名称</w:t>
            </w:r>
          </w:p>
        </w:tc>
        <w:tc>
          <w:tcPr>
            <w:tcW w:w="700" w:type="dxa"/>
          </w:tcPr>
          <w:p>
            <w:pPr>
              <w:pStyle w:val="9"/>
              <w:spacing w:line="360" w:lineRule="auto"/>
              <w:ind w:firstLine="0"/>
              <w:jc w:val="center"/>
              <w:rPr>
                <w:rFonts w:hint="eastAsia" w:ascii="宋体" w:hAnsi="宋体"/>
                <w:color w:val="auto"/>
                <w:position w:val="-30"/>
                <w:sz w:val="23"/>
                <w:highlight w:val="none"/>
              </w:rPr>
            </w:pPr>
            <w:r>
              <w:rPr>
                <w:rFonts w:hint="eastAsia" w:ascii="宋体" w:hAnsi="宋体"/>
                <w:color w:val="auto"/>
                <w:position w:val="-30"/>
                <w:sz w:val="23"/>
                <w:highlight w:val="none"/>
              </w:rPr>
              <w:t>型号规格</w:t>
            </w:r>
          </w:p>
        </w:tc>
        <w:tc>
          <w:tcPr>
            <w:tcW w:w="700" w:type="dxa"/>
          </w:tcPr>
          <w:p>
            <w:pPr>
              <w:pStyle w:val="9"/>
              <w:spacing w:line="360" w:lineRule="auto"/>
              <w:ind w:firstLine="0"/>
              <w:jc w:val="center"/>
              <w:rPr>
                <w:rFonts w:hint="eastAsia" w:ascii="宋体" w:hAnsi="宋体"/>
                <w:color w:val="auto"/>
                <w:position w:val="-50"/>
                <w:sz w:val="23"/>
                <w:highlight w:val="none"/>
              </w:rPr>
            </w:pPr>
            <w:r>
              <w:rPr>
                <w:rFonts w:hint="eastAsia" w:ascii="宋体" w:hAnsi="宋体"/>
                <w:color w:val="auto"/>
                <w:position w:val="-50"/>
                <w:sz w:val="23"/>
                <w:highlight w:val="none"/>
              </w:rPr>
              <w:t>数量</w:t>
            </w:r>
          </w:p>
        </w:tc>
        <w:tc>
          <w:tcPr>
            <w:tcW w:w="900" w:type="dxa"/>
          </w:tcPr>
          <w:p>
            <w:pPr>
              <w:pStyle w:val="9"/>
              <w:spacing w:line="360" w:lineRule="auto"/>
              <w:ind w:firstLine="0"/>
              <w:jc w:val="center"/>
              <w:rPr>
                <w:rFonts w:hint="eastAsia" w:ascii="宋体" w:hAnsi="宋体"/>
                <w:color w:val="auto"/>
                <w:position w:val="-30"/>
                <w:sz w:val="23"/>
                <w:highlight w:val="none"/>
              </w:rPr>
            </w:pPr>
            <w:r>
              <w:rPr>
                <w:rFonts w:hint="eastAsia" w:ascii="宋体" w:hAnsi="宋体"/>
                <w:color w:val="auto"/>
                <w:position w:val="-30"/>
                <w:sz w:val="23"/>
                <w:highlight w:val="none"/>
              </w:rPr>
              <w:t>国 别</w:t>
            </w:r>
          </w:p>
          <w:p>
            <w:pPr>
              <w:pStyle w:val="9"/>
              <w:spacing w:line="360" w:lineRule="auto"/>
              <w:ind w:firstLine="0"/>
              <w:jc w:val="center"/>
              <w:rPr>
                <w:rFonts w:hint="eastAsia" w:ascii="宋体" w:hAnsi="宋体"/>
                <w:color w:val="auto"/>
                <w:position w:val="-30"/>
                <w:sz w:val="23"/>
                <w:highlight w:val="none"/>
              </w:rPr>
            </w:pPr>
            <w:r>
              <w:rPr>
                <w:rFonts w:hint="eastAsia" w:ascii="宋体" w:hAnsi="宋体"/>
                <w:color w:val="auto"/>
                <w:position w:val="-30"/>
                <w:sz w:val="23"/>
                <w:highlight w:val="none"/>
              </w:rPr>
              <w:t>产 地</w:t>
            </w:r>
          </w:p>
        </w:tc>
        <w:tc>
          <w:tcPr>
            <w:tcW w:w="900" w:type="dxa"/>
          </w:tcPr>
          <w:p>
            <w:pPr>
              <w:pStyle w:val="9"/>
              <w:spacing w:line="360" w:lineRule="auto"/>
              <w:ind w:firstLine="0"/>
              <w:jc w:val="center"/>
              <w:rPr>
                <w:rFonts w:hint="eastAsia" w:ascii="宋体" w:hAnsi="宋体"/>
                <w:color w:val="auto"/>
                <w:position w:val="-30"/>
                <w:sz w:val="23"/>
                <w:highlight w:val="none"/>
              </w:rPr>
            </w:pPr>
            <w:r>
              <w:rPr>
                <w:rFonts w:hint="eastAsia" w:ascii="宋体" w:hAnsi="宋体"/>
                <w:color w:val="auto"/>
                <w:position w:val="-30"/>
                <w:sz w:val="23"/>
                <w:highlight w:val="none"/>
              </w:rPr>
              <w:t>制 造</w:t>
            </w:r>
          </w:p>
          <w:p>
            <w:pPr>
              <w:pStyle w:val="9"/>
              <w:spacing w:line="360" w:lineRule="auto"/>
              <w:ind w:firstLine="0"/>
              <w:jc w:val="center"/>
              <w:rPr>
                <w:rFonts w:hint="eastAsia" w:ascii="宋体" w:hAnsi="宋体"/>
                <w:color w:val="auto"/>
                <w:position w:val="-30"/>
                <w:sz w:val="23"/>
                <w:highlight w:val="none"/>
              </w:rPr>
            </w:pPr>
            <w:r>
              <w:rPr>
                <w:rFonts w:hint="eastAsia" w:ascii="宋体" w:hAnsi="宋体"/>
                <w:color w:val="auto"/>
                <w:position w:val="-30"/>
                <w:sz w:val="23"/>
                <w:highlight w:val="none"/>
              </w:rPr>
              <w:t>年 份</w:t>
            </w:r>
          </w:p>
        </w:tc>
        <w:tc>
          <w:tcPr>
            <w:tcW w:w="1100" w:type="dxa"/>
          </w:tcPr>
          <w:p>
            <w:pPr>
              <w:pStyle w:val="9"/>
              <w:spacing w:line="360" w:lineRule="auto"/>
              <w:ind w:firstLine="0"/>
              <w:jc w:val="center"/>
              <w:rPr>
                <w:rFonts w:hint="eastAsia" w:ascii="宋体" w:hAnsi="宋体"/>
                <w:color w:val="auto"/>
                <w:position w:val="-30"/>
                <w:sz w:val="21"/>
                <w:highlight w:val="none"/>
              </w:rPr>
            </w:pPr>
            <w:r>
              <w:rPr>
                <w:rFonts w:hint="eastAsia" w:ascii="宋体" w:hAnsi="宋体"/>
                <w:color w:val="auto"/>
                <w:position w:val="-30"/>
                <w:sz w:val="21"/>
                <w:highlight w:val="none"/>
              </w:rPr>
              <w:t>额定功率(KW)</w:t>
            </w:r>
          </w:p>
        </w:tc>
        <w:tc>
          <w:tcPr>
            <w:tcW w:w="1100" w:type="dxa"/>
          </w:tcPr>
          <w:p>
            <w:pPr>
              <w:pStyle w:val="9"/>
              <w:spacing w:line="360" w:lineRule="auto"/>
              <w:ind w:firstLine="0"/>
              <w:jc w:val="center"/>
              <w:rPr>
                <w:rFonts w:hint="eastAsia" w:ascii="宋体" w:hAnsi="宋体"/>
                <w:color w:val="auto"/>
                <w:position w:val="-30"/>
                <w:sz w:val="21"/>
                <w:highlight w:val="none"/>
              </w:rPr>
            </w:pPr>
            <w:r>
              <w:rPr>
                <w:rFonts w:hint="eastAsia" w:ascii="宋体" w:hAnsi="宋体"/>
                <w:color w:val="auto"/>
                <w:position w:val="-30"/>
                <w:sz w:val="21"/>
                <w:highlight w:val="none"/>
              </w:rPr>
              <w:t>生产能力(MH)</w:t>
            </w:r>
          </w:p>
        </w:tc>
        <w:tc>
          <w:tcPr>
            <w:tcW w:w="1266" w:type="dxa"/>
          </w:tcPr>
          <w:p>
            <w:pPr>
              <w:pStyle w:val="9"/>
              <w:spacing w:line="360" w:lineRule="auto"/>
              <w:ind w:firstLine="0"/>
              <w:jc w:val="center"/>
              <w:rPr>
                <w:rFonts w:hint="eastAsia" w:ascii="宋体" w:hAnsi="宋体"/>
                <w:color w:val="auto"/>
                <w:position w:val="-50"/>
                <w:sz w:val="23"/>
                <w:highlight w:val="none"/>
              </w:rPr>
            </w:pPr>
            <w:r>
              <w:rPr>
                <w:rFonts w:hint="eastAsia" w:ascii="宋体" w:hAnsi="宋体"/>
                <w:color w:val="auto"/>
                <w:position w:val="-50"/>
                <w:sz w:val="23"/>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9"/>
              <w:spacing w:line="360" w:lineRule="auto"/>
              <w:ind w:firstLine="0"/>
              <w:rPr>
                <w:rFonts w:hint="eastAsia" w:ascii="宋体" w:hAnsi="宋体"/>
                <w:color w:val="auto"/>
                <w:sz w:val="25"/>
                <w:highlight w:val="none"/>
              </w:rPr>
            </w:pPr>
          </w:p>
        </w:tc>
        <w:tc>
          <w:tcPr>
            <w:tcW w:w="23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266" w:type="dxa"/>
          </w:tcPr>
          <w:p>
            <w:pPr>
              <w:pStyle w:val="9"/>
              <w:spacing w:line="360" w:lineRule="auto"/>
              <w:ind w:firstLine="0"/>
              <w:rPr>
                <w:rFonts w:hint="eastAsia" w:ascii="宋体" w:hAnsi="宋体"/>
                <w:color w:val="auto"/>
                <w:sz w:val="2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9"/>
              <w:spacing w:line="360" w:lineRule="auto"/>
              <w:ind w:firstLine="0"/>
              <w:rPr>
                <w:rFonts w:hint="eastAsia" w:ascii="宋体" w:hAnsi="宋体"/>
                <w:color w:val="auto"/>
                <w:sz w:val="25"/>
                <w:highlight w:val="none"/>
              </w:rPr>
            </w:pPr>
          </w:p>
        </w:tc>
        <w:tc>
          <w:tcPr>
            <w:tcW w:w="23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266" w:type="dxa"/>
          </w:tcPr>
          <w:p>
            <w:pPr>
              <w:pStyle w:val="9"/>
              <w:spacing w:line="360" w:lineRule="auto"/>
              <w:ind w:firstLine="0"/>
              <w:rPr>
                <w:rFonts w:hint="eastAsia" w:ascii="宋体" w:hAnsi="宋体"/>
                <w:color w:val="auto"/>
                <w:sz w:val="2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9"/>
              <w:spacing w:line="360" w:lineRule="auto"/>
              <w:ind w:firstLine="0"/>
              <w:rPr>
                <w:rFonts w:hint="eastAsia" w:ascii="宋体" w:hAnsi="宋体"/>
                <w:color w:val="auto"/>
                <w:sz w:val="25"/>
                <w:highlight w:val="none"/>
              </w:rPr>
            </w:pPr>
          </w:p>
        </w:tc>
        <w:tc>
          <w:tcPr>
            <w:tcW w:w="23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266" w:type="dxa"/>
          </w:tcPr>
          <w:p>
            <w:pPr>
              <w:pStyle w:val="9"/>
              <w:spacing w:line="360" w:lineRule="auto"/>
              <w:ind w:firstLine="0"/>
              <w:rPr>
                <w:rFonts w:hint="eastAsia" w:ascii="宋体" w:hAnsi="宋体"/>
                <w:color w:val="auto"/>
                <w:sz w:val="2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9"/>
              <w:spacing w:line="360" w:lineRule="auto"/>
              <w:ind w:firstLine="0"/>
              <w:rPr>
                <w:rFonts w:hint="eastAsia" w:ascii="宋体" w:hAnsi="宋体"/>
                <w:color w:val="auto"/>
                <w:sz w:val="25"/>
                <w:highlight w:val="none"/>
              </w:rPr>
            </w:pPr>
          </w:p>
        </w:tc>
        <w:tc>
          <w:tcPr>
            <w:tcW w:w="23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266" w:type="dxa"/>
          </w:tcPr>
          <w:p>
            <w:pPr>
              <w:pStyle w:val="9"/>
              <w:spacing w:line="360" w:lineRule="auto"/>
              <w:ind w:firstLine="0"/>
              <w:rPr>
                <w:rFonts w:hint="eastAsia" w:ascii="宋体" w:hAnsi="宋体"/>
                <w:color w:val="auto"/>
                <w:sz w:val="2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9"/>
              <w:spacing w:line="360" w:lineRule="auto"/>
              <w:ind w:firstLine="0"/>
              <w:rPr>
                <w:rFonts w:hint="eastAsia" w:ascii="宋体" w:hAnsi="宋体"/>
                <w:color w:val="auto"/>
                <w:sz w:val="25"/>
                <w:highlight w:val="none"/>
              </w:rPr>
            </w:pPr>
          </w:p>
        </w:tc>
        <w:tc>
          <w:tcPr>
            <w:tcW w:w="23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266" w:type="dxa"/>
          </w:tcPr>
          <w:p>
            <w:pPr>
              <w:pStyle w:val="9"/>
              <w:spacing w:line="360" w:lineRule="auto"/>
              <w:ind w:firstLine="0"/>
              <w:rPr>
                <w:rFonts w:hint="eastAsia" w:ascii="宋体" w:hAnsi="宋体"/>
                <w:color w:val="auto"/>
                <w:sz w:val="2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9"/>
              <w:spacing w:line="360" w:lineRule="auto"/>
              <w:ind w:firstLine="0"/>
              <w:rPr>
                <w:rFonts w:hint="eastAsia" w:ascii="宋体" w:hAnsi="宋体"/>
                <w:color w:val="auto"/>
                <w:sz w:val="25"/>
                <w:highlight w:val="none"/>
              </w:rPr>
            </w:pPr>
          </w:p>
        </w:tc>
        <w:tc>
          <w:tcPr>
            <w:tcW w:w="23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266" w:type="dxa"/>
          </w:tcPr>
          <w:p>
            <w:pPr>
              <w:pStyle w:val="9"/>
              <w:spacing w:line="360" w:lineRule="auto"/>
              <w:ind w:firstLine="0"/>
              <w:rPr>
                <w:rFonts w:hint="eastAsia" w:ascii="宋体" w:hAnsi="宋体"/>
                <w:color w:val="auto"/>
                <w:sz w:val="2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9"/>
              <w:spacing w:line="360" w:lineRule="auto"/>
              <w:ind w:firstLine="0"/>
              <w:rPr>
                <w:rFonts w:hint="eastAsia" w:ascii="宋体" w:hAnsi="宋体"/>
                <w:color w:val="auto"/>
                <w:sz w:val="25"/>
                <w:highlight w:val="none"/>
              </w:rPr>
            </w:pPr>
          </w:p>
        </w:tc>
        <w:tc>
          <w:tcPr>
            <w:tcW w:w="23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266" w:type="dxa"/>
          </w:tcPr>
          <w:p>
            <w:pPr>
              <w:pStyle w:val="9"/>
              <w:spacing w:line="360" w:lineRule="auto"/>
              <w:ind w:firstLine="0"/>
              <w:rPr>
                <w:rFonts w:hint="eastAsia" w:ascii="宋体" w:hAnsi="宋体"/>
                <w:color w:val="auto"/>
                <w:sz w:val="2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9"/>
              <w:spacing w:line="360" w:lineRule="auto"/>
              <w:ind w:firstLine="0"/>
              <w:rPr>
                <w:rFonts w:hint="eastAsia" w:ascii="宋体" w:hAnsi="宋体"/>
                <w:color w:val="auto"/>
                <w:sz w:val="25"/>
                <w:highlight w:val="none"/>
              </w:rPr>
            </w:pPr>
          </w:p>
        </w:tc>
        <w:tc>
          <w:tcPr>
            <w:tcW w:w="23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266" w:type="dxa"/>
          </w:tcPr>
          <w:p>
            <w:pPr>
              <w:pStyle w:val="9"/>
              <w:spacing w:line="360" w:lineRule="auto"/>
              <w:ind w:firstLine="0"/>
              <w:rPr>
                <w:rFonts w:hint="eastAsia" w:ascii="宋体" w:hAnsi="宋体"/>
                <w:color w:val="auto"/>
                <w:sz w:val="2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9"/>
              <w:spacing w:line="360" w:lineRule="auto"/>
              <w:ind w:firstLine="0"/>
              <w:rPr>
                <w:rFonts w:hint="eastAsia" w:ascii="宋体" w:hAnsi="宋体"/>
                <w:color w:val="auto"/>
                <w:sz w:val="25"/>
                <w:highlight w:val="none"/>
              </w:rPr>
            </w:pPr>
          </w:p>
        </w:tc>
        <w:tc>
          <w:tcPr>
            <w:tcW w:w="23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266" w:type="dxa"/>
          </w:tcPr>
          <w:p>
            <w:pPr>
              <w:pStyle w:val="9"/>
              <w:spacing w:line="360" w:lineRule="auto"/>
              <w:ind w:firstLine="0"/>
              <w:rPr>
                <w:rFonts w:hint="eastAsia" w:ascii="宋体" w:hAnsi="宋体"/>
                <w:color w:val="auto"/>
                <w:sz w:val="2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9"/>
              <w:spacing w:line="360" w:lineRule="auto"/>
              <w:ind w:firstLine="0"/>
              <w:rPr>
                <w:rFonts w:hint="eastAsia" w:ascii="宋体" w:hAnsi="宋体"/>
                <w:color w:val="auto"/>
                <w:sz w:val="25"/>
                <w:highlight w:val="none"/>
              </w:rPr>
            </w:pPr>
          </w:p>
        </w:tc>
        <w:tc>
          <w:tcPr>
            <w:tcW w:w="23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266" w:type="dxa"/>
          </w:tcPr>
          <w:p>
            <w:pPr>
              <w:pStyle w:val="9"/>
              <w:spacing w:line="360" w:lineRule="auto"/>
              <w:ind w:firstLine="0"/>
              <w:rPr>
                <w:rFonts w:hint="eastAsia" w:ascii="宋体" w:hAnsi="宋体"/>
                <w:color w:val="auto"/>
                <w:sz w:val="2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9"/>
              <w:spacing w:line="360" w:lineRule="auto"/>
              <w:ind w:firstLine="0"/>
              <w:rPr>
                <w:rFonts w:hint="eastAsia" w:ascii="宋体" w:hAnsi="宋体"/>
                <w:color w:val="auto"/>
                <w:sz w:val="25"/>
                <w:highlight w:val="none"/>
              </w:rPr>
            </w:pPr>
          </w:p>
        </w:tc>
        <w:tc>
          <w:tcPr>
            <w:tcW w:w="23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266" w:type="dxa"/>
          </w:tcPr>
          <w:p>
            <w:pPr>
              <w:pStyle w:val="9"/>
              <w:spacing w:line="360" w:lineRule="auto"/>
              <w:ind w:firstLine="0"/>
              <w:rPr>
                <w:rFonts w:hint="eastAsia" w:ascii="宋体" w:hAnsi="宋体"/>
                <w:color w:val="auto"/>
                <w:sz w:val="2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9"/>
              <w:spacing w:line="360" w:lineRule="auto"/>
              <w:ind w:firstLine="0"/>
              <w:rPr>
                <w:rFonts w:hint="eastAsia" w:ascii="宋体" w:hAnsi="宋体"/>
                <w:color w:val="auto"/>
                <w:sz w:val="25"/>
                <w:highlight w:val="none"/>
              </w:rPr>
            </w:pPr>
          </w:p>
        </w:tc>
        <w:tc>
          <w:tcPr>
            <w:tcW w:w="23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266" w:type="dxa"/>
          </w:tcPr>
          <w:p>
            <w:pPr>
              <w:pStyle w:val="9"/>
              <w:spacing w:line="360" w:lineRule="auto"/>
              <w:ind w:firstLine="0"/>
              <w:rPr>
                <w:rFonts w:hint="eastAsia" w:ascii="宋体" w:hAnsi="宋体"/>
                <w:color w:val="auto"/>
                <w:sz w:val="2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9"/>
              <w:spacing w:line="360" w:lineRule="auto"/>
              <w:ind w:firstLine="0"/>
              <w:rPr>
                <w:rFonts w:hint="eastAsia" w:ascii="宋体" w:hAnsi="宋体"/>
                <w:color w:val="auto"/>
                <w:sz w:val="25"/>
                <w:highlight w:val="none"/>
              </w:rPr>
            </w:pPr>
          </w:p>
        </w:tc>
        <w:tc>
          <w:tcPr>
            <w:tcW w:w="23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266" w:type="dxa"/>
          </w:tcPr>
          <w:p>
            <w:pPr>
              <w:pStyle w:val="9"/>
              <w:spacing w:line="360" w:lineRule="auto"/>
              <w:ind w:firstLine="0"/>
              <w:rPr>
                <w:rFonts w:hint="eastAsia" w:ascii="宋体" w:hAnsi="宋体"/>
                <w:color w:val="auto"/>
                <w:sz w:val="2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9"/>
              <w:spacing w:line="360" w:lineRule="auto"/>
              <w:ind w:firstLine="0"/>
              <w:rPr>
                <w:rFonts w:hint="eastAsia" w:ascii="宋体" w:hAnsi="宋体"/>
                <w:color w:val="auto"/>
                <w:sz w:val="25"/>
                <w:highlight w:val="none"/>
              </w:rPr>
            </w:pPr>
          </w:p>
        </w:tc>
        <w:tc>
          <w:tcPr>
            <w:tcW w:w="23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7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9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100" w:type="dxa"/>
          </w:tcPr>
          <w:p>
            <w:pPr>
              <w:pStyle w:val="9"/>
              <w:spacing w:line="360" w:lineRule="auto"/>
              <w:ind w:firstLine="0"/>
              <w:rPr>
                <w:rFonts w:hint="eastAsia" w:ascii="宋体" w:hAnsi="宋体"/>
                <w:color w:val="auto"/>
                <w:sz w:val="25"/>
                <w:highlight w:val="none"/>
              </w:rPr>
            </w:pPr>
          </w:p>
        </w:tc>
        <w:tc>
          <w:tcPr>
            <w:tcW w:w="1266" w:type="dxa"/>
          </w:tcPr>
          <w:p>
            <w:pPr>
              <w:pStyle w:val="9"/>
              <w:spacing w:line="360" w:lineRule="auto"/>
              <w:ind w:firstLine="0"/>
              <w:rPr>
                <w:rFonts w:hint="eastAsia" w:ascii="宋体" w:hAnsi="宋体"/>
                <w:color w:val="auto"/>
                <w:sz w:val="25"/>
                <w:highlight w:val="none"/>
              </w:rPr>
            </w:pPr>
          </w:p>
        </w:tc>
      </w:tr>
    </w:tbl>
    <w:p>
      <w:pPr>
        <w:pStyle w:val="9"/>
        <w:spacing w:line="360" w:lineRule="auto"/>
        <w:ind w:firstLine="0"/>
        <w:jc w:val="center"/>
        <w:rPr>
          <w:rFonts w:hint="eastAsia" w:ascii="宋体" w:hAnsi="宋体"/>
          <w:color w:val="auto"/>
          <w:sz w:val="25"/>
          <w:highlight w:val="none"/>
        </w:rPr>
      </w:pPr>
    </w:p>
    <w:p>
      <w:pPr>
        <w:pStyle w:val="9"/>
        <w:snapToGrid w:val="0"/>
        <w:spacing w:line="440" w:lineRule="exact"/>
        <w:ind w:firstLine="0"/>
        <w:jc w:val="center"/>
        <w:outlineLvl w:val="1"/>
        <w:rPr>
          <w:rFonts w:hint="eastAsia" w:hAnsi="宋体"/>
          <w:color w:val="auto"/>
          <w:sz w:val="36"/>
          <w:szCs w:val="36"/>
          <w:highlight w:val="none"/>
        </w:rPr>
      </w:pPr>
      <w:r>
        <w:rPr>
          <w:rFonts w:hint="eastAsia" w:hAnsi="宋体"/>
          <w:color w:val="auto"/>
          <w:sz w:val="28"/>
          <w:szCs w:val="28"/>
          <w:highlight w:val="none"/>
        </w:rPr>
        <w:br w:type="page"/>
      </w:r>
      <w:r>
        <w:rPr>
          <w:rFonts w:hint="eastAsia" w:hAnsi="宋体"/>
          <w:color w:val="auto"/>
          <w:sz w:val="36"/>
          <w:szCs w:val="36"/>
          <w:highlight w:val="none"/>
        </w:rPr>
        <w:t>三、主</w:t>
      </w:r>
      <w:r>
        <w:rPr>
          <w:rFonts w:hAnsi="宋体"/>
          <w:color w:val="auto"/>
          <w:sz w:val="36"/>
          <w:szCs w:val="36"/>
          <w:highlight w:val="none"/>
        </w:rPr>
        <w:t>要施工管理人员表</w:t>
      </w:r>
    </w:p>
    <w:p>
      <w:pPr>
        <w:pStyle w:val="9"/>
        <w:snapToGrid w:val="0"/>
        <w:spacing w:line="440" w:lineRule="exact"/>
        <w:ind w:firstLine="0"/>
        <w:outlineLvl w:val="1"/>
        <w:rPr>
          <w:rFonts w:hint="eastAsia" w:hAnsi="宋体"/>
          <w:color w:val="auto"/>
          <w:sz w:val="36"/>
          <w:szCs w:val="36"/>
          <w:highlight w:val="none"/>
        </w:rPr>
      </w:pPr>
    </w:p>
    <w:tbl>
      <w:tblPr>
        <w:tblStyle w:val="21"/>
        <w:tblW w:w="8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500"/>
        <w:gridCol w:w="799"/>
        <w:gridCol w:w="800"/>
        <w:gridCol w:w="800"/>
        <w:gridCol w:w="3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8" w:type="dxa"/>
          </w:tcPr>
          <w:p>
            <w:pPr>
              <w:spacing w:line="420" w:lineRule="atLeast"/>
              <w:rPr>
                <w:color w:val="auto"/>
                <w:kern w:val="0"/>
                <w:sz w:val="24"/>
                <w:highlight w:val="none"/>
              </w:rPr>
            </w:pPr>
            <w:r>
              <w:rPr>
                <w:rFonts w:hAnsi="宋体"/>
                <w:color w:val="auto"/>
                <w:kern w:val="0"/>
                <w:sz w:val="24"/>
                <w:highlight w:val="none"/>
              </w:rPr>
              <w:t>机构</w:t>
            </w:r>
          </w:p>
        </w:tc>
        <w:tc>
          <w:tcPr>
            <w:tcW w:w="1500" w:type="dxa"/>
          </w:tcPr>
          <w:p>
            <w:pPr>
              <w:spacing w:line="420" w:lineRule="atLeast"/>
              <w:rPr>
                <w:color w:val="auto"/>
                <w:kern w:val="0"/>
                <w:sz w:val="24"/>
                <w:highlight w:val="none"/>
              </w:rPr>
            </w:pPr>
            <w:r>
              <w:rPr>
                <w:rFonts w:hAnsi="宋体"/>
                <w:color w:val="auto"/>
                <w:kern w:val="0"/>
                <w:sz w:val="24"/>
                <w:highlight w:val="none"/>
              </w:rPr>
              <w:t>项目工程师</w:t>
            </w:r>
          </w:p>
        </w:tc>
        <w:tc>
          <w:tcPr>
            <w:tcW w:w="799" w:type="dxa"/>
          </w:tcPr>
          <w:p>
            <w:pPr>
              <w:spacing w:line="420" w:lineRule="atLeast"/>
              <w:rPr>
                <w:color w:val="auto"/>
                <w:kern w:val="0"/>
                <w:sz w:val="24"/>
                <w:highlight w:val="none"/>
              </w:rPr>
            </w:pPr>
            <w:r>
              <w:rPr>
                <w:rFonts w:hAnsi="宋体"/>
                <w:color w:val="auto"/>
                <w:kern w:val="0"/>
                <w:sz w:val="24"/>
                <w:highlight w:val="none"/>
              </w:rPr>
              <w:t>姓名</w:t>
            </w:r>
          </w:p>
        </w:tc>
        <w:tc>
          <w:tcPr>
            <w:tcW w:w="800" w:type="dxa"/>
          </w:tcPr>
          <w:p>
            <w:pPr>
              <w:spacing w:line="420" w:lineRule="atLeast"/>
              <w:rPr>
                <w:color w:val="auto"/>
                <w:kern w:val="0"/>
                <w:sz w:val="24"/>
                <w:highlight w:val="none"/>
              </w:rPr>
            </w:pPr>
            <w:r>
              <w:rPr>
                <w:rFonts w:hAnsi="宋体"/>
                <w:color w:val="auto"/>
                <w:kern w:val="0"/>
                <w:sz w:val="24"/>
                <w:highlight w:val="none"/>
              </w:rPr>
              <w:t>职务</w:t>
            </w:r>
          </w:p>
        </w:tc>
        <w:tc>
          <w:tcPr>
            <w:tcW w:w="800" w:type="dxa"/>
          </w:tcPr>
          <w:p>
            <w:pPr>
              <w:spacing w:line="420" w:lineRule="atLeast"/>
              <w:rPr>
                <w:color w:val="auto"/>
                <w:kern w:val="0"/>
                <w:sz w:val="24"/>
                <w:highlight w:val="none"/>
              </w:rPr>
            </w:pPr>
            <w:r>
              <w:rPr>
                <w:rFonts w:hAnsi="宋体"/>
                <w:color w:val="auto"/>
                <w:kern w:val="0"/>
                <w:sz w:val="24"/>
                <w:highlight w:val="none"/>
              </w:rPr>
              <w:t>职称</w:t>
            </w:r>
          </w:p>
        </w:tc>
        <w:tc>
          <w:tcPr>
            <w:tcW w:w="3700" w:type="dxa"/>
          </w:tcPr>
          <w:p>
            <w:pPr>
              <w:spacing w:line="420" w:lineRule="atLeast"/>
              <w:rPr>
                <w:color w:val="auto"/>
                <w:kern w:val="0"/>
                <w:sz w:val="24"/>
                <w:highlight w:val="none"/>
              </w:rPr>
            </w:pPr>
            <w:r>
              <w:rPr>
                <w:rFonts w:hAnsi="宋体"/>
                <w:color w:val="auto"/>
                <w:kern w:val="0"/>
                <w:sz w:val="24"/>
                <w:highlight w:val="none"/>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8" w:type="dxa"/>
            <w:vMerge w:val="restart"/>
          </w:tcPr>
          <w:p>
            <w:pPr>
              <w:spacing w:line="420" w:lineRule="atLeast"/>
              <w:rPr>
                <w:color w:val="auto"/>
                <w:kern w:val="0"/>
                <w:sz w:val="24"/>
                <w:highlight w:val="none"/>
              </w:rPr>
            </w:pPr>
          </w:p>
          <w:p>
            <w:pPr>
              <w:spacing w:line="420" w:lineRule="atLeast"/>
              <w:rPr>
                <w:color w:val="auto"/>
                <w:kern w:val="0"/>
                <w:sz w:val="24"/>
                <w:highlight w:val="none"/>
              </w:rPr>
            </w:pPr>
          </w:p>
          <w:p>
            <w:pPr>
              <w:spacing w:line="420" w:lineRule="atLeast"/>
              <w:rPr>
                <w:color w:val="auto"/>
                <w:kern w:val="0"/>
                <w:sz w:val="24"/>
                <w:highlight w:val="none"/>
              </w:rPr>
            </w:pPr>
            <w:r>
              <w:rPr>
                <w:rFonts w:hAnsi="宋体"/>
                <w:color w:val="auto"/>
                <w:kern w:val="0"/>
                <w:sz w:val="24"/>
                <w:highlight w:val="none"/>
              </w:rPr>
              <w:t>总</w:t>
            </w:r>
          </w:p>
          <w:p>
            <w:pPr>
              <w:spacing w:line="420" w:lineRule="atLeast"/>
              <w:rPr>
                <w:color w:val="auto"/>
                <w:kern w:val="0"/>
                <w:sz w:val="24"/>
                <w:highlight w:val="none"/>
              </w:rPr>
            </w:pPr>
          </w:p>
          <w:p>
            <w:pPr>
              <w:spacing w:line="420" w:lineRule="atLeast"/>
              <w:rPr>
                <w:color w:val="auto"/>
                <w:kern w:val="0"/>
                <w:sz w:val="24"/>
                <w:highlight w:val="none"/>
              </w:rPr>
            </w:pPr>
            <w:r>
              <w:rPr>
                <w:rFonts w:hAnsi="宋体"/>
                <w:color w:val="auto"/>
                <w:kern w:val="0"/>
                <w:sz w:val="24"/>
                <w:highlight w:val="none"/>
              </w:rPr>
              <w:t>部</w:t>
            </w:r>
          </w:p>
        </w:tc>
        <w:tc>
          <w:tcPr>
            <w:tcW w:w="1500" w:type="dxa"/>
          </w:tcPr>
          <w:p>
            <w:pPr>
              <w:spacing w:line="420" w:lineRule="atLeast"/>
              <w:rPr>
                <w:color w:val="auto"/>
                <w:kern w:val="0"/>
                <w:sz w:val="24"/>
                <w:highlight w:val="none"/>
              </w:rPr>
            </w:pPr>
            <w:r>
              <w:rPr>
                <w:rFonts w:hAnsi="宋体"/>
                <w:color w:val="auto"/>
                <w:kern w:val="0"/>
                <w:sz w:val="24"/>
                <w:highlight w:val="none"/>
              </w:rPr>
              <w:t>项目主管</w:t>
            </w:r>
          </w:p>
        </w:tc>
        <w:tc>
          <w:tcPr>
            <w:tcW w:w="799"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3700" w:type="dxa"/>
          </w:tcPr>
          <w:p>
            <w:pPr>
              <w:spacing w:line="420" w:lineRule="atLeast"/>
              <w:rPr>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8" w:type="dxa"/>
            <w:vMerge w:val="continue"/>
          </w:tcPr>
          <w:p>
            <w:pPr>
              <w:spacing w:line="420" w:lineRule="atLeast"/>
              <w:rPr>
                <w:color w:val="auto"/>
                <w:kern w:val="0"/>
                <w:sz w:val="24"/>
                <w:highlight w:val="none"/>
              </w:rPr>
            </w:pPr>
          </w:p>
        </w:tc>
        <w:tc>
          <w:tcPr>
            <w:tcW w:w="1500" w:type="dxa"/>
          </w:tcPr>
          <w:p>
            <w:pPr>
              <w:spacing w:line="420" w:lineRule="atLeast"/>
              <w:rPr>
                <w:color w:val="auto"/>
                <w:kern w:val="0"/>
                <w:sz w:val="24"/>
                <w:highlight w:val="none"/>
              </w:rPr>
            </w:pPr>
            <w:r>
              <w:rPr>
                <w:rFonts w:hAnsi="宋体"/>
                <w:color w:val="auto"/>
                <w:kern w:val="0"/>
                <w:sz w:val="24"/>
                <w:highlight w:val="none"/>
              </w:rPr>
              <w:t>技术负责人</w:t>
            </w:r>
          </w:p>
        </w:tc>
        <w:tc>
          <w:tcPr>
            <w:tcW w:w="799"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3700" w:type="dxa"/>
          </w:tcPr>
          <w:p>
            <w:pPr>
              <w:spacing w:line="420" w:lineRule="atLeast"/>
              <w:rPr>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8" w:type="dxa"/>
            <w:vMerge w:val="continue"/>
          </w:tcPr>
          <w:p>
            <w:pPr>
              <w:spacing w:line="420" w:lineRule="atLeast"/>
              <w:rPr>
                <w:color w:val="auto"/>
                <w:kern w:val="0"/>
                <w:sz w:val="24"/>
                <w:highlight w:val="none"/>
              </w:rPr>
            </w:pPr>
          </w:p>
        </w:tc>
        <w:tc>
          <w:tcPr>
            <w:tcW w:w="1500" w:type="dxa"/>
          </w:tcPr>
          <w:p>
            <w:pPr>
              <w:spacing w:line="420" w:lineRule="atLeast"/>
              <w:rPr>
                <w:color w:val="auto"/>
                <w:kern w:val="0"/>
                <w:sz w:val="24"/>
                <w:highlight w:val="none"/>
              </w:rPr>
            </w:pPr>
          </w:p>
        </w:tc>
        <w:tc>
          <w:tcPr>
            <w:tcW w:w="799"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3700" w:type="dxa"/>
          </w:tcPr>
          <w:p>
            <w:pPr>
              <w:spacing w:line="420" w:lineRule="atLeast"/>
              <w:rPr>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8" w:type="dxa"/>
            <w:vMerge w:val="continue"/>
          </w:tcPr>
          <w:p>
            <w:pPr>
              <w:spacing w:line="420" w:lineRule="atLeast"/>
              <w:rPr>
                <w:color w:val="auto"/>
                <w:kern w:val="0"/>
                <w:sz w:val="24"/>
                <w:highlight w:val="none"/>
              </w:rPr>
            </w:pPr>
          </w:p>
        </w:tc>
        <w:tc>
          <w:tcPr>
            <w:tcW w:w="1500" w:type="dxa"/>
          </w:tcPr>
          <w:p>
            <w:pPr>
              <w:spacing w:line="420" w:lineRule="atLeast"/>
              <w:rPr>
                <w:color w:val="auto"/>
                <w:kern w:val="0"/>
                <w:sz w:val="24"/>
                <w:highlight w:val="none"/>
              </w:rPr>
            </w:pPr>
          </w:p>
        </w:tc>
        <w:tc>
          <w:tcPr>
            <w:tcW w:w="799"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3700" w:type="dxa"/>
          </w:tcPr>
          <w:p>
            <w:pPr>
              <w:spacing w:line="420" w:lineRule="atLeast"/>
              <w:rPr>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8" w:type="dxa"/>
            <w:vMerge w:val="continue"/>
          </w:tcPr>
          <w:p>
            <w:pPr>
              <w:spacing w:line="420" w:lineRule="atLeast"/>
              <w:rPr>
                <w:color w:val="auto"/>
                <w:kern w:val="0"/>
                <w:sz w:val="24"/>
                <w:highlight w:val="none"/>
              </w:rPr>
            </w:pPr>
          </w:p>
        </w:tc>
        <w:tc>
          <w:tcPr>
            <w:tcW w:w="1500" w:type="dxa"/>
          </w:tcPr>
          <w:p>
            <w:pPr>
              <w:spacing w:line="420" w:lineRule="atLeast"/>
              <w:rPr>
                <w:color w:val="auto"/>
                <w:kern w:val="0"/>
                <w:sz w:val="24"/>
                <w:highlight w:val="none"/>
              </w:rPr>
            </w:pPr>
          </w:p>
        </w:tc>
        <w:tc>
          <w:tcPr>
            <w:tcW w:w="799"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3700" w:type="dxa"/>
          </w:tcPr>
          <w:p>
            <w:pPr>
              <w:spacing w:line="420" w:lineRule="atLeast"/>
              <w:rPr>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8" w:type="dxa"/>
            <w:vMerge w:val="continue"/>
          </w:tcPr>
          <w:p>
            <w:pPr>
              <w:spacing w:line="420" w:lineRule="atLeast"/>
              <w:rPr>
                <w:color w:val="auto"/>
                <w:kern w:val="0"/>
                <w:sz w:val="24"/>
                <w:highlight w:val="none"/>
              </w:rPr>
            </w:pPr>
          </w:p>
        </w:tc>
        <w:tc>
          <w:tcPr>
            <w:tcW w:w="1500" w:type="dxa"/>
          </w:tcPr>
          <w:p>
            <w:pPr>
              <w:spacing w:line="420" w:lineRule="atLeast"/>
              <w:rPr>
                <w:color w:val="auto"/>
                <w:kern w:val="0"/>
                <w:sz w:val="24"/>
                <w:highlight w:val="none"/>
              </w:rPr>
            </w:pPr>
          </w:p>
        </w:tc>
        <w:tc>
          <w:tcPr>
            <w:tcW w:w="799"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3700" w:type="dxa"/>
          </w:tcPr>
          <w:p>
            <w:pPr>
              <w:spacing w:line="420" w:lineRule="atLeast"/>
              <w:rPr>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8" w:type="dxa"/>
            <w:vMerge w:val="continue"/>
          </w:tcPr>
          <w:p>
            <w:pPr>
              <w:spacing w:line="420" w:lineRule="atLeast"/>
              <w:rPr>
                <w:color w:val="auto"/>
                <w:kern w:val="0"/>
                <w:sz w:val="24"/>
                <w:highlight w:val="none"/>
              </w:rPr>
            </w:pPr>
          </w:p>
        </w:tc>
        <w:tc>
          <w:tcPr>
            <w:tcW w:w="1500" w:type="dxa"/>
          </w:tcPr>
          <w:p>
            <w:pPr>
              <w:spacing w:line="420" w:lineRule="atLeast"/>
              <w:rPr>
                <w:color w:val="auto"/>
                <w:kern w:val="0"/>
                <w:sz w:val="24"/>
                <w:highlight w:val="none"/>
              </w:rPr>
            </w:pPr>
          </w:p>
        </w:tc>
        <w:tc>
          <w:tcPr>
            <w:tcW w:w="799"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3700" w:type="dxa"/>
          </w:tcPr>
          <w:p>
            <w:pPr>
              <w:spacing w:line="420" w:lineRule="atLeast"/>
              <w:rPr>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8" w:type="dxa"/>
            <w:vMerge w:val="restart"/>
          </w:tcPr>
          <w:p>
            <w:pPr>
              <w:spacing w:line="420" w:lineRule="atLeast"/>
              <w:rPr>
                <w:color w:val="auto"/>
                <w:kern w:val="0"/>
                <w:sz w:val="24"/>
                <w:highlight w:val="none"/>
              </w:rPr>
            </w:pPr>
          </w:p>
          <w:p>
            <w:pPr>
              <w:spacing w:line="420" w:lineRule="atLeast"/>
              <w:rPr>
                <w:color w:val="auto"/>
                <w:kern w:val="0"/>
                <w:sz w:val="24"/>
                <w:highlight w:val="none"/>
              </w:rPr>
            </w:pPr>
          </w:p>
          <w:p>
            <w:pPr>
              <w:spacing w:line="420" w:lineRule="atLeast"/>
              <w:rPr>
                <w:color w:val="auto"/>
                <w:kern w:val="0"/>
                <w:sz w:val="24"/>
                <w:highlight w:val="none"/>
              </w:rPr>
            </w:pPr>
            <w:r>
              <w:rPr>
                <w:rFonts w:hAnsi="宋体"/>
                <w:color w:val="auto"/>
                <w:kern w:val="0"/>
                <w:sz w:val="24"/>
                <w:highlight w:val="none"/>
              </w:rPr>
              <w:t>现</w:t>
            </w:r>
          </w:p>
          <w:p>
            <w:pPr>
              <w:spacing w:line="420" w:lineRule="atLeast"/>
              <w:rPr>
                <w:color w:val="auto"/>
                <w:kern w:val="0"/>
                <w:sz w:val="24"/>
                <w:highlight w:val="none"/>
              </w:rPr>
            </w:pPr>
          </w:p>
          <w:p>
            <w:pPr>
              <w:spacing w:line="420" w:lineRule="atLeast"/>
              <w:rPr>
                <w:color w:val="auto"/>
                <w:kern w:val="0"/>
                <w:sz w:val="24"/>
                <w:highlight w:val="none"/>
              </w:rPr>
            </w:pPr>
          </w:p>
          <w:p>
            <w:pPr>
              <w:spacing w:line="420" w:lineRule="atLeast"/>
              <w:rPr>
                <w:color w:val="auto"/>
                <w:kern w:val="0"/>
                <w:sz w:val="24"/>
                <w:highlight w:val="none"/>
              </w:rPr>
            </w:pPr>
            <w:r>
              <w:rPr>
                <w:rFonts w:hAnsi="宋体"/>
                <w:color w:val="auto"/>
                <w:kern w:val="0"/>
                <w:sz w:val="24"/>
                <w:highlight w:val="none"/>
              </w:rPr>
              <w:t>场</w:t>
            </w:r>
          </w:p>
        </w:tc>
        <w:tc>
          <w:tcPr>
            <w:tcW w:w="1500" w:type="dxa"/>
          </w:tcPr>
          <w:p>
            <w:pPr>
              <w:spacing w:line="420" w:lineRule="atLeast"/>
              <w:rPr>
                <w:color w:val="auto"/>
                <w:kern w:val="0"/>
                <w:sz w:val="24"/>
                <w:highlight w:val="none"/>
              </w:rPr>
            </w:pPr>
            <w:r>
              <w:rPr>
                <w:rFonts w:hAnsi="宋体"/>
                <w:color w:val="auto"/>
                <w:kern w:val="0"/>
                <w:sz w:val="24"/>
                <w:highlight w:val="none"/>
              </w:rPr>
              <w:t>项目负责人</w:t>
            </w:r>
          </w:p>
        </w:tc>
        <w:tc>
          <w:tcPr>
            <w:tcW w:w="799"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3700" w:type="dxa"/>
          </w:tcPr>
          <w:p>
            <w:pPr>
              <w:spacing w:line="420" w:lineRule="atLeast"/>
              <w:rPr>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8" w:type="dxa"/>
            <w:vMerge w:val="continue"/>
          </w:tcPr>
          <w:p>
            <w:pPr>
              <w:spacing w:line="420" w:lineRule="atLeast"/>
              <w:rPr>
                <w:color w:val="auto"/>
                <w:kern w:val="0"/>
                <w:sz w:val="24"/>
                <w:highlight w:val="none"/>
              </w:rPr>
            </w:pPr>
          </w:p>
        </w:tc>
        <w:tc>
          <w:tcPr>
            <w:tcW w:w="1500" w:type="dxa"/>
          </w:tcPr>
          <w:p>
            <w:pPr>
              <w:spacing w:line="420" w:lineRule="atLeast"/>
              <w:rPr>
                <w:color w:val="auto"/>
                <w:kern w:val="0"/>
                <w:sz w:val="24"/>
                <w:highlight w:val="none"/>
              </w:rPr>
            </w:pPr>
            <w:r>
              <w:rPr>
                <w:rFonts w:hAnsi="宋体"/>
                <w:color w:val="auto"/>
                <w:kern w:val="0"/>
                <w:sz w:val="24"/>
                <w:highlight w:val="none"/>
              </w:rPr>
              <w:t>项目工程师</w:t>
            </w:r>
          </w:p>
        </w:tc>
        <w:tc>
          <w:tcPr>
            <w:tcW w:w="799"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3700" w:type="dxa"/>
          </w:tcPr>
          <w:p>
            <w:pPr>
              <w:spacing w:line="420" w:lineRule="atLeast"/>
              <w:rPr>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8" w:type="dxa"/>
            <w:vMerge w:val="continue"/>
          </w:tcPr>
          <w:p>
            <w:pPr>
              <w:spacing w:line="420" w:lineRule="atLeast"/>
              <w:rPr>
                <w:color w:val="auto"/>
                <w:kern w:val="0"/>
                <w:sz w:val="24"/>
                <w:highlight w:val="none"/>
              </w:rPr>
            </w:pPr>
          </w:p>
        </w:tc>
        <w:tc>
          <w:tcPr>
            <w:tcW w:w="1500" w:type="dxa"/>
          </w:tcPr>
          <w:p>
            <w:pPr>
              <w:spacing w:line="420" w:lineRule="atLeast"/>
              <w:rPr>
                <w:color w:val="auto"/>
                <w:kern w:val="0"/>
                <w:sz w:val="24"/>
                <w:highlight w:val="none"/>
              </w:rPr>
            </w:pPr>
            <w:r>
              <w:rPr>
                <w:rFonts w:hAnsi="宋体"/>
                <w:color w:val="auto"/>
                <w:kern w:val="0"/>
                <w:sz w:val="24"/>
                <w:highlight w:val="none"/>
              </w:rPr>
              <w:t>质量管理</w:t>
            </w:r>
          </w:p>
        </w:tc>
        <w:tc>
          <w:tcPr>
            <w:tcW w:w="799"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3700" w:type="dxa"/>
          </w:tcPr>
          <w:p>
            <w:pPr>
              <w:spacing w:line="420" w:lineRule="atLeast"/>
              <w:rPr>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8" w:type="dxa"/>
            <w:vMerge w:val="continue"/>
          </w:tcPr>
          <w:p>
            <w:pPr>
              <w:spacing w:line="420" w:lineRule="atLeast"/>
              <w:rPr>
                <w:color w:val="auto"/>
                <w:kern w:val="0"/>
                <w:sz w:val="24"/>
                <w:highlight w:val="none"/>
              </w:rPr>
            </w:pPr>
          </w:p>
        </w:tc>
        <w:tc>
          <w:tcPr>
            <w:tcW w:w="1500" w:type="dxa"/>
          </w:tcPr>
          <w:p>
            <w:pPr>
              <w:spacing w:line="420" w:lineRule="atLeast"/>
              <w:rPr>
                <w:color w:val="auto"/>
                <w:kern w:val="0"/>
                <w:sz w:val="24"/>
                <w:highlight w:val="none"/>
              </w:rPr>
            </w:pPr>
            <w:r>
              <w:rPr>
                <w:rFonts w:hAnsi="宋体"/>
                <w:color w:val="auto"/>
                <w:kern w:val="0"/>
                <w:sz w:val="24"/>
                <w:highlight w:val="none"/>
              </w:rPr>
              <w:t>材料管理</w:t>
            </w:r>
          </w:p>
        </w:tc>
        <w:tc>
          <w:tcPr>
            <w:tcW w:w="799"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3700" w:type="dxa"/>
          </w:tcPr>
          <w:p>
            <w:pPr>
              <w:spacing w:line="420" w:lineRule="atLeast"/>
              <w:rPr>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8" w:type="dxa"/>
            <w:vMerge w:val="continue"/>
          </w:tcPr>
          <w:p>
            <w:pPr>
              <w:spacing w:line="420" w:lineRule="atLeast"/>
              <w:rPr>
                <w:color w:val="auto"/>
                <w:kern w:val="0"/>
                <w:sz w:val="24"/>
                <w:highlight w:val="none"/>
              </w:rPr>
            </w:pPr>
          </w:p>
        </w:tc>
        <w:tc>
          <w:tcPr>
            <w:tcW w:w="1500" w:type="dxa"/>
          </w:tcPr>
          <w:p>
            <w:pPr>
              <w:spacing w:line="420" w:lineRule="atLeast"/>
              <w:rPr>
                <w:color w:val="auto"/>
                <w:kern w:val="0"/>
                <w:sz w:val="24"/>
                <w:highlight w:val="none"/>
              </w:rPr>
            </w:pPr>
            <w:r>
              <w:rPr>
                <w:rFonts w:hAnsi="宋体"/>
                <w:color w:val="auto"/>
                <w:kern w:val="0"/>
                <w:sz w:val="24"/>
                <w:highlight w:val="none"/>
              </w:rPr>
              <w:t>安全管理</w:t>
            </w:r>
          </w:p>
        </w:tc>
        <w:tc>
          <w:tcPr>
            <w:tcW w:w="799"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3700" w:type="dxa"/>
          </w:tcPr>
          <w:p>
            <w:pPr>
              <w:spacing w:line="420" w:lineRule="atLeast"/>
              <w:rPr>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8" w:type="dxa"/>
            <w:vMerge w:val="continue"/>
          </w:tcPr>
          <w:p>
            <w:pPr>
              <w:spacing w:line="420" w:lineRule="atLeast"/>
              <w:rPr>
                <w:color w:val="auto"/>
                <w:kern w:val="0"/>
                <w:sz w:val="24"/>
                <w:highlight w:val="none"/>
              </w:rPr>
            </w:pPr>
          </w:p>
        </w:tc>
        <w:tc>
          <w:tcPr>
            <w:tcW w:w="1500" w:type="dxa"/>
          </w:tcPr>
          <w:p>
            <w:pPr>
              <w:spacing w:line="420" w:lineRule="atLeast"/>
              <w:rPr>
                <w:color w:val="auto"/>
                <w:kern w:val="0"/>
                <w:sz w:val="24"/>
                <w:highlight w:val="none"/>
              </w:rPr>
            </w:pPr>
            <w:r>
              <w:rPr>
                <w:rFonts w:hAnsi="宋体"/>
                <w:color w:val="auto"/>
                <w:kern w:val="0"/>
                <w:sz w:val="24"/>
                <w:highlight w:val="none"/>
              </w:rPr>
              <w:t>计划管理</w:t>
            </w:r>
          </w:p>
        </w:tc>
        <w:tc>
          <w:tcPr>
            <w:tcW w:w="799"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3700" w:type="dxa"/>
          </w:tcPr>
          <w:p>
            <w:pPr>
              <w:spacing w:line="420" w:lineRule="atLeast"/>
              <w:rPr>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8" w:type="dxa"/>
            <w:vMerge w:val="continue"/>
          </w:tcPr>
          <w:p>
            <w:pPr>
              <w:spacing w:line="420" w:lineRule="atLeast"/>
              <w:rPr>
                <w:color w:val="auto"/>
                <w:kern w:val="0"/>
                <w:sz w:val="24"/>
                <w:highlight w:val="none"/>
              </w:rPr>
            </w:pPr>
          </w:p>
        </w:tc>
        <w:tc>
          <w:tcPr>
            <w:tcW w:w="1500" w:type="dxa"/>
          </w:tcPr>
          <w:p>
            <w:pPr>
              <w:spacing w:line="420" w:lineRule="atLeast"/>
              <w:rPr>
                <w:color w:val="auto"/>
                <w:kern w:val="0"/>
                <w:sz w:val="24"/>
                <w:highlight w:val="none"/>
              </w:rPr>
            </w:pPr>
          </w:p>
        </w:tc>
        <w:tc>
          <w:tcPr>
            <w:tcW w:w="799"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3700" w:type="dxa"/>
          </w:tcPr>
          <w:p>
            <w:pPr>
              <w:spacing w:line="420" w:lineRule="atLeast"/>
              <w:rPr>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8" w:type="dxa"/>
            <w:vMerge w:val="continue"/>
          </w:tcPr>
          <w:p>
            <w:pPr>
              <w:spacing w:line="420" w:lineRule="atLeast"/>
              <w:rPr>
                <w:color w:val="auto"/>
                <w:kern w:val="0"/>
                <w:sz w:val="24"/>
                <w:highlight w:val="none"/>
              </w:rPr>
            </w:pPr>
          </w:p>
        </w:tc>
        <w:tc>
          <w:tcPr>
            <w:tcW w:w="1500" w:type="dxa"/>
          </w:tcPr>
          <w:p>
            <w:pPr>
              <w:spacing w:line="420" w:lineRule="atLeast"/>
              <w:rPr>
                <w:color w:val="auto"/>
                <w:kern w:val="0"/>
                <w:sz w:val="24"/>
                <w:highlight w:val="none"/>
              </w:rPr>
            </w:pPr>
          </w:p>
        </w:tc>
        <w:tc>
          <w:tcPr>
            <w:tcW w:w="799"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3700" w:type="dxa"/>
          </w:tcPr>
          <w:p>
            <w:pPr>
              <w:spacing w:line="420" w:lineRule="atLeast"/>
              <w:rPr>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8" w:type="dxa"/>
            <w:vMerge w:val="continue"/>
          </w:tcPr>
          <w:p>
            <w:pPr>
              <w:spacing w:line="420" w:lineRule="atLeast"/>
              <w:rPr>
                <w:color w:val="auto"/>
                <w:kern w:val="0"/>
                <w:sz w:val="24"/>
                <w:highlight w:val="none"/>
              </w:rPr>
            </w:pPr>
          </w:p>
        </w:tc>
        <w:tc>
          <w:tcPr>
            <w:tcW w:w="1500" w:type="dxa"/>
          </w:tcPr>
          <w:p>
            <w:pPr>
              <w:spacing w:line="420" w:lineRule="atLeast"/>
              <w:rPr>
                <w:color w:val="auto"/>
                <w:kern w:val="0"/>
                <w:sz w:val="24"/>
                <w:highlight w:val="none"/>
              </w:rPr>
            </w:pPr>
          </w:p>
        </w:tc>
        <w:tc>
          <w:tcPr>
            <w:tcW w:w="799"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800" w:type="dxa"/>
          </w:tcPr>
          <w:p>
            <w:pPr>
              <w:spacing w:line="420" w:lineRule="atLeast"/>
              <w:rPr>
                <w:color w:val="auto"/>
                <w:kern w:val="0"/>
                <w:sz w:val="24"/>
                <w:highlight w:val="none"/>
              </w:rPr>
            </w:pPr>
          </w:p>
        </w:tc>
        <w:tc>
          <w:tcPr>
            <w:tcW w:w="3700" w:type="dxa"/>
          </w:tcPr>
          <w:p>
            <w:pPr>
              <w:spacing w:line="420" w:lineRule="atLeast"/>
              <w:jc w:val="center"/>
              <w:rPr>
                <w:color w:val="auto"/>
                <w:kern w:val="0"/>
                <w:sz w:val="24"/>
                <w:highlight w:val="none"/>
              </w:rPr>
            </w:pPr>
          </w:p>
        </w:tc>
      </w:tr>
    </w:tbl>
    <w:p>
      <w:pPr>
        <w:spacing w:line="420" w:lineRule="atLeast"/>
        <w:rPr>
          <w:color w:val="auto"/>
          <w:sz w:val="24"/>
          <w:highlight w:val="none"/>
        </w:rPr>
      </w:pPr>
    </w:p>
    <w:p>
      <w:pPr>
        <w:spacing w:line="420" w:lineRule="atLeast"/>
        <w:rPr>
          <w:color w:val="auto"/>
          <w:sz w:val="24"/>
          <w:highlight w:val="none"/>
        </w:rPr>
      </w:pPr>
    </w:p>
    <w:p>
      <w:pPr>
        <w:spacing w:line="420" w:lineRule="atLeast"/>
        <w:rPr>
          <w:color w:val="auto"/>
          <w:sz w:val="24"/>
          <w:highlight w:val="none"/>
        </w:rPr>
      </w:pPr>
    </w:p>
    <w:p>
      <w:pPr>
        <w:spacing w:line="420" w:lineRule="atLeast"/>
        <w:rPr>
          <w:color w:val="auto"/>
          <w:sz w:val="24"/>
          <w:highlight w:val="none"/>
        </w:rPr>
      </w:pPr>
    </w:p>
    <w:p>
      <w:pPr>
        <w:spacing w:line="420" w:lineRule="atLeast"/>
        <w:rPr>
          <w:color w:val="auto"/>
          <w:sz w:val="24"/>
          <w:highlight w:val="none"/>
        </w:rPr>
      </w:pPr>
    </w:p>
    <w:p>
      <w:pPr>
        <w:spacing w:line="420" w:lineRule="atLeast"/>
        <w:rPr>
          <w:color w:val="auto"/>
          <w:sz w:val="24"/>
          <w:highlight w:val="none"/>
        </w:rPr>
      </w:pPr>
    </w:p>
    <w:p>
      <w:pPr>
        <w:spacing w:line="420" w:lineRule="atLeast"/>
        <w:rPr>
          <w:color w:val="auto"/>
          <w:sz w:val="24"/>
          <w:highlight w:val="none"/>
        </w:rPr>
      </w:pPr>
    </w:p>
    <w:p>
      <w:pPr>
        <w:jc w:val="right"/>
        <w:rPr>
          <w:color w:val="auto"/>
          <w:szCs w:val="21"/>
          <w:highlight w:val="none"/>
        </w:rPr>
      </w:pPr>
    </w:p>
    <w:p>
      <w:pPr>
        <w:pStyle w:val="26"/>
        <w:spacing w:line="420" w:lineRule="atLeast"/>
        <w:rPr>
          <w:b/>
          <w:bCs/>
          <w:color w:val="auto"/>
          <w:sz w:val="44"/>
          <w:szCs w:val="32"/>
          <w:highlight w:val="none"/>
        </w:rPr>
      </w:pPr>
      <w:bookmarkStart w:id="47" w:name="_Toc465181339"/>
      <w:bookmarkStart w:id="48" w:name="_Toc404159964"/>
      <w:r>
        <w:rPr>
          <w:rFonts w:hAnsi="宋体"/>
          <w:b/>
          <w:bCs/>
          <w:color w:val="auto"/>
          <w:sz w:val="44"/>
          <w:szCs w:val="32"/>
          <w:highlight w:val="none"/>
        </w:rPr>
        <w:t>第七章</w:t>
      </w:r>
      <w:bookmarkStart w:id="49" w:name="_Toc288889655"/>
      <w:bookmarkStart w:id="50" w:name="_Toc288209286"/>
      <w:bookmarkStart w:id="51" w:name="_Toc262456721"/>
      <w:r>
        <w:rPr>
          <w:rFonts w:hint="eastAsia" w:hAnsi="宋体"/>
          <w:b/>
          <w:bCs/>
          <w:color w:val="auto"/>
          <w:sz w:val="44"/>
          <w:szCs w:val="32"/>
          <w:highlight w:val="none"/>
        </w:rPr>
        <w:t xml:space="preserve">   </w:t>
      </w:r>
      <w:r>
        <w:rPr>
          <w:rFonts w:hAnsi="宋体"/>
          <w:b/>
          <w:bCs/>
          <w:color w:val="auto"/>
          <w:sz w:val="44"/>
          <w:szCs w:val="32"/>
          <w:highlight w:val="none"/>
        </w:rPr>
        <w:t>资格审查证明材料</w:t>
      </w:r>
      <w:bookmarkEnd w:id="47"/>
      <w:bookmarkEnd w:id="48"/>
      <w:bookmarkEnd w:id="49"/>
      <w:bookmarkEnd w:id="50"/>
      <w:bookmarkEnd w:id="51"/>
    </w:p>
    <w:p>
      <w:pPr>
        <w:spacing w:line="360" w:lineRule="auto"/>
        <w:ind w:firstLine="480"/>
        <w:rPr>
          <w:color w:val="auto"/>
          <w:sz w:val="25"/>
          <w:highlight w:val="none"/>
        </w:rPr>
      </w:pPr>
    </w:p>
    <w:p>
      <w:pPr>
        <w:spacing w:line="360" w:lineRule="auto"/>
        <w:ind w:firstLine="480"/>
        <w:rPr>
          <w:color w:val="auto"/>
          <w:sz w:val="25"/>
          <w:highlight w:val="none"/>
        </w:rPr>
      </w:pPr>
      <w:r>
        <w:rPr>
          <w:rFonts w:hAnsi="宋体"/>
          <w:color w:val="auto"/>
          <w:sz w:val="25"/>
          <w:highlight w:val="none"/>
        </w:rPr>
        <w:t>一、资格证明材料：见本招标文件第一章</w:t>
      </w:r>
      <w:r>
        <w:rPr>
          <w:color w:val="auto"/>
          <w:sz w:val="25"/>
          <w:highlight w:val="none"/>
        </w:rPr>
        <w:t>9.2</w:t>
      </w:r>
      <w:r>
        <w:rPr>
          <w:rFonts w:hint="eastAsia" w:hAnsi="宋体"/>
          <w:color w:val="auto"/>
          <w:sz w:val="25"/>
          <w:highlight w:val="none"/>
        </w:rPr>
        <w:t>.1</w:t>
      </w:r>
      <w:r>
        <w:rPr>
          <w:rFonts w:hAnsi="宋体"/>
          <w:color w:val="auto"/>
          <w:sz w:val="25"/>
          <w:highlight w:val="none"/>
        </w:rPr>
        <w:t>条。</w:t>
      </w:r>
    </w:p>
    <w:p>
      <w:pPr>
        <w:spacing w:line="360" w:lineRule="auto"/>
        <w:ind w:firstLine="480"/>
        <w:rPr>
          <w:color w:val="auto"/>
          <w:sz w:val="25"/>
          <w:highlight w:val="none"/>
        </w:rPr>
      </w:pPr>
      <w:r>
        <w:rPr>
          <w:rFonts w:hAnsi="宋体"/>
          <w:color w:val="auto"/>
          <w:sz w:val="25"/>
          <w:highlight w:val="none"/>
        </w:rPr>
        <w:t>二、资格审查材料封面及相关表格如下：</w:t>
      </w: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widowControl/>
        <w:spacing w:line="460" w:lineRule="exact"/>
        <w:ind w:firstLine="480" w:firstLineChars="200"/>
        <w:jc w:val="left"/>
        <w:rPr>
          <w:color w:val="auto"/>
          <w:kern w:val="0"/>
          <w:sz w:val="24"/>
          <w:highlight w:val="none"/>
        </w:rPr>
      </w:pPr>
    </w:p>
    <w:p>
      <w:pPr>
        <w:spacing w:line="360" w:lineRule="auto"/>
        <w:rPr>
          <w:color w:val="auto"/>
          <w:kern w:val="0"/>
          <w:sz w:val="24"/>
          <w:highlight w:val="none"/>
        </w:rPr>
      </w:pPr>
    </w:p>
    <w:p>
      <w:pPr>
        <w:spacing w:line="360" w:lineRule="auto"/>
        <w:rPr>
          <w:color w:val="auto"/>
          <w:kern w:val="0"/>
          <w:sz w:val="24"/>
          <w:highlight w:val="none"/>
        </w:rPr>
      </w:pPr>
    </w:p>
    <w:p>
      <w:pPr>
        <w:rPr>
          <w:rFonts w:hint="eastAsia" w:hAnsi="宋体"/>
          <w:color w:val="auto"/>
          <w:sz w:val="44"/>
          <w:szCs w:val="44"/>
          <w:highlight w:val="none"/>
        </w:rPr>
      </w:pPr>
      <w:r>
        <w:rPr>
          <w:rFonts w:hAnsi="宋体"/>
          <w:color w:val="auto"/>
          <w:sz w:val="44"/>
          <w:szCs w:val="44"/>
          <w:highlight w:val="none"/>
        </w:rPr>
        <w:br w:type="page"/>
      </w:r>
    </w:p>
    <w:p>
      <w:pPr>
        <w:widowControl/>
        <w:spacing w:before="100" w:beforeAutospacing="1" w:after="100" w:afterAutospacing="1" w:line="495" w:lineRule="atLeast"/>
        <w:jc w:val="right"/>
        <w:rPr>
          <w:rFonts w:hint="eastAsia" w:ascii="宋体" w:hAnsi="宋体" w:cs="宋体"/>
          <w:color w:val="auto"/>
          <w:kern w:val="0"/>
          <w:sz w:val="32"/>
          <w:szCs w:val="32"/>
          <w:highlight w:val="none"/>
        </w:rPr>
      </w:pPr>
      <w:r>
        <w:rPr>
          <w:rFonts w:hint="eastAsia" w:ascii="宋体" w:hAnsi="宋体" w:cs="宋体"/>
          <w:color w:val="auto"/>
          <w:kern w:val="0"/>
          <w:sz w:val="44"/>
          <w:szCs w:val="44"/>
          <w:highlight w:val="none"/>
          <w:bdr w:val="single" w:color="000000" w:sz="4" w:space="0"/>
        </w:rPr>
        <w:t>正本/副本</w:t>
      </w:r>
    </w:p>
    <w:p>
      <w:pPr>
        <w:spacing w:line="500" w:lineRule="exact"/>
        <w:jc w:val="center"/>
        <w:rPr>
          <w:rFonts w:hint="eastAsia" w:ascii="宋体" w:hAnsi="宋体"/>
          <w:b/>
          <w:bCs/>
          <w:color w:val="auto"/>
          <w:sz w:val="32"/>
          <w:highlight w:val="none"/>
        </w:rPr>
      </w:pPr>
    </w:p>
    <w:p>
      <w:pPr>
        <w:widowControl/>
        <w:spacing w:before="100" w:beforeAutospacing="1" w:after="100" w:afterAutospacing="1" w:line="495" w:lineRule="atLeast"/>
        <w:ind w:left="360"/>
        <w:jc w:val="center"/>
        <w:rPr>
          <w:rFonts w:hint="eastAsia" w:ascii="宋体" w:hAnsi="宋体" w:cs="宋体"/>
          <w:color w:val="auto"/>
          <w:kern w:val="0"/>
          <w:sz w:val="32"/>
          <w:szCs w:val="32"/>
          <w:highlight w:val="none"/>
        </w:rPr>
      </w:pPr>
      <w:r>
        <w:rPr>
          <w:rFonts w:hint="eastAsia" w:ascii="宋体" w:hAnsi="宋体" w:cs="宋体"/>
          <w:color w:val="auto"/>
          <w:kern w:val="0"/>
          <w:sz w:val="32"/>
          <w:szCs w:val="32"/>
          <w:highlight w:val="none"/>
          <w:u w:val="single"/>
        </w:rPr>
        <w:t xml:space="preserve">                         </w:t>
      </w:r>
      <w:r>
        <w:rPr>
          <w:rFonts w:hint="eastAsia" w:ascii="宋体" w:hAnsi="宋体" w:cs="宋体"/>
          <w:color w:val="auto"/>
          <w:kern w:val="0"/>
          <w:sz w:val="44"/>
          <w:szCs w:val="44"/>
          <w:highlight w:val="none"/>
        </w:rPr>
        <w:t>（项目名称）</w:t>
      </w:r>
    </w:p>
    <w:p>
      <w:pPr>
        <w:widowControl/>
        <w:spacing w:before="100" w:beforeAutospacing="1" w:after="100" w:afterAutospacing="1" w:line="495" w:lineRule="atLeast"/>
        <w:jc w:val="left"/>
        <w:rPr>
          <w:rFonts w:hint="eastAsia" w:ascii="宋体" w:hAnsi="宋体" w:cs="宋体"/>
          <w:color w:val="auto"/>
          <w:kern w:val="0"/>
          <w:sz w:val="32"/>
          <w:szCs w:val="32"/>
          <w:highlight w:val="none"/>
        </w:rPr>
      </w:pPr>
    </w:p>
    <w:p>
      <w:pPr>
        <w:widowControl/>
        <w:spacing w:before="100" w:beforeAutospacing="1" w:after="100" w:afterAutospacing="1" w:line="495" w:lineRule="atLeast"/>
        <w:jc w:val="left"/>
        <w:rPr>
          <w:rFonts w:hint="eastAsia" w:ascii="宋体" w:hAnsi="宋体" w:cs="宋体"/>
          <w:color w:val="auto"/>
          <w:kern w:val="0"/>
          <w:sz w:val="32"/>
          <w:szCs w:val="32"/>
          <w:highlight w:val="none"/>
        </w:rPr>
      </w:pPr>
      <w:r>
        <w:rPr>
          <w:rFonts w:hint="eastAsia" w:ascii="宋体" w:hAnsi="宋体" w:cs="宋体"/>
          <w:color w:val="auto"/>
          <w:kern w:val="0"/>
          <w:sz w:val="44"/>
          <w:szCs w:val="44"/>
          <w:highlight w:val="none"/>
        </w:rPr>
        <w:t> </w:t>
      </w:r>
    </w:p>
    <w:p>
      <w:pPr>
        <w:widowControl/>
        <w:spacing w:before="100" w:beforeAutospacing="1" w:after="100" w:afterAutospacing="1" w:line="495" w:lineRule="atLeast"/>
        <w:jc w:val="left"/>
        <w:rPr>
          <w:rFonts w:hint="eastAsia" w:ascii="宋体" w:hAnsi="宋体" w:cs="宋体"/>
          <w:color w:val="auto"/>
          <w:kern w:val="0"/>
          <w:sz w:val="32"/>
          <w:szCs w:val="32"/>
          <w:highlight w:val="none"/>
        </w:rPr>
      </w:pPr>
    </w:p>
    <w:p>
      <w:pPr>
        <w:widowControl/>
        <w:spacing w:before="100" w:beforeAutospacing="1" w:after="100" w:afterAutospacing="1" w:line="495" w:lineRule="atLeast"/>
        <w:jc w:val="center"/>
        <w:rPr>
          <w:rFonts w:hint="eastAsia" w:ascii="宋体" w:hAnsi="宋体" w:cs="宋体"/>
          <w:color w:val="auto"/>
          <w:kern w:val="0"/>
          <w:sz w:val="32"/>
          <w:szCs w:val="32"/>
          <w:highlight w:val="none"/>
        </w:rPr>
      </w:pPr>
      <w:r>
        <w:rPr>
          <w:rFonts w:hint="eastAsia" w:ascii="宋体" w:hAnsi="宋体" w:cs="宋体"/>
          <w:color w:val="auto"/>
          <w:kern w:val="0"/>
          <w:sz w:val="72"/>
          <w:szCs w:val="72"/>
          <w:highlight w:val="none"/>
        </w:rPr>
        <w:t>投</w:t>
      </w:r>
      <w:r>
        <w:rPr>
          <w:rFonts w:hint="eastAsia" w:ascii="宋体" w:hAnsi="宋体" w:cs="宋体"/>
          <w:color w:val="auto"/>
          <w:kern w:val="0"/>
          <w:sz w:val="72"/>
          <w:highlight w:val="none"/>
        </w:rPr>
        <w:t> </w:t>
      </w:r>
      <w:r>
        <w:rPr>
          <w:rFonts w:hint="eastAsia" w:ascii="宋体" w:hAnsi="宋体" w:cs="宋体"/>
          <w:color w:val="auto"/>
          <w:kern w:val="0"/>
          <w:sz w:val="72"/>
          <w:szCs w:val="72"/>
          <w:highlight w:val="none"/>
        </w:rPr>
        <w:t>标</w:t>
      </w:r>
      <w:r>
        <w:rPr>
          <w:rFonts w:hint="eastAsia" w:ascii="宋体" w:hAnsi="宋体" w:cs="宋体"/>
          <w:color w:val="auto"/>
          <w:kern w:val="0"/>
          <w:sz w:val="72"/>
          <w:highlight w:val="none"/>
        </w:rPr>
        <w:t> </w:t>
      </w:r>
      <w:r>
        <w:rPr>
          <w:rFonts w:hint="eastAsia" w:ascii="宋体" w:hAnsi="宋体" w:cs="宋体"/>
          <w:color w:val="auto"/>
          <w:kern w:val="0"/>
          <w:sz w:val="72"/>
          <w:szCs w:val="72"/>
          <w:highlight w:val="none"/>
        </w:rPr>
        <w:t>书</w:t>
      </w:r>
    </w:p>
    <w:p>
      <w:pPr>
        <w:widowControl/>
        <w:spacing w:before="100" w:beforeAutospacing="1" w:after="100" w:afterAutospacing="1" w:line="495" w:lineRule="atLeast"/>
        <w:jc w:val="center"/>
        <w:rPr>
          <w:rFonts w:hint="eastAsia" w:ascii="宋体" w:hAnsi="宋体" w:cs="宋体"/>
          <w:color w:val="auto"/>
          <w:kern w:val="0"/>
          <w:sz w:val="32"/>
          <w:szCs w:val="32"/>
          <w:highlight w:val="none"/>
        </w:rPr>
      </w:pPr>
      <w:r>
        <w:rPr>
          <w:rFonts w:hint="eastAsia" w:ascii="宋体" w:hAnsi="宋体" w:cs="宋体"/>
          <w:color w:val="auto"/>
          <w:kern w:val="0"/>
          <w:sz w:val="44"/>
          <w:szCs w:val="44"/>
          <w:highlight w:val="none"/>
        </w:rPr>
        <w:t>（资格审查材料）</w:t>
      </w:r>
    </w:p>
    <w:p>
      <w:pPr>
        <w:widowControl/>
        <w:spacing w:before="100" w:beforeAutospacing="1" w:after="100" w:afterAutospacing="1" w:line="495" w:lineRule="atLeast"/>
        <w:jc w:val="left"/>
        <w:rPr>
          <w:rFonts w:hint="eastAsia" w:ascii="宋体" w:hAnsi="宋体" w:cs="宋体"/>
          <w:color w:val="auto"/>
          <w:kern w:val="0"/>
          <w:sz w:val="32"/>
          <w:szCs w:val="32"/>
          <w:highlight w:val="none"/>
        </w:rPr>
      </w:pPr>
      <w:r>
        <w:rPr>
          <w:rFonts w:hint="eastAsia" w:ascii="宋体" w:hAnsi="宋体" w:cs="宋体"/>
          <w:color w:val="auto"/>
          <w:kern w:val="0"/>
          <w:sz w:val="28"/>
          <w:szCs w:val="28"/>
          <w:highlight w:val="none"/>
        </w:rPr>
        <w:t> </w:t>
      </w:r>
    </w:p>
    <w:p>
      <w:pPr>
        <w:widowControl/>
        <w:spacing w:before="100" w:beforeAutospacing="1" w:after="100" w:afterAutospacing="1" w:line="495" w:lineRule="atLeast"/>
        <w:jc w:val="left"/>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 </w:t>
      </w:r>
    </w:p>
    <w:p>
      <w:pPr>
        <w:widowControl/>
        <w:spacing w:before="100" w:beforeAutospacing="1" w:after="100" w:afterAutospacing="1" w:line="495" w:lineRule="atLeast"/>
        <w:jc w:val="left"/>
        <w:rPr>
          <w:rFonts w:hint="eastAsia" w:ascii="宋体" w:hAnsi="宋体" w:cs="宋体"/>
          <w:color w:val="auto"/>
          <w:kern w:val="0"/>
          <w:sz w:val="32"/>
          <w:szCs w:val="32"/>
          <w:highlight w:val="none"/>
        </w:rPr>
      </w:pPr>
    </w:p>
    <w:p>
      <w:pPr>
        <w:widowControl/>
        <w:spacing w:line="495" w:lineRule="atLeast"/>
        <w:rPr>
          <w:rFonts w:hint="eastAsia" w:ascii="宋体" w:hAnsi="宋体" w:cs="宋体"/>
          <w:color w:val="auto"/>
          <w:kern w:val="0"/>
          <w:sz w:val="32"/>
          <w:szCs w:val="32"/>
          <w:highlight w:val="none"/>
        </w:rPr>
      </w:pPr>
      <w:r>
        <w:rPr>
          <w:rFonts w:hint="eastAsia" w:ascii="宋体" w:hAnsi="宋体" w:cs="宋体"/>
          <w:color w:val="auto"/>
          <w:kern w:val="0"/>
          <w:sz w:val="28"/>
          <w:szCs w:val="28"/>
          <w:highlight w:val="none"/>
        </w:rPr>
        <w:t>投标人：</w:t>
      </w:r>
      <w:r>
        <w:rPr>
          <w:rFonts w:hint="eastAsia" w:ascii="宋体" w:hAnsi="宋体" w:cs="宋体"/>
          <w:color w:val="auto"/>
          <w:kern w:val="0"/>
          <w:sz w:val="32"/>
          <w:szCs w:val="32"/>
          <w:highlight w:val="none"/>
          <w:u w:val="single"/>
        </w:rPr>
        <w:t xml:space="preserve">                       </w:t>
      </w:r>
      <w:r>
        <w:rPr>
          <w:rFonts w:hint="eastAsia" w:ascii="宋体" w:hAnsi="宋体" w:cs="宋体"/>
          <w:color w:val="auto"/>
          <w:kern w:val="0"/>
          <w:sz w:val="28"/>
          <w:szCs w:val="28"/>
          <w:highlight w:val="none"/>
        </w:rPr>
        <w:t>（盖单位公章）</w:t>
      </w:r>
    </w:p>
    <w:p>
      <w:pPr>
        <w:widowControl/>
        <w:spacing w:line="495" w:lineRule="atLeast"/>
        <w:ind w:firstLine="640" w:firstLineChars="200"/>
        <w:rPr>
          <w:rFonts w:hint="eastAsia" w:ascii="宋体" w:hAnsi="宋体" w:cs="宋体"/>
          <w:color w:val="auto"/>
          <w:kern w:val="0"/>
          <w:sz w:val="32"/>
          <w:szCs w:val="32"/>
          <w:highlight w:val="none"/>
        </w:rPr>
      </w:pPr>
      <w:r>
        <w:rPr>
          <w:rFonts w:hint="eastAsia" w:ascii="宋体" w:hAnsi="宋体" w:cs="宋体"/>
          <w:color w:val="auto"/>
          <w:kern w:val="0"/>
          <w:sz w:val="32"/>
          <w:szCs w:val="32"/>
          <w:highlight w:val="none"/>
        </w:rPr>
        <w:t> </w:t>
      </w:r>
    </w:p>
    <w:p>
      <w:pPr>
        <w:widowControl/>
        <w:spacing w:line="495" w:lineRule="atLeast"/>
        <w:rPr>
          <w:rFonts w:hint="eastAsia" w:ascii="宋体" w:hAnsi="宋体" w:cs="宋体"/>
          <w:color w:val="auto"/>
          <w:kern w:val="0"/>
          <w:sz w:val="32"/>
          <w:szCs w:val="32"/>
          <w:highlight w:val="none"/>
        </w:rPr>
      </w:pPr>
      <w:r>
        <w:rPr>
          <w:rFonts w:hint="eastAsia" w:ascii="宋体" w:hAnsi="宋体" w:cs="宋体"/>
          <w:color w:val="auto"/>
          <w:sz w:val="28"/>
          <w:szCs w:val="28"/>
          <w:highlight w:val="none"/>
        </w:rPr>
        <w:t>法定代表人（分支机构负责人）或其委托代理人：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（签字或印章）</w:t>
      </w:r>
    </w:p>
    <w:p>
      <w:pPr>
        <w:widowControl/>
        <w:spacing w:line="495" w:lineRule="atLeast"/>
        <w:ind w:firstLine="640" w:firstLineChars="200"/>
        <w:rPr>
          <w:rFonts w:hint="eastAsia" w:ascii="宋体" w:hAnsi="宋体" w:cs="宋体"/>
          <w:color w:val="auto"/>
          <w:kern w:val="0"/>
          <w:sz w:val="32"/>
          <w:szCs w:val="32"/>
          <w:highlight w:val="none"/>
        </w:rPr>
      </w:pPr>
      <w:r>
        <w:rPr>
          <w:rFonts w:hint="eastAsia" w:ascii="宋体" w:hAnsi="宋体" w:cs="宋体"/>
          <w:color w:val="auto"/>
          <w:kern w:val="0"/>
          <w:sz w:val="32"/>
          <w:szCs w:val="32"/>
          <w:highlight w:val="none"/>
        </w:rPr>
        <w:t> </w:t>
      </w:r>
    </w:p>
    <w:p>
      <w:pPr>
        <w:widowControl/>
        <w:spacing w:line="495" w:lineRule="atLeast"/>
        <w:rPr>
          <w:rFonts w:hint="eastAsia" w:ascii="宋体" w:hAnsi="宋体" w:cs="宋体"/>
          <w:color w:val="auto"/>
          <w:kern w:val="0"/>
          <w:sz w:val="32"/>
          <w:szCs w:val="32"/>
          <w:highlight w:val="none"/>
          <w:u w:val="single"/>
        </w:rPr>
      </w:pPr>
      <w:r>
        <w:rPr>
          <w:rFonts w:hint="eastAsia" w:ascii="宋体" w:hAnsi="宋体" w:cs="宋体"/>
          <w:color w:val="auto"/>
          <w:sz w:val="28"/>
          <w:szCs w:val="28"/>
          <w:highlight w:val="none"/>
        </w:rPr>
        <w:t>日   期：</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360" w:lineRule="auto"/>
        <w:ind w:firstLine="1084" w:firstLineChars="300"/>
        <w:rPr>
          <w:rFonts w:hint="eastAsia" w:ascii="宋体" w:hAnsi="宋体"/>
          <w:b/>
          <w:color w:val="auto"/>
          <w:sz w:val="36"/>
          <w:highlight w:val="none"/>
        </w:rPr>
      </w:pPr>
    </w:p>
    <w:p>
      <w:pPr>
        <w:rPr>
          <w:rFonts w:hint="eastAsia" w:hAnsi="宋体"/>
          <w:color w:val="auto"/>
          <w:sz w:val="28"/>
          <w:szCs w:val="28"/>
          <w:highlight w:val="none"/>
        </w:rPr>
      </w:pPr>
      <w:r>
        <w:rPr>
          <w:rFonts w:hAnsi="宋体"/>
          <w:color w:val="auto"/>
          <w:sz w:val="28"/>
          <w:szCs w:val="28"/>
          <w:highlight w:val="none"/>
        </w:rPr>
        <w:br w:type="page"/>
      </w:r>
    </w:p>
    <w:p>
      <w:pPr>
        <w:pStyle w:val="9"/>
        <w:spacing w:line="360" w:lineRule="auto"/>
        <w:ind w:firstLine="0"/>
        <w:jc w:val="center"/>
        <w:outlineLvl w:val="1"/>
        <w:rPr>
          <w:color w:val="auto"/>
          <w:sz w:val="32"/>
          <w:highlight w:val="none"/>
        </w:rPr>
      </w:pPr>
      <w:r>
        <w:rPr>
          <w:rFonts w:hAnsi="宋体"/>
          <w:color w:val="auto"/>
          <w:sz w:val="28"/>
          <w:szCs w:val="28"/>
          <w:highlight w:val="none"/>
        </w:rPr>
        <w:t>法定代表人身份证明</w:t>
      </w:r>
    </w:p>
    <w:p>
      <w:pPr>
        <w:pStyle w:val="9"/>
        <w:snapToGrid w:val="0"/>
        <w:spacing w:line="440" w:lineRule="exact"/>
        <w:ind w:firstLine="0"/>
        <w:rPr>
          <w:color w:val="auto"/>
          <w:sz w:val="30"/>
          <w:highlight w:val="none"/>
        </w:rPr>
      </w:pPr>
    </w:p>
    <w:p>
      <w:pPr>
        <w:adjustRightInd w:val="0"/>
        <w:snapToGrid w:val="0"/>
        <w:spacing w:line="440" w:lineRule="exact"/>
        <w:ind w:firstLine="480" w:firstLineChars="200"/>
        <w:textAlignment w:val="baseline"/>
        <w:rPr>
          <w:rFonts w:hint="eastAsia" w:ascii="宋体" w:hAnsi="宋体" w:cs="宋体"/>
          <w:color w:val="auto"/>
          <w:kern w:val="0"/>
          <w:sz w:val="24"/>
          <w:highlight w:val="none"/>
          <w:u w:val="single"/>
        </w:rPr>
      </w:pPr>
      <w:r>
        <w:rPr>
          <w:rFonts w:hint="eastAsia" w:ascii="宋体" w:hAnsi="宋体" w:cs="宋体"/>
          <w:color w:val="auto"/>
          <w:kern w:val="0"/>
          <w:sz w:val="24"/>
          <w:highlight w:val="none"/>
        </w:rPr>
        <w:t>投标人单位名称：</w:t>
      </w:r>
      <w:r>
        <w:rPr>
          <w:rFonts w:hint="eastAsia" w:ascii="宋体" w:hAnsi="宋体" w:cs="宋体"/>
          <w:color w:val="auto"/>
          <w:kern w:val="0"/>
          <w:sz w:val="24"/>
          <w:highlight w:val="none"/>
          <w:u w:val="single"/>
        </w:rPr>
        <w:t xml:space="preserve">          </w:t>
      </w:r>
    </w:p>
    <w:p>
      <w:pPr>
        <w:adjustRightInd w:val="0"/>
        <w:snapToGrid w:val="0"/>
        <w:spacing w:line="440" w:lineRule="exact"/>
        <w:ind w:firstLine="480" w:firstLineChars="200"/>
        <w:textAlignment w:val="baseline"/>
        <w:rPr>
          <w:rFonts w:hint="eastAsia" w:ascii="宋体" w:hAnsi="宋体" w:cs="宋体"/>
          <w:color w:val="auto"/>
          <w:kern w:val="0"/>
          <w:sz w:val="24"/>
          <w:highlight w:val="none"/>
          <w:u w:val="single"/>
        </w:rPr>
      </w:pPr>
      <w:r>
        <w:rPr>
          <w:rFonts w:hint="eastAsia" w:ascii="宋体" w:hAnsi="宋体" w:cs="宋体"/>
          <w:color w:val="auto"/>
          <w:kern w:val="0"/>
          <w:sz w:val="24"/>
          <w:highlight w:val="none"/>
        </w:rPr>
        <w:t>投标人单位性质：</w:t>
      </w:r>
      <w:r>
        <w:rPr>
          <w:rFonts w:hint="eastAsia" w:ascii="宋体" w:hAnsi="宋体" w:cs="宋体"/>
          <w:color w:val="auto"/>
          <w:kern w:val="0"/>
          <w:sz w:val="24"/>
          <w:highlight w:val="none"/>
          <w:u w:val="single"/>
        </w:rPr>
        <w:t xml:space="preserve">          </w:t>
      </w:r>
    </w:p>
    <w:p>
      <w:pPr>
        <w:adjustRightInd w:val="0"/>
        <w:snapToGrid w:val="0"/>
        <w:spacing w:line="440" w:lineRule="exact"/>
        <w:ind w:firstLine="480" w:firstLineChars="200"/>
        <w:textAlignment w:val="baseline"/>
        <w:rPr>
          <w:rFonts w:hint="eastAsia" w:ascii="宋体" w:hAnsi="宋体" w:cs="宋体"/>
          <w:color w:val="auto"/>
          <w:kern w:val="0"/>
          <w:sz w:val="24"/>
          <w:highlight w:val="none"/>
          <w:u w:val="single"/>
        </w:rPr>
      </w:pPr>
      <w:r>
        <w:rPr>
          <w:rFonts w:hint="eastAsia" w:ascii="宋体" w:hAnsi="宋体" w:cs="宋体"/>
          <w:color w:val="auto"/>
          <w:kern w:val="0"/>
          <w:sz w:val="24"/>
          <w:highlight w:val="none"/>
        </w:rPr>
        <w:t>投标人单位地址：</w:t>
      </w:r>
      <w:r>
        <w:rPr>
          <w:rFonts w:hint="eastAsia" w:ascii="宋体" w:hAnsi="宋体" w:cs="宋体"/>
          <w:color w:val="auto"/>
          <w:kern w:val="0"/>
          <w:sz w:val="24"/>
          <w:highlight w:val="none"/>
          <w:u w:val="single"/>
        </w:rPr>
        <w:t xml:space="preserve">          </w:t>
      </w:r>
    </w:p>
    <w:p>
      <w:pPr>
        <w:adjustRightInd w:val="0"/>
        <w:snapToGrid w:val="0"/>
        <w:spacing w:line="440" w:lineRule="exact"/>
        <w:ind w:firstLine="480" w:firstLineChars="200"/>
        <w:textAlignment w:val="baseline"/>
        <w:rPr>
          <w:rFonts w:hint="eastAsia" w:ascii="宋体" w:hAnsi="宋体" w:cs="宋体"/>
          <w:color w:val="auto"/>
          <w:kern w:val="0"/>
          <w:sz w:val="24"/>
          <w:highlight w:val="none"/>
          <w:u w:val="single"/>
        </w:rPr>
      </w:pPr>
      <w:r>
        <w:rPr>
          <w:rFonts w:hint="eastAsia" w:ascii="宋体" w:hAnsi="宋体" w:cs="宋体"/>
          <w:color w:val="auto"/>
          <w:kern w:val="0"/>
          <w:sz w:val="24"/>
          <w:highlight w:val="none"/>
        </w:rPr>
        <w:t>成立时间：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月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pPr>
        <w:adjustRightInd w:val="0"/>
        <w:snapToGrid w:val="0"/>
        <w:spacing w:line="440" w:lineRule="exact"/>
        <w:ind w:firstLine="480" w:firstLineChars="200"/>
        <w:textAlignment w:val="baseline"/>
        <w:rPr>
          <w:rFonts w:hint="eastAsia" w:ascii="宋体" w:hAnsi="宋体" w:cs="宋体"/>
          <w:color w:val="auto"/>
          <w:kern w:val="0"/>
          <w:sz w:val="24"/>
          <w:highlight w:val="none"/>
          <w:u w:val="single"/>
        </w:rPr>
      </w:pPr>
      <w:r>
        <w:rPr>
          <w:rFonts w:hint="eastAsia" w:ascii="宋体" w:hAnsi="宋体" w:cs="宋体"/>
          <w:color w:val="auto"/>
          <w:kern w:val="0"/>
          <w:sz w:val="24"/>
          <w:highlight w:val="none"/>
        </w:rPr>
        <w:t>经营期限：</w:t>
      </w:r>
      <w:r>
        <w:rPr>
          <w:rFonts w:hint="eastAsia" w:ascii="宋体" w:hAnsi="宋体" w:cs="宋体"/>
          <w:color w:val="auto"/>
          <w:kern w:val="0"/>
          <w:sz w:val="24"/>
          <w:highlight w:val="none"/>
          <w:u w:val="single"/>
        </w:rPr>
        <w:t xml:space="preserve">          </w:t>
      </w:r>
    </w:p>
    <w:p>
      <w:pPr>
        <w:adjustRightInd w:val="0"/>
        <w:snapToGrid w:val="0"/>
        <w:spacing w:line="440" w:lineRule="exact"/>
        <w:ind w:firstLine="480" w:firstLineChars="200"/>
        <w:textAlignment w:val="baseline"/>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性别：</w:t>
      </w:r>
      <w:r>
        <w:rPr>
          <w:rFonts w:hint="eastAsia" w:ascii="宋体" w:hAnsi="宋体" w:cs="宋体"/>
          <w:color w:val="auto"/>
          <w:kern w:val="0"/>
          <w:sz w:val="24"/>
          <w:highlight w:val="none"/>
          <w:u w:val="single"/>
        </w:rPr>
        <w:t xml:space="preserve">          </w:t>
      </w:r>
    </w:p>
    <w:p>
      <w:pPr>
        <w:adjustRightInd w:val="0"/>
        <w:snapToGrid w:val="0"/>
        <w:spacing w:line="440" w:lineRule="exact"/>
        <w:ind w:firstLine="480" w:firstLineChars="200"/>
        <w:textAlignment w:val="baseline"/>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年龄：</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职务：</w:t>
      </w:r>
      <w:r>
        <w:rPr>
          <w:rFonts w:hint="eastAsia" w:ascii="宋体" w:hAnsi="宋体" w:cs="宋体"/>
          <w:color w:val="auto"/>
          <w:kern w:val="0"/>
          <w:sz w:val="24"/>
          <w:highlight w:val="none"/>
          <w:u w:val="single"/>
        </w:rPr>
        <w:t xml:space="preserve">          </w:t>
      </w:r>
    </w:p>
    <w:p>
      <w:pPr>
        <w:adjustRightInd w:val="0"/>
        <w:snapToGrid w:val="0"/>
        <w:spacing w:line="440" w:lineRule="exact"/>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(投标人单位名称)的法定代表人。</w:t>
      </w:r>
    </w:p>
    <w:p>
      <w:pPr>
        <w:adjustRightInd w:val="0"/>
        <w:snapToGrid w:val="0"/>
        <w:spacing w:line="440" w:lineRule="exact"/>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法定代表人联系电话：</w:t>
      </w:r>
      <w:r>
        <w:rPr>
          <w:rFonts w:hint="eastAsia" w:ascii="宋体" w:hAnsi="宋体" w:cs="宋体"/>
          <w:color w:val="auto"/>
          <w:kern w:val="0"/>
          <w:sz w:val="24"/>
          <w:highlight w:val="none"/>
          <w:u w:val="single"/>
        </w:rPr>
        <w:t xml:space="preserve">          </w:t>
      </w:r>
    </w:p>
    <w:p>
      <w:pPr>
        <w:adjustRightInd w:val="0"/>
        <w:snapToGrid w:val="0"/>
        <w:spacing w:line="440" w:lineRule="exact"/>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特此证明。</w:t>
      </w:r>
    </w:p>
    <w:p>
      <w:pPr>
        <w:pStyle w:val="9"/>
        <w:spacing w:line="360" w:lineRule="auto"/>
        <w:ind w:firstLine="0"/>
        <w:rPr>
          <w:rFonts w:hint="eastAsia" w:ascii="宋体" w:hAnsi="宋体"/>
          <w:color w:val="auto"/>
          <w:sz w:val="30"/>
          <w:highlight w:val="none"/>
        </w:rPr>
      </w:pPr>
    </w:p>
    <w:p>
      <w:pPr>
        <w:pStyle w:val="9"/>
        <w:spacing w:line="360" w:lineRule="auto"/>
        <w:ind w:firstLine="0"/>
        <w:jc w:val="center"/>
        <w:rPr>
          <w:rFonts w:hint="eastAsia" w:ascii="宋体" w:hAnsi="宋体"/>
          <w:color w:val="auto"/>
          <w:sz w:val="30"/>
          <w:highlight w:val="none"/>
        </w:rPr>
      </w:pPr>
      <w:r>
        <w:rPr>
          <w:rFonts w:ascii="宋体" w:hAnsi="宋体"/>
          <w:color w:val="auto"/>
          <w:sz w:val="30"/>
          <w:highlight w:val="none"/>
        </w:rPr>
        <mc:AlternateContent>
          <mc:Choice Requires="wps">
            <w:drawing>
              <wp:anchor distT="0" distB="0" distL="114300" distR="114300" simplePos="0" relativeHeight="251659264" behindDoc="0" locked="0" layoutInCell="1" allowOverlap="1">
                <wp:simplePos x="0" y="0"/>
                <wp:positionH relativeFrom="column">
                  <wp:posOffset>148590</wp:posOffset>
                </wp:positionH>
                <wp:positionV relativeFrom="paragraph">
                  <wp:posOffset>3175</wp:posOffset>
                </wp:positionV>
                <wp:extent cx="5126355" cy="1931670"/>
                <wp:effectExtent l="7620" t="7620" r="17145" b="11430"/>
                <wp:wrapNone/>
                <wp:docPr id="3" name="圆角矩形 3"/>
                <wp:cNvGraphicFramePr/>
                <a:graphic xmlns:a="http://schemas.openxmlformats.org/drawingml/2006/main">
                  <a:graphicData uri="http://schemas.microsoft.com/office/word/2010/wordprocessingShape">
                    <wps:wsp>
                      <wps:cNvSpPr/>
                      <wps:spPr>
                        <a:xfrm>
                          <a:off x="0" y="0"/>
                          <a:ext cx="5126355" cy="1931670"/>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txbxContent>
                      </wps:txbx>
                      <wps:bodyPr upright="1"/>
                    </wps:wsp>
                  </a:graphicData>
                </a:graphic>
              </wp:anchor>
            </w:drawing>
          </mc:Choice>
          <mc:Fallback>
            <w:pict>
              <v:roundrect id="_x0000_s1026" o:spid="_x0000_s1026" o:spt="2" style="position:absolute;left:0pt;margin-left:11.7pt;margin-top:0.25pt;height:152.1pt;width:403.65pt;z-index:251659264;mso-width-relative:page;mso-height-relative:page;" filled="f" stroked="t" coordsize="21600,21600" arcsize="0.166666666666667" o:gfxdata="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JlJ&#10;YCTWAAAABwEAAA8AAAAAAAAAAQAgAAAAIgAAAGRycy9kb3ducmV2LnhtbFBLAQIUABQAAAAIAIdO&#10;4kDCOo4QJQIAADwEAAAOAAAAAAAAAAEAIAAAACUBAABkcnMvZTJvRG9jLnhtbFBLBQYAAAAABgAG&#10;AFkBAAC8BQAAAAA=&#10;">
                <v:fill on="f" focussize="0,0"/>
                <v:stroke weight="1.25pt" color="#000000" joinstyle="round" dashstyle="dash"/>
                <v:imagedata o:title=""/>
                <o:lock v:ext="edit" aspectratio="f"/>
                <v:textbox>
                  <w:txbxContent>
                    <w:p/>
                  </w:txbxContent>
                </v:textbox>
              </v:roundrect>
            </w:pict>
          </mc:Fallback>
        </mc:AlternateContent>
      </w:r>
    </w:p>
    <w:p>
      <w:pPr>
        <w:pStyle w:val="9"/>
        <w:spacing w:line="360" w:lineRule="auto"/>
        <w:ind w:firstLine="793" w:firstLineChars="329"/>
        <w:rPr>
          <w:rFonts w:hint="eastAsia" w:ascii="宋体" w:hAnsi="宋体"/>
          <w:b/>
          <w:color w:val="auto"/>
          <w:highlight w:val="none"/>
        </w:rPr>
      </w:pPr>
      <w:r>
        <w:rPr>
          <w:rFonts w:hint="eastAsia" w:ascii="宋体" w:hAnsi="宋体"/>
          <w:b/>
          <w:color w:val="auto"/>
          <w:highlight w:val="none"/>
        </w:rPr>
        <w:t>法定代表人身份证复印件贴于此处。</w:t>
      </w:r>
    </w:p>
    <w:p>
      <w:pPr>
        <w:pStyle w:val="9"/>
        <w:spacing w:line="360" w:lineRule="auto"/>
        <w:ind w:firstLine="0"/>
        <w:jc w:val="center"/>
        <w:rPr>
          <w:rFonts w:hint="eastAsia" w:ascii="宋体" w:hAnsi="宋体"/>
          <w:color w:val="auto"/>
          <w:sz w:val="30"/>
          <w:highlight w:val="none"/>
        </w:rPr>
      </w:pPr>
    </w:p>
    <w:p>
      <w:pPr>
        <w:pStyle w:val="9"/>
        <w:spacing w:line="360" w:lineRule="auto"/>
        <w:jc w:val="center"/>
        <w:rPr>
          <w:rFonts w:hint="eastAsia" w:ascii="宋体" w:hAnsi="宋体"/>
          <w:color w:val="auto"/>
          <w:sz w:val="30"/>
          <w:highlight w:val="none"/>
        </w:rPr>
      </w:pPr>
    </w:p>
    <w:p>
      <w:pPr>
        <w:pStyle w:val="9"/>
        <w:snapToGrid w:val="0"/>
        <w:spacing w:line="440" w:lineRule="exact"/>
        <w:ind w:firstLine="480" w:firstLineChars="200"/>
        <w:rPr>
          <w:rFonts w:hint="eastAsia" w:ascii="宋体" w:hAnsi="宋体"/>
          <w:color w:val="auto"/>
          <w:highlight w:val="none"/>
        </w:rPr>
      </w:pPr>
    </w:p>
    <w:p>
      <w:pPr>
        <w:pStyle w:val="9"/>
        <w:snapToGrid w:val="0"/>
        <w:spacing w:line="440" w:lineRule="exact"/>
        <w:ind w:firstLine="480" w:firstLineChars="200"/>
        <w:rPr>
          <w:rFonts w:hint="eastAsia" w:ascii="宋体" w:hAnsi="宋体"/>
          <w:color w:val="auto"/>
          <w:highlight w:val="none"/>
        </w:rPr>
      </w:pPr>
    </w:p>
    <w:p>
      <w:pPr>
        <w:pStyle w:val="9"/>
        <w:snapToGrid w:val="0"/>
        <w:spacing w:line="440" w:lineRule="exact"/>
        <w:ind w:firstLine="480" w:firstLineChars="200"/>
        <w:rPr>
          <w:rFonts w:hint="eastAsia" w:ascii="宋体" w:hAnsi="宋体"/>
          <w:color w:val="auto"/>
          <w:highlight w:val="none"/>
        </w:rPr>
      </w:pPr>
    </w:p>
    <w:p>
      <w:pPr>
        <w:pStyle w:val="9"/>
        <w:snapToGrid w:val="0"/>
        <w:spacing w:line="440" w:lineRule="exact"/>
        <w:ind w:firstLine="3840" w:firstLineChars="1600"/>
        <w:jc w:val="right"/>
        <w:rPr>
          <w:rFonts w:hint="eastAsia" w:ascii="宋体" w:hAnsi="宋体" w:cs="宋体"/>
          <w:color w:val="auto"/>
          <w:highlight w:val="none"/>
        </w:rPr>
      </w:pPr>
      <w:r>
        <w:rPr>
          <w:rFonts w:hint="eastAsia" w:ascii="宋体" w:hAnsi="宋体" w:cs="宋体"/>
          <w:color w:val="auto"/>
          <w:highlight w:val="none"/>
        </w:rPr>
        <w:t>投标人：</w:t>
      </w:r>
      <w:r>
        <w:rPr>
          <w:rFonts w:hint="eastAsia" w:ascii="宋体" w:hAnsi="宋体" w:cs="宋体"/>
          <w:color w:val="auto"/>
          <w:highlight w:val="none"/>
          <w:u w:val="single"/>
        </w:rPr>
        <w:t xml:space="preserve">                 </w:t>
      </w:r>
      <w:r>
        <w:rPr>
          <w:rFonts w:hint="eastAsia" w:ascii="宋体" w:hAnsi="宋体" w:cs="宋体"/>
          <w:color w:val="auto"/>
          <w:highlight w:val="none"/>
        </w:rPr>
        <w:t>(盖单位章)</w:t>
      </w:r>
    </w:p>
    <w:p>
      <w:pPr>
        <w:pStyle w:val="9"/>
        <w:spacing w:line="360" w:lineRule="auto"/>
        <w:ind w:firstLine="0"/>
        <w:jc w:val="center"/>
        <w:rPr>
          <w:rFonts w:hint="eastAsia" w:ascii="宋体" w:hAnsi="宋体"/>
          <w:color w:val="auto"/>
          <w:sz w:val="25"/>
          <w:highlight w:val="none"/>
        </w:rPr>
      </w:pPr>
      <w:r>
        <w:rPr>
          <w:rFonts w:hint="eastAsia" w:ascii="宋体" w:hAnsi="宋体" w:cs="宋体"/>
          <w:color w:val="auto"/>
          <w:highlight w:val="none"/>
        </w:rPr>
        <w:t xml:space="preserve">                                 日   期：</w:t>
      </w:r>
      <w:r>
        <w:rPr>
          <w:rFonts w:hint="eastAsia" w:ascii="宋体" w:hAnsi="宋体" w:cs="宋体"/>
          <w:color w:val="auto"/>
          <w:highlight w:val="none"/>
          <w:u w:val="single"/>
        </w:rPr>
        <w:t xml:space="preserve">        </w:t>
      </w:r>
      <w:r>
        <w:rPr>
          <w:rFonts w:hint="eastAsia" w:ascii="宋体" w:hAnsi="宋体" w:cs="宋体"/>
          <w:color w:val="auto"/>
          <w:highlight w:val="none"/>
        </w:rPr>
        <w:t>年</w:t>
      </w:r>
      <w:r>
        <w:rPr>
          <w:rFonts w:hint="eastAsia" w:ascii="宋体" w:hAnsi="宋体" w:cs="宋体"/>
          <w:color w:val="auto"/>
          <w:highlight w:val="none"/>
          <w:u w:val="single"/>
        </w:rPr>
        <w:t xml:space="preserve">      </w:t>
      </w:r>
      <w:r>
        <w:rPr>
          <w:rFonts w:hint="eastAsia" w:ascii="宋体" w:hAnsi="宋体" w:cs="宋体"/>
          <w:color w:val="auto"/>
          <w:highlight w:val="none"/>
        </w:rPr>
        <w:t>月</w:t>
      </w:r>
      <w:r>
        <w:rPr>
          <w:rFonts w:hint="eastAsia" w:ascii="宋体" w:hAnsi="宋体" w:cs="宋体"/>
          <w:color w:val="auto"/>
          <w:highlight w:val="none"/>
          <w:u w:val="single"/>
        </w:rPr>
        <w:t xml:space="preserve">      </w:t>
      </w:r>
      <w:r>
        <w:rPr>
          <w:rFonts w:hint="eastAsia" w:ascii="宋体" w:hAnsi="宋体" w:cs="宋体"/>
          <w:color w:val="auto"/>
          <w:highlight w:val="none"/>
        </w:rPr>
        <w:t>日</w:t>
      </w:r>
    </w:p>
    <w:p>
      <w:pPr>
        <w:pStyle w:val="9"/>
        <w:spacing w:line="360" w:lineRule="auto"/>
        <w:ind w:firstLine="0"/>
        <w:jc w:val="center"/>
        <w:rPr>
          <w:color w:val="auto"/>
          <w:sz w:val="25"/>
          <w:highlight w:val="none"/>
        </w:rPr>
      </w:pPr>
    </w:p>
    <w:p>
      <w:pPr>
        <w:pStyle w:val="9"/>
        <w:spacing w:line="360" w:lineRule="auto"/>
        <w:ind w:firstLine="0"/>
        <w:jc w:val="center"/>
        <w:rPr>
          <w:color w:val="auto"/>
          <w:sz w:val="25"/>
          <w:highlight w:val="none"/>
        </w:rPr>
      </w:pPr>
    </w:p>
    <w:p>
      <w:pPr>
        <w:pStyle w:val="9"/>
        <w:spacing w:line="360" w:lineRule="auto"/>
        <w:ind w:firstLine="0"/>
        <w:jc w:val="center"/>
        <w:rPr>
          <w:color w:val="auto"/>
          <w:sz w:val="25"/>
          <w:highlight w:val="none"/>
        </w:rPr>
      </w:pPr>
    </w:p>
    <w:p>
      <w:pPr>
        <w:pStyle w:val="9"/>
        <w:spacing w:line="360" w:lineRule="auto"/>
        <w:ind w:firstLine="0"/>
        <w:jc w:val="center"/>
        <w:rPr>
          <w:color w:val="auto"/>
          <w:sz w:val="25"/>
          <w:highlight w:val="none"/>
        </w:rPr>
      </w:pPr>
    </w:p>
    <w:p>
      <w:pPr>
        <w:pStyle w:val="9"/>
        <w:snapToGrid w:val="0"/>
        <w:spacing w:line="440" w:lineRule="exact"/>
        <w:ind w:firstLine="0"/>
        <w:jc w:val="center"/>
        <w:outlineLvl w:val="1"/>
        <w:rPr>
          <w:color w:val="auto"/>
          <w:sz w:val="28"/>
          <w:szCs w:val="28"/>
          <w:highlight w:val="none"/>
        </w:rPr>
      </w:pPr>
      <w:r>
        <w:rPr>
          <w:rFonts w:hAnsi="宋体"/>
          <w:color w:val="auto"/>
          <w:sz w:val="28"/>
          <w:szCs w:val="28"/>
          <w:highlight w:val="none"/>
        </w:rPr>
        <w:br w:type="page"/>
      </w:r>
      <w:r>
        <w:rPr>
          <w:rFonts w:hAnsi="宋体"/>
          <w:color w:val="auto"/>
          <w:sz w:val="28"/>
          <w:szCs w:val="28"/>
          <w:highlight w:val="none"/>
        </w:rPr>
        <w:t>授权委托书</w:t>
      </w:r>
      <w:r>
        <w:rPr>
          <w:rFonts w:hint="eastAsia" w:hAnsi="宋体"/>
          <w:color w:val="auto"/>
          <w:sz w:val="28"/>
          <w:szCs w:val="28"/>
          <w:highlight w:val="none"/>
        </w:rPr>
        <w:t>（如有授权）</w:t>
      </w:r>
    </w:p>
    <w:p>
      <w:pPr>
        <w:pStyle w:val="9"/>
        <w:snapToGrid w:val="0"/>
        <w:spacing w:line="440" w:lineRule="exact"/>
        <w:ind w:firstLine="480"/>
        <w:rPr>
          <w:color w:val="auto"/>
          <w:highlight w:val="none"/>
        </w:rPr>
      </w:pPr>
    </w:p>
    <w:p>
      <w:pPr>
        <w:adjustRightInd w:val="0"/>
        <w:snapToGrid w:val="0"/>
        <w:spacing w:line="440" w:lineRule="exact"/>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本授权委托书声明：本人</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(姓名)系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(投标人单位名称)的法定代表人，现委托</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(姓名)（身份证号：</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）为我方代理人。代理人根据授权，以我方名义签署、澄清、说明、补正、递交、撤回、修改</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（项目名称）施工投标文件，签订合同和处理有关事宜，其法律后果由我方承担。</w:t>
      </w:r>
    </w:p>
    <w:p>
      <w:pPr>
        <w:adjustRightInd w:val="0"/>
        <w:snapToGrid w:val="0"/>
        <w:spacing w:line="440" w:lineRule="exact"/>
        <w:ind w:firstLine="48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委托期限：</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pPr>
        <w:adjustRightInd w:val="0"/>
        <w:snapToGrid w:val="0"/>
        <w:spacing w:line="440" w:lineRule="exact"/>
        <w:ind w:firstLine="480" w:firstLineChars="200"/>
        <w:jc w:val="left"/>
        <w:textAlignment w:val="baseline"/>
        <w:rPr>
          <w:rFonts w:hint="eastAsia" w:ascii="宋体" w:hAnsi="宋体" w:cs="宋体"/>
          <w:color w:val="auto"/>
          <w:kern w:val="0"/>
          <w:sz w:val="28"/>
          <w:szCs w:val="28"/>
          <w:highlight w:val="none"/>
        </w:rPr>
      </w:pPr>
      <w:r>
        <w:rPr>
          <w:rFonts w:hint="eastAsia" w:ascii="宋体" w:hAnsi="宋体" w:cs="宋体"/>
          <w:color w:val="auto"/>
          <w:kern w:val="0"/>
          <w:sz w:val="24"/>
          <w:highlight w:val="none"/>
        </w:rPr>
        <w:t>委托代理人联系电话：</w:t>
      </w:r>
      <w:r>
        <w:rPr>
          <w:rFonts w:hint="eastAsia" w:ascii="宋体" w:hAnsi="宋体" w:cs="宋体"/>
          <w:color w:val="auto"/>
          <w:kern w:val="0"/>
          <w:sz w:val="24"/>
          <w:highlight w:val="none"/>
          <w:u w:val="single"/>
        </w:rPr>
        <w:t xml:space="preserve">          </w:t>
      </w:r>
    </w:p>
    <w:p>
      <w:pPr>
        <w:adjustRightInd w:val="0"/>
        <w:snapToGrid w:val="0"/>
        <w:spacing w:line="440" w:lineRule="exact"/>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代理人无转委托权。</w:t>
      </w:r>
    </w:p>
    <w:p>
      <w:pPr>
        <w:adjustRightInd w:val="0"/>
        <w:snapToGrid w:val="0"/>
        <w:spacing w:line="440" w:lineRule="exact"/>
        <w:textAlignment w:val="baseline"/>
        <w:rPr>
          <w:rFonts w:hint="eastAsia" w:ascii="宋体" w:hAnsi="宋体" w:cs="宋体"/>
          <w:color w:val="auto"/>
          <w:kern w:val="0"/>
          <w:sz w:val="24"/>
          <w:highlight w:val="none"/>
        </w:rPr>
      </w:pPr>
    </w:p>
    <w:p>
      <w:pPr>
        <w:adjustRightInd w:val="0"/>
        <w:snapToGrid w:val="0"/>
        <w:spacing w:line="440" w:lineRule="exac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代理人：</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性别：</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年龄：</w:t>
      </w:r>
      <w:r>
        <w:rPr>
          <w:rFonts w:hint="eastAsia" w:ascii="宋体" w:hAnsi="宋体" w:cs="宋体"/>
          <w:color w:val="auto"/>
          <w:kern w:val="0"/>
          <w:sz w:val="24"/>
          <w:highlight w:val="none"/>
          <w:u w:val="single"/>
        </w:rPr>
        <w:t xml:space="preserve">          </w:t>
      </w:r>
    </w:p>
    <w:p>
      <w:pPr>
        <w:adjustRightInd w:val="0"/>
        <w:snapToGrid w:val="0"/>
        <w:spacing w:line="440" w:lineRule="exac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代理人单位：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部门：</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职务：</w:t>
      </w:r>
      <w:r>
        <w:rPr>
          <w:rFonts w:hint="eastAsia" w:ascii="宋体" w:hAnsi="宋体" w:cs="宋体"/>
          <w:color w:val="auto"/>
          <w:kern w:val="0"/>
          <w:sz w:val="24"/>
          <w:highlight w:val="none"/>
          <w:u w:val="single"/>
        </w:rPr>
        <w:t xml:space="preserve">          </w:t>
      </w:r>
    </w:p>
    <w:p>
      <w:pPr>
        <w:adjustRightInd w:val="0"/>
        <w:snapToGrid w:val="0"/>
        <w:spacing w:line="440" w:lineRule="exact"/>
        <w:textAlignment w:val="baseline"/>
        <w:rPr>
          <w:rFonts w:hint="eastAsia" w:ascii="宋体" w:hAnsi="宋体" w:cs="宋体"/>
          <w:color w:val="auto"/>
          <w:kern w:val="0"/>
          <w:sz w:val="24"/>
          <w:highlight w:val="none"/>
        </w:rPr>
      </w:pPr>
    </w:p>
    <w:p>
      <w:pPr>
        <w:adjustRightInd w:val="0"/>
        <w:snapToGrid w:val="0"/>
        <w:spacing w:line="440" w:lineRule="exac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投标人：</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(盖单位章)</w:t>
      </w:r>
    </w:p>
    <w:p>
      <w:pPr>
        <w:adjustRightInd w:val="0"/>
        <w:snapToGrid w:val="0"/>
        <w:spacing w:line="440" w:lineRule="exact"/>
        <w:textAlignment w:val="baseline"/>
        <w:rPr>
          <w:rFonts w:hint="eastAsia" w:ascii="宋体" w:hAnsi="宋体" w:cs="宋体"/>
          <w:color w:val="auto"/>
          <w:kern w:val="0"/>
          <w:sz w:val="24"/>
          <w:highlight w:val="none"/>
        </w:rPr>
      </w:pPr>
    </w:p>
    <w:p>
      <w:pPr>
        <w:adjustRightInd w:val="0"/>
        <w:snapToGrid w:val="0"/>
        <w:spacing w:line="440" w:lineRule="exact"/>
        <w:textAlignment w:val="baseline"/>
        <w:rPr>
          <w:rFonts w:hint="eastAsia" w:ascii="宋体" w:hAnsi="宋体" w:cs="宋体"/>
          <w:color w:val="auto"/>
          <w:kern w:val="0"/>
          <w:sz w:val="24"/>
          <w:highlight w:val="none"/>
        </w:rPr>
      </w:pPr>
    </w:p>
    <w:p>
      <w:pPr>
        <w:adjustRightInd w:val="0"/>
        <w:snapToGrid w:val="0"/>
        <w:spacing w:line="440" w:lineRule="exac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(签字或印章)</w:t>
      </w:r>
    </w:p>
    <w:p>
      <w:pPr>
        <w:pStyle w:val="9"/>
        <w:snapToGrid w:val="0"/>
        <w:spacing w:line="440" w:lineRule="exact"/>
        <w:ind w:firstLine="0"/>
        <w:rPr>
          <w:rFonts w:hint="eastAsia" w:ascii="宋体" w:hAnsi="宋体"/>
          <w:color w:val="auto"/>
          <w:highlight w:val="none"/>
        </w:rPr>
      </w:pPr>
    </w:p>
    <w:p>
      <w:pPr>
        <w:pStyle w:val="9"/>
        <w:spacing w:line="360" w:lineRule="auto"/>
        <w:ind w:firstLine="0"/>
        <w:jc w:val="center"/>
        <w:rPr>
          <w:rFonts w:hint="eastAsia" w:ascii="宋体" w:hAnsi="宋体"/>
          <w:color w:val="auto"/>
          <w:sz w:val="30"/>
          <w:highlight w:val="none"/>
        </w:rPr>
      </w:pPr>
      <w:r>
        <w:rPr>
          <w:rFonts w:ascii="宋体" w:hAnsi="宋体"/>
          <w:color w:val="auto"/>
          <w:sz w:val="30"/>
          <w:highlight w:val="none"/>
        </w:rPr>
        <mc:AlternateContent>
          <mc:Choice Requires="wps">
            <w:drawing>
              <wp:anchor distT="0" distB="0" distL="114300" distR="114300" simplePos="0" relativeHeight="251660288" behindDoc="0" locked="0" layoutInCell="1" allowOverlap="1">
                <wp:simplePos x="0" y="0"/>
                <wp:positionH relativeFrom="column">
                  <wp:posOffset>-41910</wp:posOffset>
                </wp:positionH>
                <wp:positionV relativeFrom="paragraph">
                  <wp:posOffset>74930</wp:posOffset>
                </wp:positionV>
                <wp:extent cx="5586095" cy="1889125"/>
                <wp:effectExtent l="7620" t="7620" r="14605" b="8255"/>
                <wp:wrapNone/>
                <wp:docPr id="4" name="圆角矩形 4"/>
                <wp:cNvGraphicFramePr/>
                <a:graphic xmlns:a="http://schemas.openxmlformats.org/drawingml/2006/main">
                  <a:graphicData uri="http://schemas.microsoft.com/office/word/2010/wordprocessingShape">
                    <wps:wsp>
                      <wps:cNvSpPr/>
                      <wps:spPr>
                        <a:xfrm>
                          <a:off x="0" y="0"/>
                          <a:ext cx="5586095" cy="1889125"/>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txbxContent>
                      </wps:txbx>
                      <wps:bodyPr upright="1"/>
                    </wps:wsp>
                  </a:graphicData>
                </a:graphic>
              </wp:anchor>
            </w:drawing>
          </mc:Choice>
          <mc:Fallback>
            <w:pict>
              <v:roundrect id="_x0000_s1026" o:spid="_x0000_s1026" o:spt="2" style="position:absolute;left:0pt;margin-left:-3.3pt;margin-top:5.9pt;height:148.75pt;width:439.85pt;z-index:251660288;mso-width-relative:page;mso-height-relative:page;" filled="f" stroked="t" coordsize="21600,21600" arcsize="0.166666666666667" o:gfxdata="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B8WbFdcAAAAJAQAADwAAAAAAAAABACAAAAAiAAAAZHJzL2Rvd25yZXYueG1sUEsBAhQAFAAAAAgA&#10;h07iQBjomPgmAgAAPAQAAA4AAAAAAAAAAQAgAAAAJgEAAGRycy9lMm9Eb2MueG1sUEsFBgAAAAAG&#10;AAYAWQEAAL4FAAAAAA==&#10;">
                <v:fill on="f" focussize="0,0"/>
                <v:stroke weight="1.25pt" color="#000000" joinstyle="round" dashstyle="dash"/>
                <v:imagedata o:title=""/>
                <o:lock v:ext="edit" aspectratio="f"/>
                <v:textbox>
                  <w:txbxContent>
                    <w:p/>
                  </w:txbxContent>
                </v:textbox>
              </v:roundrect>
            </w:pict>
          </mc:Fallback>
        </mc:AlternateContent>
      </w:r>
    </w:p>
    <w:p>
      <w:pPr>
        <w:pStyle w:val="9"/>
        <w:spacing w:line="360" w:lineRule="auto"/>
        <w:ind w:firstLine="0"/>
        <w:jc w:val="center"/>
        <w:rPr>
          <w:rFonts w:hint="eastAsia" w:ascii="宋体" w:hAnsi="宋体"/>
          <w:color w:val="auto"/>
          <w:highlight w:val="none"/>
        </w:rPr>
      </w:pPr>
      <w:r>
        <w:rPr>
          <w:rFonts w:hint="eastAsia" w:ascii="宋体" w:hAnsi="宋体"/>
          <w:color w:val="auto"/>
          <w:highlight w:val="none"/>
        </w:rPr>
        <w:t>委托代理人身份证复印件贴于此处。</w:t>
      </w:r>
    </w:p>
    <w:p>
      <w:pPr>
        <w:pStyle w:val="9"/>
        <w:spacing w:line="360" w:lineRule="auto"/>
        <w:ind w:firstLine="0"/>
        <w:jc w:val="center"/>
        <w:rPr>
          <w:rFonts w:hint="eastAsia" w:ascii="宋体" w:hAnsi="宋体"/>
          <w:color w:val="auto"/>
          <w:sz w:val="30"/>
          <w:highlight w:val="none"/>
        </w:rPr>
      </w:pPr>
    </w:p>
    <w:p>
      <w:pPr>
        <w:pStyle w:val="9"/>
        <w:spacing w:line="360" w:lineRule="auto"/>
        <w:ind w:firstLine="0"/>
        <w:jc w:val="center"/>
        <w:rPr>
          <w:rFonts w:hint="eastAsia" w:ascii="宋体" w:hAnsi="宋体"/>
          <w:color w:val="auto"/>
          <w:sz w:val="30"/>
          <w:highlight w:val="none"/>
        </w:rPr>
      </w:pPr>
    </w:p>
    <w:p>
      <w:pPr>
        <w:pStyle w:val="9"/>
        <w:snapToGrid w:val="0"/>
        <w:spacing w:line="440" w:lineRule="exact"/>
        <w:ind w:firstLine="0"/>
        <w:rPr>
          <w:rFonts w:hint="eastAsia" w:ascii="宋体" w:hAnsi="宋体"/>
          <w:color w:val="auto"/>
          <w:highlight w:val="none"/>
        </w:rPr>
      </w:pPr>
    </w:p>
    <w:p>
      <w:pPr>
        <w:pStyle w:val="9"/>
        <w:snapToGrid w:val="0"/>
        <w:spacing w:line="440" w:lineRule="exact"/>
        <w:ind w:firstLine="0"/>
        <w:jc w:val="right"/>
        <w:rPr>
          <w:rFonts w:hint="eastAsia" w:ascii="宋体" w:hAnsi="宋体"/>
          <w:color w:val="auto"/>
          <w:highlight w:val="none"/>
        </w:rPr>
      </w:pPr>
    </w:p>
    <w:p>
      <w:pPr>
        <w:pStyle w:val="9"/>
        <w:snapToGrid w:val="0"/>
        <w:spacing w:line="440" w:lineRule="exact"/>
        <w:ind w:firstLine="0"/>
        <w:jc w:val="right"/>
        <w:rPr>
          <w:rFonts w:hint="eastAsia" w:ascii="宋体" w:hAnsi="宋体"/>
          <w:color w:val="auto"/>
          <w:highlight w:val="none"/>
        </w:rPr>
      </w:pPr>
    </w:p>
    <w:p>
      <w:pPr>
        <w:pStyle w:val="9"/>
        <w:snapToGrid w:val="0"/>
        <w:spacing w:line="440" w:lineRule="exact"/>
        <w:ind w:firstLine="0"/>
        <w:jc w:val="right"/>
        <w:rPr>
          <w:rFonts w:hint="eastAsia" w:ascii="宋体" w:hAnsi="宋体" w:cs="宋体"/>
          <w:color w:val="auto"/>
          <w:highlight w:val="none"/>
        </w:rPr>
      </w:pPr>
      <w:r>
        <w:rPr>
          <w:rFonts w:hint="eastAsia" w:ascii="宋体" w:hAnsi="宋体" w:cs="宋体"/>
          <w:color w:val="auto"/>
          <w:highlight w:val="none"/>
        </w:rPr>
        <w:t>日期：</w:t>
      </w:r>
      <w:r>
        <w:rPr>
          <w:rFonts w:hint="eastAsia" w:ascii="宋体" w:hAnsi="宋体" w:cs="宋体"/>
          <w:color w:val="auto"/>
          <w:highlight w:val="none"/>
          <w:u w:val="single"/>
        </w:rPr>
        <w:t xml:space="preserve">         </w:t>
      </w:r>
      <w:r>
        <w:rPr>
          <w:rFonts w:hint="eastAsia" w:ascii="宋体" w:hAnsi="宋体" w:cs="宋体"/>
          <w:color w:val="auto"/>
          <w:highlight w:val="none"/>
        </w:rPr>
        <w:t>年</w:t>
      </w:r>
      <w:r>
        <w:rPr>
          <w:rFonts w:hint="eastAsia" w:ascii="宋体" w:hAnsi="宋体" w:cs="宋体"/>
          <w:color w:val="auto"/>
          <w:highlight w:val="none"/>
          <w:u w:val="single"/>
        </w:rPr>
        <w:t xml:space="preserve">       </w:t>
      </w:r>
      <w:r>
        <w:rPr>
          <w:rFonts w:hint="eastAsia" w:ascii="宋体" w:hAnsi="宋体" w:cs="宋体"/>
          <w:color w:val="auto"/>
          <w:highlight w:val="none"/>
        </w:rPr>
        <w:t>月</w:t>
      </w:r>
      <w:r>
        <w:rPr>
          <w:rFonts w:hint="eastAsia" w:ascii="宋体" w:hAnsi="宋体" w:cs="宋体"/>
          <w:color w:val="auto"/>
          <w:highlight w:val="none"/>
          <w:u w:val="single"/>
        </w:rPr>
        <w:t xml:space="preserve">      </w:t>
      </w:r>
      <w:r>
        <w:rPr>
          <w:rFonts w:hint="eastAsia" w:ascii="宋体" w:hAnsi="宋体" w:cs="宋体"/>
          <w:color w:val="auto"/>
          <w:highlight w:val="none"/>
        </w:rPr>
        <w:t>日</w:t>
      </w:r>
    </w:p>
    <w:p>
      <w:pPr>
        <w:adjustRightInd w:val="0"/>
        <w:snapToGrid w:val="0"/>
        <w:spacing w:line="440" w:lineRule="exact"/>
        <w:jc w:val="right"/>
        <w:textAlignment w:val="baseline"/>
        <w:rPr>
          <w:rFonts w:hint="eastAsia" w:ascii="宋体" w:hAnsi="宋体" w:cs="宋体"/>
          <w:color w:val="auto"/>
          <w:kern w:val="0"/>
          <w:sz w:val="24"/>
          <w:highlight w:val="none"/>
        </w:rPr>
      </w:pPr>
    </w:p>
    <w:p>
      <w:pPr>
        <w:pStyle w:val="9"/>
        <w:spacing w:line="360" w:lineRule="auto"/>
        <w:ind w:firstLine="0"/>
        <w:rPr>
          <w:rFonts w:hint="eastAsia" w:ascii="宋体" w:hAnsi="宋体" w:cs="宋体"/>
          <w:b/>
          <w:color w:val="auto"/>
          <w:highlight w:val="none"/>
        </w:rPr>
      </w:pPr>
      <w:r>
        <w:rPr>
          <w:rFonts w:hint="eastAsia" w:ascii="宋体" w:hAnsi="宋体" w:cs="宋体"/>
          <w:b/>
          <w:color w:val="auto"/>
          <w:highlight w:val="none"/>
        </w:rPr>
        <w:t>备注：若系投标人的法定代表人亲自参与本项目投标的一切活动，并签署投标文件，则无需此授权书。</w:t>
      </w:r>
    </w:p>
    <w:p>
      <w:pPr>
        <w:tabs>
          <w:tab w:val="left" w:pos="993"/>
        </w:tabs>
        <w:spacing w:line="360" w:lineRule="auto"/>
        <w:rPr>
          <w:color w:val="auto"/>
          <w:sz w:val="24"/>
          <w:highlight w:val="none"/>
        </w:rPr>
      </w:pPr>
    </w:p>
    <w:p>
      <w:pPr>
        <w:tabs>
          <w:tab w:val="left" w:pos="993"/>
        </w:tabs>
        <w:spacing w:line="360" w:lineRule="auto"/>
        <w:jc w:val="center"/>
        <w:rPr>
          <w:color w:val="auto"/>
          <w:sz w:val="32"/>
          <w:szCs w:val="32"/>
          <w:highlight w:val="none"/>
        </w:rPr>
      </w:pPr>
      <w:r>
        <w:rPr>
          <w:rFonts w:hAnsi="宋体"/>
          <w:color w:val="auto"/>
          <w:sz w:val="32"/>
          <w:szCs w:val="32"/>
          <w:highlight w:val="none"/>
        </w:rPr>
        <w:t>投标申请人一般情况</w:t>
      </w:r>
    </w:p>
    <w:tbl>
      <w:tblPr>
        <w:tblStyle w:val="21"/>
        <w:tblW w:w="8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2654"/>
        <w:gridCol w:w="705"/>
        <w:gridCol w:w="4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pPr>
              <w:tabs>
                <w:tab w:val="left" w:pos="993"/>
              </w:tabs>
              <w:spacing w:line="360" w:lineRule="auto"/>
              <w:rPr>
                <w:color w:val="auto"/>
                <w:szCs w:val="21"/>
                <w:highlight w:val="none"/>
              </w:rPr>
            </w:pPr>
            <w:r>
              <w:rPr>
                <w:color w:val="auto"/>
                <w:szCs w:val="21"/>
                <w:highlight w:val="none"/>
              </w:rPr>
              <w:t>1</w:t>
            </w:r>
          </w:p>
        </w:tc>
        <w:tc>
          <w:tcPr>
            <w:tcW w:w="8062" w:type="dxa"/>
            <w:gridSpan w:val="3"/>
          </w:tcPr>
          <w:p>
            <w:pPr>
              <w:tabs>
                <w:tab w:val="left" w:pos="993"/>
              </w:tabs>
              <w:spacing w:line="360" w:lineRule="auto"/>
              <w:rPr>
                <w:color w:val="auto"/>
                <w:szCs w:val="21"/>
                <w:highlight w:val="none"/>
              </w:rPr>
            </w:pPr>
            <w:r>
              <w:rPr>
                <w:rFonts w:hAnsi="宋体"/>
                <w:color w:val="auto"/>
                <w:szCs w:val="21"/>
                <w:highlight w:val="none"/>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pPr>
              <w:tabs>
                <w:tab w:val="left" w:pos="993"/>
              </w:tabs>
              <w:spacing w:line="360" w:lineRule="auto"/>
              <w:rPr>
                <w:color w:val="auto"/>
                <w:szCs w:val="21"/>
                <w:highlight w:val="none"/>
              </w:rPr>
            </w:pPr>
            <w:r>
              <w:rPr>
                <w:color w:val="auto"/>
                <w:szCs w:val="21"/>
                <w:highlight w:val="none"/>
              </w:rPr>
              <w:t>2</w:t>
            </w:r>
          </w:p>
        </w:tc>
        <w:tc>
          <w:tcPr>
            <w:tcW w:w="8062" w:type="dxa"/>
            <w:gridSpan w:val="3"/>
          </w:tcPr>
          <w:p>
            <w:pPr>
              <w:tabs>
                <w:tab w:val="left" w:pos="993"/>
              </w:tabs>
              <w:spacing w:line="360" w:lineRule="auto"/>
              <w:rPr>
                <w:color w:val="auto"/>
                <w:szCs w:val="21"/>
                <w:highlight w:val="none"/>
              </w:rPr>
            </w:pPr>
            <w:r>
              <w:rPr>
                <w:rFonts w:hAnsi="宋体"/>
                <w:color w:val="auto"/>
                <w:szCs w:val="21"/>
                <w:highlight w:val="none"/>
              </w:rPr>
              <w:t>总部地址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pPr>
              <w:tabs>
                <w:tab w:val="left" w:pos="993"/>
              </w:tabs>
              <w:spacing w:line="360" w:lineRule="auto"/>
              <w:rPr>
                <w:color w:val="auto"/>
                <w:szCs w:val="21"/>
                <w:highlight w:val="none"/>
              </w:rPr>
            </w:pPr>
            <w:r>
              <w:rPr>
                <w:color w:val="auto"/>
                <w:szCs w:val="21"/>
                <w:highlight w:val="none"/>
              </w:rPr>
              <w:t>3</w:t>
            </w:r>
          </w:p>
        </w:tc>
        <w:tc>
          <w:tcPr>
            <w:tcW w:w="8062" w:type="dxa"/>
            <w:gridSpan w:val="3"/>
          </w:tcPr>
          <w:p>
            <w:pPr>
              <w:tabs>
                <w:tab w:val="left" w:pos="993"/>
              </w:tabs>
              <w:spacing w:line="360" w:lineRule="auto"/>
              <w:rPr>
                <w:color w:val="auto"/>
                <w:szCs w:val="21"/>
                <w:highlight w:val="none"/>
              </w:rPr>
            </w:pPr>
            <w:r>
              <w:rPr>
                <w:rFonts w:hAnsi="宋体"/>
                <w:color w:val="auto"/>
                <w:szCs w:val="21"/>
                <w:highlight w:val="none"/>
              </w:rPr>
              <w:t>当地代表处地址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pPr>
              <w:tabs>
                <w:tab w:val="left" w:pos="993"/>
              </w:tabs>
              <w:spacing w:line="360" w:lineRule="auto"/>
              <w:rPr>
                <w:color w:val="auto"/>
                <w:szCs w:val="21"/>
                <w:highlight w:val="none"/>
              </w:rPr>
            </w:pPr>
            <w:r>
              <w:rPr>
                <w:color w:val="auto"/>
                <w:szCs w:val="21"/>
                <w:highlight w:val="none"/>
              </w:rPr>
              <w:t>4</w:t>
            </w:r>
          </w:p>
        </w:tc>
        <w:tc>
          <w:tcPr>
            <w:tcW w:w="3359" w:type="dxa"/>
            <w:gridSpan w:val="2"/>
          </w:tcPr>
          <w:p>
            <w:pPr>
              <w:tabs>
                <w:tab w:val="left" w:pos="993"/>
              </w:tabs>
              <w:spacing w:line="360" w:lineRule="auto"/>
              <w:rPr>
                <w:color w:val="auto"/>
                <w:szCs w:val="21"/>
                <w:highlight w:val="none"/>
              </w:rPr>
            </w:pPr>
            <w:r>
              <w:rPr>
                <w:rFonts w:hAnsi="宋体"/>
                <w:color w:val="auto"/>
                <w:szCs w:val="21"/>
                <w:highlight w:val="none"/>
              </w:rPr>
              <w:t>电话</w:t>
            </w:r>
          </w:p>
        </w:tc>
        <w:tc>
          <w:tcPr>
            <w:tcW w:w="4703" w:type="dxa"/>
          </w:tcPr>
          <w:p>
            <w:pPr>
              <w:tabs>
                <w:tab w:val="left" w:pos="993"/>
              </w:tabs>
              <w:spacing w:line="360" w:lineRule="auto"/>
              <w:rPr>
                <w:color w:val="auto"/>
                <w:szCs w:val="21"/>
                <w:highlight w:val="none"/>
              </w:rPr>
            </w:pPr>
            <w:r>
              <w:rPr>
                <w:rFonts w:hAnsi="宋体"/>
                <w:color w:val="auto"/>
                <w:szCs w:val="21"/>
                <w:highlight w:val="none"/>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pPr>
              <w:tabs>
                <w:tab w:val="left" w:pos="993"/>
              </w:tabs>
              <w:spacing w:line="360" w:lineRule="auto"/>
              <w:rPr>
                <w:color w:val="auto"/>
                <w:szCs w:val="21"/>
                <w:highlight w:val="none"/>
              </w:rPr>
            </w:pPr>
            <w:r>
              <w:rPr>
                <w:color w:val="auto"/>
                <w:szCs w:val="21"/>
                <w:highlight w:val="none"/>
              </w:rPr>
              <w:t>5</w:t>
            </w:r>
          </w:p>
        </w:tc>
        <w:tc>
          <w:tcPr>
            <w:tcW w:w="3359" w:type="dxa"/>
            <w:gridSpan w:val="2"/>
          </w:tcPr>
          <w:p>
            <w:pPr>
              <w:tabs>
                <w:tab w:val="left" w:pos="993"/>
              </w:tabs>
              <w:spacing w:line="360" w:lineRule="auto"/>
              <w:rPr>
                <w:color w:val="auto"/>
                <w:szCs w:val="21"/>
                <w:highlight w:val="none"/>
              </w:rPr>
            </w:pPr>
            <w:r>
              <w:rPr>
                <w:rFonts w:hAnsi="宋体"/>
                <w:color w:val="auto"/>
                <w:szCs w:val="21"/>
                <w:highlight w:val="none"/>
              </w:rPr>
              <w:t>传真</w:t>
            </w:r>
          </w:p>
        </w:tc>
        <w:tc>
          <w:tcPr>
            <w:tcW w:w="4703" w:type="dxa"/>
          </w:tcPr>
          <w:p>
            <w:pPr>
              <w:tabs>
                <w:tab w:val="left" w:pos="993"/>
              </w:tabs>
              <w:spacing w:line="360" w:lineRule="auto"/>
              <w:rPr>
                <w:color w:val="auto"/>
                <w:szCs w:val="21"/>
                <w:highlight w:val="none"/>
              </w:rPr>
            </w:pPr>
            <w:r>
              <w:rPr>
                <w:rFonts w:hAnsi="宋体"/>
                <w:color w:val="auto"/>
                <w:szCs w:val="21"/>
                <w:highlight w:val="none"/>
              </w:rPr>
              <w:t>电子邮件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pPr>
              <w:tabs>
                <w:tab w:val="left" w:pos="993"/>
              </w:tabs>
              <w:spacing w:line="360" w:lineRule="auto"/>
              <w:rPr>
                <w:color w:val="auto"/>
                <w:szCs w:val="21"/>
                <w:highlight w:val="none"/>
              </w:rPr>
            </w:pPr>
            <w:r>
              <w:rPr>
                <w:color w:val="auto"/>
                <w:szCs w:val="21"/>
                <w:highlight w:val="none"/>
              </w:rPr>
              <w:t>6</w:t>
            </w:r>
          </w:p>
        </w:tc>
        <w:tc>
          <w:tcPr>
            <w:tcW w:w="3359" w:type="dxa"/>
            <w:gridSpan w:val="2"/>
          </w:tcPr>
          <w:p>
            <w:pPr>
              <w:tabs>
                <w:tab w:val="left" w:pos="993"/>
              </w:tabs>
              <w:spacing w:line="360" w:lineRule="auto"/>
              <w:rPr>
                <w:color w:val="auto"/>
                <w:szCs w:val="21"/>
                <w:highlight w:val="none"/>
              </w:rPr>
            </w:pPr>
            <w:r>
              <w:rPr>
                <w:rFonts w:hAnsi="宋体"/>
                <w:color w:val="auto"/>
                <w:szCs w:val="21"/>
                <w:highlight w:val="none"/>
              </w:rPr>
              <w:t>注册地</w:t>
            </w:r>
          </w:p>
        </w:tc>
        <w:tc>
          <w:tcPr>
            <w:tcW w:w="4703" w:type="dxa"/>
          </w:tcPr>
          <w:p>
            <w:pPr>
              <w:tabs>
                <w:tab w:val="left" w:pos="993"/>
              </w:tabs>
              <w:spacing w:line="360" w:lineRule="auto"/>
              <w:rPr>
                <w:color w:val="auto"/>
                <w:szCs w:val="21"/>
                <w:highlight w:val="none"/>
              </w:rPr>
            </w:pPr>
            <w:r>
              <w:rPr>
                <w:rFonts w:hAnsi="宋体"/>
                <w:color w:val="auto"/>
                <w:szCs w:val="21"/>
                <w:highlight w:val="none"/>
              </w:rPr>
              <w:t>注册年份（请附营业执照复印件）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pPr>
              <w:tabs>
                <w:tab w:val="left" w:pos="993"/>
              </w:tabs>
              <w:spacing w:line="360" w:lineRule="auto"/>
              <w:rPr>
                <w:color w:val="auto"/>
                <w:szCs w:val="21"/>
                <w:highlight w:val="none"/>
              </w:rPr>
            </w:pPr>
            <w:r>
              <w:rPr>
                <w:color w:val="auto"/>
                <w:szCs w:val="21"/>
                <w:highlight w:val="none"/>
              </w:rPr>
              <w:t>7</w:t>
            </w:r>
          </w:p>
        </w:tc>
        <w:tc>
          <w:tcPr>
            <w:tcW w:w="8062" w:type="dxa"/>
            <w:gridSpan w:val="3"/>
          </w:tcPr>
          <w:p>
            <w:pPr>
              <w:tabs>
                <w:tab w:val="left" w:pos="993"/>
              </w:tabs>
              <w:spacing w:line="360" w:lineRule="auto"/>
              <w:rPr>
                <w:color w:val="auto"/>
                <w:szCs w:val="21"/>
                <w:highlight w:val="none"/>
              </w:rPr>
            </w:pPr>
            <w:r>
              <w:rPr>
                <w:rFonts w:hAnsi="宋体"/>
                <w:color w:val="auto"/>
                <w:szCs w:val="21"/>
                <w:highlight w:val="none"/>
              </w:rPr>
              <w:t>公司资质等级证书号（请附有关证书的复印件）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pPr>
              <w:tabs>
                <w:tab w:val="left" w:pos="993"/>
              </w:tabs>
              <w:spacing w:line="360" w:lineRule="auto"/>
              <w:rPr>
                <w:color w:val="auto"/>
                <w:szCs w:val="21"/>
                <w:highlight w:val="none"/>
              </w:rPr>
            </w:pPr>
            <w:r>
              <w:rPr>
                <w:color w:val="auto"/>
                <w:szCs w:val="21"/>
                <w:highlight w:val="none"/>
              </w:rPr>
              <w:t>8</w:t>
            </w:r>
          </w:p>
        </w:tc>
        <w:tc>
          <w:tcPr>
            <w:tcW w:w="8062" w:type="dxa"/>
            <w:gridSpan w:val="3"/>
          </w:tcPr>
          <w:p>
            <w:pPr>
              <w:tabs>
                <w:tab w:val="left" w:pos="993"/>
              </w:tabs>
              <w:spacing w:line="360" w:lineRule="auto"/>
              <w:rPr>
                <w:color w:val="auto"/>
                <w:szCs w:val="21"/>
                <w:highlight w:val="none"/>
              </w:rPr>
            </w:pPr>
            <w:r>
              <w:rPr>
                <w:rFonts w:hAnsi="宋体"/>
                <w:color w:val="auto"/>
                <w:szCs w:val="21"/>
                <w:highlight w:val="none"/>
              </w:rPr>
              <w:t>公司</w:t>
            </w:r>
            <w:r>
              <w:rPr>
                <w:rFonts w:hAnsi="宋体"/>
                <w:color w:val="auto"/>
                <w:szCs w:val="21"/>
                <w:highlight w:val="none"/>
                <w:u w:val="single"/>
              </w:rPr>
              <w:t>（是否通过，何种）</w:t>
            </w:r>
            <w:r>
              <w:rPr>
                <w:rFonts w:hAnsi="宋体"/>
                <w:color w:val="auto"/>
                <w:szCs w:val="21"/>
                <w:highlight w:val="none"/>
              </w:rPr>
              <w:t>质量保证体系认证（如通过请附相关证书复印件，并提供认证机构年审监督报告）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pPr>
              <w:tabs>
                <w:tab w:val="left" w:pos="993"/>
              </w:tabs>
              <w:spacing w:line="360" w:lineRule="auto"/>
              <w:rPr>
                <w:color w:val="auto"/>
                <w:szCs w:val="21"/>
                <w:highlight w:val="none"/>
              </w:rPr>
            </w:pPr>
            <w:r>
              <w:rPr>
                <w:color w:val="auto"/>
                <w:szCs w:val="21"/>
                <w:highlight w:val="none"/>
              </w:rPr>
              <w:t>9</w:t>
            </w:r>
          </w:p>
        </w:tc>
        <w:tc>
          <w:tcPr>
            <w:tcW w:w="8062" w:type="dxa"/>
            <w:gridSpan w:val="3"/>
          </w:tcPr>
          <w:p>
            <w:pPr>
              <w:tabs>
                <w:tab w:val="left" w:pos="993"/>
              </w:tabs>
              <w:spacing w:line="360" w:lineRule="auto"/>
              <w:rPr>
                <w:color w:val="auto"/>
                <w:szCs w:val="21"/>
                <w:highlight w:val="none"/>
              </w:rPr>
            </w:pPr>
            <w:r>
              <w:rPr>
                <w:rFonts w:hAnsi="宋体"/>
                <w:color w:val="auto"/>
                <w:szCs w:val="21"/>
                <w:highlight w:val="none"/>
              </w:rPr>
              <w:t>主营范围</w:t>
            </w:r>
          </w:p>
          <w:p>
            <w:pPr>
              <w:tabs>
                <w:tab w:val="left" w:pos="993"/>
              </w:tabs>
              <w:spacing w:line="360" w:lineRule="auto"/>
              <w:rPr>
                <w:color w:val="auto"/>
                <w:szCs w:val="21"/>
                <w:highlight w:val="none"/>
                <w:u w:val="single"/>
              </w:rPr>
            </w:pPr>
            <w:r>
              <w:rPr>
                <w:color w:val="auto"/>
                <w:szCs w:val="21"/>
                <w:highlight w:val="none"/>
              </w:rPr>
              <w:t>1.</w:t>
            </w:r>
          </w:p>
          <w:p>
            <w:pPr>
              <w:tabs>
                <w:tab w:val="left" w:pos="993"/>
              </w:tabs>
              <w:spacing w:line="360" w:lineRule="auto"/>
              <w:rPr>
                <w:color w:val="auto"/>
                <w:szCs w:val="21"/>
                <w:highlight w:val="none"/>
                <w:u w:val="single"/>
              </w:rPr>
            </w:pPr>
            <w:r>
              <w:rPr>
                <w:color w:val="auto"/>
                <w:szCs w:val="21"/>
                <w:highlight w:val="none"/>
              </w:rPr>
              <w:t>2.</w:t>
            </w:r>
          </w:p>
          <w:p>
            <w:pPr>
              <w:tabs>
                <w:tab w:val="left" w:pos="993"/>
              </w:tabs>
              <w:spacing w:line="360" w:lineRule="auto"/>
              <w:rPr>
                <w:color w:val="auto"/>
                <w:szCs w:val="21"/>
                <w:highlight w:val="none"/>
                <w:u w:val="single"/>
              </w:rPr>
            </w:pPr>
            <w:r>
              <w:rPr>
                <w:color w:val="auto"/>
                <w:szCs w:val="21"/>
                <w:highlight w:val="none"/>
              </w:rPr>
              <w:t>3.</w:t>
            </w:r>
          </w:p>
          <w:p>
            <w:pPr>
              <w:tabs>
                <w:tab w:val="left" w:pos="993"/>
              </w:tabs>
              <w:spacing w:line="360" w:lineRule="auto"/>
              <w:rPr>
                <w:color w:val="auto"/>
                <w:szCs w:val="21"/>
                <w:highlight w:val="none"/>
                <w:u w:val="single"/>
              </w:rPr>
            </w:pPr>
            <w:r>
              <w:rPr>
                <w:color w:val="auto"/>
                <w:szCs w:val="21"/>
                <w:highlight w:val="none"/>
              </w:rPr>
              <w:t>4.</w:t>
            </w:r>
          </w:p>
          <w:p>
            <w:pPr>
              <w:tabs>
                <w:tab w:val="left" w:pos="993"/>
              </w:tabs>
              <w:spacing w:line="360" w:lineRule="auto"/>
              <w:rPr>
                <w:color w:val="auto"/>
                <w:szCs w:val="21"/>
                <w:highlight w:val="none"/>
              </w:rPr>
            </w:pPr>
            <w:r>
              <w:rPr>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pPr>
              <w:tabs>
                <w:tab w:val="left" w:pos="993"/>
              </w:tabs>
              <w:spacing w:line="360" w:lineRule="auto"/>
              <w:rPr>
                <w:color w:val="auto"/>
                <w:szCs w:val="21"/>
                <w:highlight w:val="none"/>
              </w:rPr>
            </w:pPr>
            <w:r>
              <w:rPr>
                <w:color w:val="auto"/>
                <w:szCs w:val="21"/>
                <w:highlight w:val="none"/>
              </w:rPr>
              <w:t>10</w:t>
            </w:r>
          </w:p>
        </w:tc>
        <w:tc>
          <w:tcPr>
            <w:tcW w:w="2654" w:type="dxa"/>
          </w:tcPr>
          <w:p>
            <w:pPr>
              <w:tabs>
                <w:tab w:val="left" w:pos="993"/>
              </w:tabs>
              <w:spacing w:line="360" w:lineRule="auto"/>
              <w:rPr>
                <w:color w:val="auto"/>
                <w:szCs w:val="21"/>
                <w:highlight w:val="none"/>
              </w:rPr>
            </w:pPr>
            <w:r>
              <w:rPr>
                <w:rFonts w:hAnsi="宋体"/>
                <w:color w:val="auto"/>
                <w:szCs w:val="21"/>
                <w:highlight w:val="none"/>
              </w:rPr>
              <w:t>作为总承包人经历年数</w:t>
            </w:r>
          </w:p>
        </w:tc>
        <w:tc>
          <w:tcPr>
            <w:tcW w:w="5408" w:type="dxa"/>
            <w:gridSpan w:val="2"/>
          </w:tcPr>
          <w:p>
            <w:pPr>
              <w:tabs>
                <w:tab w:val="left" w:pos="993"/>
              </w:tabs>
              <w:spacing w:line="360" w:lineRule="auto"/>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pPr>
              <w:tabs>
                <w:tab w:val="left" w:pos="993"/>
              </w:tabs>
              <w:spacing w:line="360" w:lineRule="auto"/>
              <w:rPr>
                <w:color w:val="auto"/>
                <w:szCs w:val="21"/>
                <w:highlight w:val="none"/>
              </w:rPr>
            </w:pPr>
            <w:r>
              <w:rPr>
                <w:color w:val="auto"/>
                <w:szCs w:val="21"/>
                <w:highlight w:val="none"/>
              </w:rPr>
              <w:t>11</w:t>
            </w:r>
          </w:p>
        </w:tc>
        <w:tc>
          <w:tcPr>
            <w:tcW w:w="2654" w:type="dxa"/>
          </w:tcPr>
          <w:p>
            <w:pPr>
              <w:tabs>
                <w:tab w:val="left" w:pos="993"/>
              </w:tabs>
              <w:spacing w:line="360" w:lineRule="auto"/>
              <w:rPr>
                <w:color w:val="auto"/>
                <w:szCs w:val="21"/>
                <w:highlight w:val="none"/>
              </w:rPr>
            </w:pPr>
            <w:r>
              <w:rPr>
                <w:rFonts w:hAnsi="宋体"/>
                <w:color w:val="auto"/>
                <w:szCs w:val="21"/>
                <w:highlight w:val="none"/>
              </w:rPr>
              <w:t>作为分包商经历年数</w:t>
            </w:r>
          </w:p>
        </w:tc>
        <w:tc>
          <w:tcPr>
            <w:tcW w:w="5408" w:type="dxa"/>
            <w:gridSpan w:val="2"/>
          </w:tcPr>
          <w:p>
            <w:pPr>
              <w:tabs>
                <w:tab w:val="left" w:pos="993"/>
              </w:tabs>
              <w:spacing w:line="360" w:lineRule="auto"/>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pPr>
              <w:tabs>
                <w:tab w:val="left" w:pos="993"/>
              </w:tabs>
              <w:spacing w:line="360" w:lineRule="auto"/>
              <w:rPr>
                <w:color w:val="auto"/>
                <w:szCs w:val="21"/>
                <w:highlight w:val="none"/>
              </w:rPr>
            </w:pPr>
            <w:r>
              <w:rPr>
                <w:color w:val="auto"/>
                <w:szCs w:val="21"/>
                <w:highlight w:val="none"/>
              </w:rPr>
              <w:t>12</w:t>
            </w:r>
          </w:p>
        </w:tc>
        <w:tc>
          <w:tcPr>
            <w:tcW w:w="8062" w:type="dxa"/>
            <w:gridSpan w:val="3"/>
          </w:tcPr>
          <w:p>
            <w:pPr>
              <w:tabs>
                <w:tab w:val="left" w:pos="993"/>
              </w:tabs>
              <w:spacing w:line="360" w:lineRule="auto"/>
              <w:rPr>
                <w:color w:val="auto"/>
                <w:szCs w:val="21"/>
                <w:highlight w:val="none"/>
              </w:rPr>
            </w:pPr>
            <w:r>
              <w:rPr>
                <w:rFonts w:hAnsi="宋体"/>
                <w:color w:val="auto"/>
                <w:szCs w:val="21"/>
                <w:highlight w:val="none"/>
              </w:rPr>
              <w:t>其他需要说明的情况</w:t>
            </w:r>
          </w:p>
        </w:tc>
      </w:tr>
    </w:tbl>
    <w:p>
      <w:pPr>
        <w:pStyle w:val="9"/>
        <w:spacing w:line="360" w:lineRule="auto"/>
        <w:ind w:firstLine="480"/>
        <w:rPr>
          <w:b/>
          <w:bCs/>
          <w:color w:val="auto"/>
          <w:sz w:val="21"/>
          <w:highlight w:val="none"/>
        </w:rPr>
      </w:pPr>
      <w:r>
        <w:rPr>
          <w:b/>
          <w:bCs/>
          <w:color w:val="auto"/>
          <w:sz w:val="21"/>
          <w:highlight w:val="none"/>
        </w:rPr>
        <w:br w:type="page"/>
      </w:r>
    </w:p>
    <w:p>
      <w:pPr>
        <w:pStyle w:val="9"/>
        <w:spacing w:line="360" w:lineRule="auto"/>
        <w:rPr>
          <w:color w:val="auto"/>
          <w:highlight w:val="none"/>
        </w:rPr>
      </w:pPr>
    </w:p>
    <w:p>
      <w:pPr>
        <w:tabs>
          <w:tab w:val="left" w:pos="993"/>
        </w:tabs>
        <w:spacing w:line="360" w:lineRule="auto"/>
        <w:jc w:val="center"/>
        <w:rPr>
          <w:color w:val="auto"/>
          <w:sz w:val="36"/>
          <w:highlight w:val="none"/>
        </w:rPr>
      </w:pPr>
      <w:r>
        <w:rPr>
          <w:rFonts w:hAnsi="宋体"/>
          <w:color w:val="auto"/>
          <w:sz w:val="36"/>
          <w:highlight w:val="none"/>
        </w:rPr>
        <w:t>近三年工程营业额数据表</w:t>
      </w:r>
    </w:p>
    <w:p>
      <w:pPr>
        <w:tabs>
          <w:tab w:val="left" w:pos="993"/>
        </w:tabs>
        <w:spacing w:line="360" w:lineRule="auto"/>
        <w:ind w:firstLine="420" w:firstLineChars="200"/>
        <w:rPr>
          <w:color w:val="auto"/>
          <w:szCs w:val="21"/>
          <w:highlight w:val="none"/>
          <w:u w:val="single"/>
        </w:rPr>
      </w:pPr>
      <w:r>
        <w:rPr>
          <w:rFonts w:hAnsi="宋体"/>
          <w:color w:val="auto"/>
          <w:szCs w:val="21"/>
          <w:highlight w:val="none"/>
        </w:rPr>
        <w:t>投标申请人名称：</w:t>
      </w:r>
    </w:p>
    <w:tbl>
      <w:tblPr>
        <w:tblStyle w:val="21"/>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2"/>
        <w:gridCol w:w="2892"/>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jc w:val="center"/>
        </w:trPr>
        <w:tc>
          <w:tcPr>
            <w:tcW w:w="8676" w:type="dxa"/>
            <w:gridSpan w:val="3"/>
            <w:vAlign w:val="center"/>
          </w:tcPr>
          <w:p>
            <w:pPr>
              <w:tabs>
                <w:tab w:val="left" w:pos="993"/>
              </w:tabs>
              <w:spacing w:line="360" w:lineRule="auto"/>
              <w:jc w:val="center"/>
              <w:rPr>
                <w:color w:val="auto"/>
                <w:szCs w:val="21"/>
                <w:highlight w:val="none"/>
              </w:rPr>
            </w:pPr>
            <w:r>
              <w:rPr>
                <w:rFonts w:hAnsi="宋体"/>
                <w:color w:val="auto"/>
                <w:szCs w:val="21"/>
                <w:highlight w:val="none"/>
              </w:rPr>
              <w:t>近三年工程营业额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2892" w:type="dxa"/>
            <w:vAlign w:val="center"/>
          </w:tcPr>
          <w:p>
            <w:pPr>
              <w:tabs>
                <w:tab w:val="left" w:pos="993"/>
              </w:tabs>
              <w:spacing w:line="360" w:lineRule="auto"/>
              <w:jc w:val="center"/>
              <w:rPr>
                <w:color w:val="auto"/>
                <w:szCs w:val="21"/>
                <w:highlight w:val="none"/>
              </w:rPr>
            </w:pPr>
            <w:r>
              <w:rPr>
                <w:rFonts w:hAnsi="宋体"/>
                <w:color w:val="auto"/>
                <w:szCs w:val="21"/>
                <w:highlight w:val="none"/>
              </w:rPr>
              <w:t>财务年度</w:t>
            </w:r>
          </w:p>
        </w:tc>
        <w:tc>
          <w:tcPr>
            <w:tcW w:w="2892" w:type="dxa"/>
            <w:vAlign w:val="center"/>
          </w:tcPr>
          <w:p>
            <w:pPr>
              <w:tabs>
                <w:tab w:val="left" w:pos="993"/>
              </w:tabs>
              <w:spacing w:line="360" w:lineRule="auto"/>
              <w:jc w:val="center"/>
              <w:rPr>
                <w:color w:val="auto"/>
                <w:szCs w:val="21"/>
                <w:highlight w:val="none"/>
              </w:rPr>
            </w:pPr>
            <w:r>
              <w:rPr>
                <w:rFonts w:hAnsi="宋体"/>
                <w:color w:val="auto"/>
                <w:szCs w:val="21"/>
                <w:highlight w:val="none"/>
              </w:rPr>
              <w:t>营业额（单位）</w:t>
            </w:r>
          </w:p>
        </w:tc>
        <w:tc>
          <w:tcPr>
            <w:tcW w:w="2892" w:type="dxa"/>
            <w:vAlign w:val="center"/>
          </w:tcPr>
          <w:p>
            <w:pPr>
              <w:tabs>
                <w:tab w:val="left" w:pos="993"/>
              </w:tabs>
              <w:spacing w:line="360" w:lineRule="auto"/>
              <w:jc w:val="center"/>
              <w:rPr>
                <w:color w:val="auto"/>
                <w:szCs w:val="21"/>
                <w:highlight w:val="none"/>
              </w:rPr>
            </w:pPr>
            <w:r>
              <w:rPr>
                <w:rFonts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7" w:hRule="atLeast"/>
          <w:jc w:val="center"/>
        </w:trPr>
        <w:tc>
          <w:tcPr>
            <w:tcW w:w="2892" w:type="dxa"/>
            <w:vAlign w:val="center"/>
          </w:tcPr>
          <w:p>
            <w:pPr>
              <w:tabs>
                <w:tab w:val="left" w:pos="993"/>
              </w:tabs>
              <w:spacing w:line="360" w:lineRule="auto"/>
              <w:jc w:val="center"/>
              <w:rPr>
                <w:color w:val="auto"/>
                <w:szCs w:val="21"/>
                <w:highlight w:val="none"/>
              </w:rPr>
            </w:pPr>
            <w:r>
              <w:rPr>
                <w:rFonts w:hAnsi="宋体"/>
                <w:color w:val="auto"/>
                <w:szCs w:val="21"/>
                <w:highlight w:val="none"/>
              </w:rPr>
              <w:t>第一年（</w:t>
            </w:r>
            <w:r>
              <w:rPr>
                <w:rFonts w:hint="eastAsia" w:hAnsi="宋体"/>
                <w:color w:val="auto"/>
                <w:szCs w:val="21"/>
                <w:highlight w:val="none"/>
              </w:rPr>
              <w:t>202</w:t>
            </w:r>
            <w:r>
              <w:rPr>
                <w:rFonts w:hint="eastAsia" w:hAnsi="宋体"/>
                <w:color w:val="auto"/>
                <w:szCs w:val="21"/>
                <w:highlight w:val="none"/>
                <w:lang w:val="en-US" w:eastAsia="zh-CN"/>
              </w:rPr>
              <w:t>2</w:t>
            </w:r>
            <w:r>
              <w:rPr>
                <w:rFonts w:hint="eastAsia" w:hAnsi="宋体"/>
                <w:color w:val="auto"/>
                <w:szCs w:val="21"/>
                <w:highlight w:val="none"/>
              </w:rPr>
              <w:t>年</w:t>
            </w:r>
            <w:r>
              <w:rPr>
                <w:rFonts w:hAnsi="宋体"/>
                <w:color w:val="auto"/>
                <w:szCs w:val="21"/>
                <w:highlight w:val="none"/>
              </w:rPr>
              <w:t>）</w:t>
            </w:r>
          </w:p>
        </w:tc>
        <w:tc>
          <w:tcPr>
            <w:tcW w:w="2892" w:type="dxa"/>
            <w:vAlign w:val="center"/>
          </w:tcPr>
          <w:p>
            <w:pPr>
              <w:tabs>
                <w:tab w:val="left" w:pos="993"/>
              </w:tabs>
              <w:spacing w:line="360" w:lineRule="auto"/>
              <w:jc w:val="center"/>
              <w:rPr>
                <w:color w:val="auto"/>
                <w:szCs w:val="21"/>
                <w:highlight w:val="none"/>
              </w:rPr>
            </w:pPr>
          </w:p>
        </w:tc>
        <w:tc>
          <w:tcPr>
            <w:tcW w:w="2892" w:type="dxa"/>
            <w:vAlign w:val="center"/>
          </w:tcPr>
          <w:p>
            <w:pPr>
              <w:tabs>
                <w:tab w:val="left" w:pos="993"/>
              </w:tabs>
              <w:spacing w:line="360" w:lineRule="auto"/>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jc w:val="center"/>
        </w:trPr>
        <w:tc>
          <w:tcPr>
            <w:tcW w:w="2892" w:type="dxa"/>
            <w:vAlign w:val="center"/>
          </w:tcPr>
          <w:p>
            <w:pPr>
              <w:tabs>
                <w:tab w:val="left" w:pos="993"/>
              </w:tabs>
              <w:spacing w:line="360" w:lineRule="auto"/>
              <w:jc w:val="center"/>
              <w:rPr>
                <w:color w:val="auto"/>
                <w:szCs w:val="21"/>
                <w:highlight w:val="none"/>
              </w:rPr>
            </w:pPr>
            <w:r>
              <w:rPr>
                <w:rFonts w:hAnsi="宋体"/>
                <w:color w:val="auto"/>
                <w:szCs w:val="21"/>
                <w:highlight w:val="none"/>
              </w:rPr>
              <w:t>第二年（</w:t>
            </w:r>
            <w:r>
              <w:rPr>
                <w:rFonts w:hint="eastAsia" w:hAnsi="宋体"/>
                <w:color w:val="auto"/>
                <w:szCs w:val="21"/>
                <w:highlight w:val="none"/>
              </w:rPr>
              <w:t>202</w:t>
            </w:r>
            <w:r>
              <w:rPr>
                <w:rFonts w:hint="eastAsia" w:hAnsi="宋体"/>
                <w:color w:val="auto"/>
                <w:szCs w:val="21"/>
                <w:highlight w:val="none"/>
                <w:lang w:val="en-US" w:eastAsia="zh-CN"/>
              </w:rPr>
              <w:t>3</w:t>
            </w:r>
            <w:r>
              <w:rPr>
                <w:rFonts w:hint="eastAsia" w:hAnsi="宋体"/>
                <w:color w:val="auto"/>
                <w:szCs w:val="21"/>
                <w:highlight w:val="none"/>
              </w:rPr>
              <w:t>年</w:t>
            </w:r>
            <w:r>
              <w:rPr>
                <w:rFonts w:hAnsi="宋体"/>
                <w:color w:val="auto"/>
                <w:szCs w:val="21"/>
                <w:highlight w:val="none"/>
              </w:rPr>
              <w:t>）</w:t>
            </w:r>
          </w:p>
        </w:tc>
        <w:tc>
          <w:tcPr>
            <w:tcW w:w="2892" w:type="dxa"/>
            <w:vAlign w:val="center"/>
          </w:tcPr>
          <w:p>
            <w:pPr>
              <w:tabs>
                <w:tab w:val="left" w:pos="993"/>
              </w:tabs>
              <w:spacing w:line="360" w:lineRule="auto"/>
              <w:jc w:val="center"/>
              <w:rPr>
                <w:color w:val="auto"/>
                <w:szCs w:val="21"/>
                <w:highlight w:val="none"/>
              </w:rPr>
            </w:pPr>
          </w:p>
        </w:tc>
        <w:tc>
          <w:tcPr>
            <w:tcW w:w="2892" w:type="dxa"/>
            <w:vAlign w:val="center"/>
          </w:tcPr>
          <w:p>
            <w:pPr>
              <w:tabs>
                <w:tab w:val="left" w:pos="993"/>
              </w:tabs>
              <w:spacing w:line="360" w:lineRule="auto"/>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jc w:val="center"/>
        </w:trPr>
        <w:tc>
          <w:tcPr>
            <w:tcW w:w="2892" w:type="dxa"/>
            <w:vAlign w:val="center"/>
          </w:tcPr>
          <w:p>
            <w:pPr>
              <w:tabs>
                <w:tab w:val="left" w:pos="993"/>
              </w:tabs>
              <w:spacing w:line="360" w:lineRule="auto"/>
              <w:jc w:val="center"/>
              <w:rPr>
                <w:color w:val="auto"/>
                <w:szCs w:val="21"/>
                <w:highlight w:val="none"/>
              </w:rPr>
            </w:pPr>
            <w:r>
              <w:rPr>
                <w:rFonts w:hAnsi="宋体"/>
                <w:color w:val="auto"/>
                <w:szCs w:val="21"/>
                <w:highlight w:val="none"/>
              </w:rPr>
              <w:t>第三年（</w:t>
            </w:r>
            <w:r>
              <w:rPr>
                <w:rFonts w:hint="eastAsia" w:hAnsi="宋体"/>
                <w:color w:val="auto"/>
                <w:szCs w:val="21"/>
                <w:highlight w:val="none"/>
              </w:rPr>
              <w:t>202</w:t>
            </w:r>
            <w:r>
              <w:rPr>
                <w:rFonts w:hint="eastAsia" w:hAnsi="宋体"/>
                <w:color w:val="auto"/>
                <w:szCs w:val="21"/>
                <w:highlight w:val="none"/>
                <w:lang w:val="en-US" w:eastAsia="zh-CN"/>
              </w:rPr>
              <w:t>4</w:t>
            </w:r>
            <w:r>
              <w:rPr>
                <w:rFonts w:hint="eastAsia" w:hAnsi="宋体"/>
                <w:color w:val="auto"/>
                <w:szCs w:val="21"/>
                <w:highlight w:val="none"/>
              </w:rPr>
              <w:t>年</w:t>
            </w:r>
            <w:r>
              <w:rPr>
                <w:rFonts w:hAnsi="宋体"/>
                <w:color w:val="auto"/>
                <w:szCs w:val="21"/>
                <w:highlight w:val="none"/>
              </w:rPr>
              <w:t>）</w:t>
            </w:r>
          </w:p>
        </w:tc>
        <w:tc>
          <w:tcPr>
            <w:tcW w:w="2892" w:type="dxa"/>
            <w:vAlign w:val="center"/>
          </w:tcPr>
          <w:p>
            <w:pPr>
              <w:tabs>
                <w:tab w:val="left" w:pos="993"/>
              </w:tabs>
              <w:spacing w:line="360" w:lineRule="auto"/>
              <w:jc w:val="center"/>
              <w:rPr>
                <w:color w:val="auto"/>
                <w:szCs w:val="21"/>
                <w:highlight w:val="none"/>
              </w:rPr>
            </w:pPr>
          </w:p>
        </w:tc>
        <w:tc>
          <w:tcPr>
            <w:tcW w:w="2892" w:type="dxa"/>
            <w:vAlign w:val="center"/>
          </w:tcPr>
          <w:p>
            <w:pPr>
              <w:tabs>
                <w:tab w:val="left" w:pos="993"/>
              </w:tabs>
              <w:spacing w:line="360" w:lineRule="auto"/>
              <w:jc w:val="center"/>
              <w:rPr>
                <w:color w:val="auto"/>
                <w:szCs w:val="21"/>
                <w:highlight w:val="none"/>
              </w:rPr>
            </w:pPr>
          </w:p>
        </w:tc>
      </w:tr>
    </w:tbl>
    <w:p>
      <w:pPr>
        <w:tabs>
          <w:tab w:val="left" w:pos="993"/>
        </w:tabs>
        <w:spacing w:line="360" w:lineRule="auto"/>
        <w:rPr>
          <w:b/>
          <w:bCs/>
          <w:color w:val="auto"/>
          <w:sz w:val="24"/>
          <w:highlight w:val="none"/>
        </w:rPr>
      </w:pPr>
    </w:p>
    <w:p>
      <w:pPr>
        <w:tabs>
          <w:tab w:val="left" w:pos="993"/>
        </w:tabs>
        <w:spacing w:line="360" w:lineRule="auto"/>
        <w:rPr>
          <w:b/>
          <w:bCs/>
          <w:color w:val="auto"/>
          <w:sz w:val="24"/>
          <w:highlight w:val="none"/>
        </w:rPr>
      </w:pPr>
    </w:p>
    <w:p>
      <w:pPr>
        <w:tabs>
          <w:tab w:val="left" w:pos="993"/>
        </w:tabs>
        <w:spacing w:line="360" w:lineRule="auto"/>
        <w:rPr>
          <w:b/>
          <w:bCs/>
          <w:color w:val="auto"/>
          <w:sz w:val="24"/>
          <w:highlight w:val="none"/>
        </w:rPr>
      </w:pPr>
    </w:p>
    <w:p>
      <w:pPr>
        <w:tabs>
          <w:tab w:val="left" w:pos="993"/>
        </w:tabs>
        <w:spacing w:line="360" w:lineRule="auto"/>
        <w:rPr>
          <w:b/>
          <w:bCs/>
          <w:color w:val="auto"/>
          <w:sz w:val="24"/>
          <w:highlight w:val="none"/>
        </w:rPr>
      </w:pPr>
    </w:p>
    <w:p>
      <w:pPr>
        <w:tabs>
          <w:tab w:val="left" w:pos="993"/>
        </w:tabs>
        <w:spacing w:line="360" w:lineRule="auto"/>
        <w:rPr>
          <w:b/>
          <w:bCs/>
          <w:color w:val="auto"/>
          <w:sz w:val="24"/>
          <w:highlight w:val="none"/>
        </w:rPr>
      </w:pPr>
    </w:p>
    <w:p>
      <w:pPr>
        <w:tabs>
          <w:tab w:val="left" w:pos="993"/>
        </w:tabs>
        <w:spacing w:line="360" w:lineRule="auto"/>
        <w:rPr>
          <w:color w:val="auto"/>
          <w:highlight w:val="none"/>
        </w:rPr>
      </w:pPr>
    </w:p>
    <w:p>
      <w:pPr>
        <w:tabs>
          <w:tab w:val="left" w:pos="993"/>
        </w:tabs>
        <w:spacing w:line="360" w:lineRule="auto"/>
        <w:rPr>
          <w:color w:val="auto"/>
          <w:highlight w:val="none"/>
        </w:rPr>
      </w:pPr>
      <w:r>
        <w:rPr>
          <w:rFonts w:hAnsi="宋体"/>
          <w:color w:val="auto"/>
          <w:highlight w:val="none"/>
        </w:rPr>
        <w:br w:type="page"/>
      </w:r>
    </w:p>
    <w:p>
      <w:pPr>
        <w:tabs>
          <w:tab w:val="left" w:pos="993"/>
        </w:tabs>
        <w:spacing w:line="360" w:lineRule="auto"/>
        <w:jc w:val="center"/>
        <w:rPr>
          <w:color w:val="auto"/>
          <w:sz w:val="24"/>
          <w:highlight w:val="none"/>
        </w:rPr>
      </w:pPr>
      <w:r>
        <w:rPr>
          <w:rFonts w:hAnsi="宋体"/>
          <w:color w:val="auto"/>
          <w:sz w:val="24"/>
          <w:highlight w:val="none"/>
        </w:rPr>
        <w:t>拟派往本招标工程项目负责人简历表</w:t>
      </w:r>
    </w:p>
    <w:p>
      <w:pPr>
        <w:tabs>
          <w:tab w:val="left" w:pos="993"/>
        </w:tabs>
        <w:spacing w:line="360" w:lineRule="auto"/>
        <w:rPr>
          <w:color w:val="auto"/>
          <w:szCs w:val="21"/>
          <w:highlight w:val="none"/>
          <w:u w:val="single"/>
        </w:rPr>
      </w:pPr>
      <w:r>
        <w:rPr>
          <w:rFonts w:hint="eastAsia" w:hAnsi="宋体"/>
          <w:color w:val="auto"/>
          <w:szCs w:val="21"/>
          <w:highlight w:val="none"/>
        </w:rPr>
        <w:t>投标申请人：</w:t>
      </w:r>
    </w:p>
    <w:tbl>
      <w:tblPr>
        <w:tblStyle w:val="21"/>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438"/>
        <w:gridCol w:w="1446"/>
        <w:gridCol w:w="96"/>
        <w:gridCol w:w="180"/>
        <w:gridCol w:w="900"/>
        <w:gridCol w:w="180"/>
        <w:gridCol w:w="540"/>
        <w:gridCol w:w="996"/>
        <w:gridCol w:w="264"/>
        <w:gridCol w:w="900"/>
        <w:gridCol w:w="282"/>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tabs>
                <w:tab w:val="left" w:pos="993"/>
              </w:tabs>
              <w:spacing w:line="360" w:lineRule="auto"/>
              <w:jc w:val="center"/>
              <w:rPr>
                <w:color w:val="auto"/>
                <w:szCs w:val="21"/>
                <w:highlight w:val="none"/>
              </w:rPr>
            </w:pPr>
            <w:r>
              <w:rPr>
                <w:rFonts w:hAnsi="宋体"/>
                <w:color w:val="auto"/>
                <w:szCs w:val="21"/>
                <w:highlight w:val="none"/>
              </w:rPr>
              <w:t>姓名</w:t>
            </w:r>
          </w:p>
        </w:tc>
        <w:tc>
          <w:tcPr>
            <w:tcW w:w="2160" w:type="dxa"/>
            <w:gridSpan w:val="4"/>
          </w:tcPr>
          <w:p>
            <w:pPr>
              <w:tabs>
                <w:tab w:val="left" w:pos="993"/>
              </w:tabs>
              <w:spacing w:line="360" w:lineRule="auto"/>
              <w:jc w:val="center"/>
              <w:rPr>
                <w:color w:val="auto"/>
                <w:szCs w:val="21"/>
                <w:highlight w:val="none"/>
              </w:rPr>
            </w:pPr>
          </w:p>
        </w:tc>
        <w:tc>
          <w:tcPr>
            <w:tcW w:w="1080" w:type="dxa"/>
            <w:gridSpan w:val="2"/>
          </w:tcPr>
          <w:p>
            <w:pPr>
              <w:tabs>
                <w:tab w:val="left" w:pos="993"/>
              </w:tabs>
              <w:spacing w:line="360" w:lineRule="auto"/>
              <w:jc w:val="center"/>
              <w:rPr>
                <w:color w:val="auto"/>
                <w:szCs w:val="21"/>
                <w:highlight w:val="none"/>
              </w:rPr>
            </w:pPr>
            <w:r>
              <w:rPr>
                <w:rFonts w:hAnsi="宋体"/>
                <w:color w:val="auto"/>
                <w:szCs w:val="21"/>
                <w:highlight w:val="none"/>
              </w:rPr>
              <w:t>性别</w:t>
            </w:r>
          </w:p>
        </w:tc>
        <w:tc>
          <w:tcPr>
            <w:tcW w:w="1800" w:type="dxa"/>
            <w:gridSpan w:val="3"/>
          </w:tcPr>
          <w:p>
            <w:pPr>
              <w:tabs>
                <w:tab w:val="left" w:pos="993"/>
              </w:tabs>
              <w:spacing w:line="360" w:lineRule="auto"/>
              <w:jc w:val="center"/>
              <w:rPr>
                <w:color w:val="auto"/>
                <w:szCs w:val="21"/>
                <w:highlight w:val="none"/>
              </w:rPr>
            </w:pPr>
          </w:p>
        </w:tc>
        <w:tc>
          <w:tcPr>
            <w:tcW w:w="900" w:type="dxa"/>
          </w:tcPr>
          <w:p>
            <w:pPr>
              <w:tabs>
                <w:tab w:val="left" w:pos="993"/>
              </w:tabs>
              <w:spacing w:line="360" w:lineRule="auto"/>
              <w:jc w:val="center"/>
              <w:rPr>
                <w:color w:val="auto"/>
                <w:szCs w:val="21"/>
                <w:highlight w:val="none"/>
              </w:rPr>
            </w:pPr>
            <w:r>
              <w:rPr>
                <w:rFonts w:hAnsi="宋体"/>
                <w:color w:val="auto"/>
                <w:szCs w:val="21"/>
                <w:highlight w:val="none"/>
              </w:rPr>
              <w:t>年龄</w:t>
            </w:r>
          </w:p>
        </w:tc>
        <w:tc>
          <w:tcPr>
            <w:tcW w:w="1728" w:type="dxa"/>
            <w:gridSpan w:val="2"/>
          </w:tcPr>
          <w:p>
            <w:pPr>
              <w:tabs>
                <w:tab w:val="left" w:pos="993"/>
              </w:tabs>
              <w:spacing w:line="360" w:lineRule="auto"/>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tabs>
                <w:tab w:val="left" w:pos="993"/>
              </w:tabs>
              <w:spacing w:line="360" w:lineRule="auto"/>
              <w:jc w:val="center"/>
              <w:rPr>
                <w:color w:val="auto"/>
                <w:szCs w:val="21"/>
                <w:highlight w:val="none"/>
              </w:rPr>
            </w:pPr>
            <w:r>
              <w:rPr>
                <w:rFonts w:hAnsi="宋体"/>
                <w:color w:val="auto"/>
                <w:szCs w:val="21"/>
                <w:highlight w:val="none"/>
              </w:rPr>
              <w:t>职务</w:t>
            </w:r>
          </w:p>
        </w:tc>
        <w:tc>
          <w:tcPr>
            <w:tcW w:w="2160" w:type="dxa"/>
            <w:gridSpan w:val="4"/>
          </w:tcPr>
          <w:p>
            <w:pPr>
              <w:tabs>
                <w:tab w:val="left" w:pos="993"/>
              </w:tabs>
              <w:spacing w:line="360" w:lineRule="auto"/>
              <w:jc w:val="center"/>
              <w:rPr>
                <w:color w:val="auto"/>
                <w:szCs w:val="21"/>
                <w:highlight w:val="none"/>
              </w:rPr>
            </w:pPr>
          </w:p>
        </w:tc>
        <w:tc>
          <w:tcPr>
            <w:tcW w:w="1080" w:type="dxa"/>
            <w:gridSpan w:val="2"/>
          </w:tcPr>
          <w:p>
            <w:pPr>
              <w:tabs>
                <w:tab w:val="left" w:pos="993"/>
              </w:tabs>
              <w:spacing w:line="360" w:lineRule="auto"/>
              <w:jc w:val="center"/>
              <w:rPr>
                <w:color w:val="auto"/>
                <w:szCs w:val="21"/>
                <w:highlight w:val="none"/>
              </w:rPr>
            </w:pPr>
            <w:r>
              <w:rPr>
                <w:rFonts w:hAnsi="宋体"/>
                <w:color w:val="auto"/>
                <w:szCs w:val="21"/>
                <w:highlight w:val="none"/>
              </w:rPr>
              <w:t>职称</w:t>
            </w:r>
          </w:p>
        </w:tc>
        <w:tc>
          <w:tcPr>
            <w:tcW w:w="1800" w:type="dxa"/>
            <w:gridSpan w:val="3"/>
          </w:tcPr>
          <w:p>
            <w:pPr>
              <w:tabs>
                <w:tab w:val="left" w:pos="993"/>
              </w:tabs>
              <w:spacing w:line="360" w:lineRule="auto"/>
              <w:jc w:val="center"/>
              <w:rPr>
                <w:color w:val="auto"/>
                <w:szCs w:val="21"/>
                <w:highlight w:val="none"/>
              </w:rPr>
            </w:pPr>
          </w:p>
        </w:tc>
        <w:tc>
          <w:tcPr>
            <w:tcW w:w="900" w:type="dxa"/>
          </w:tcPr>
          <w:p>
            <w:pPr>
              <w:tabs>
                <w:tab w:val="left" w:pos="993"/>
              </w:tabs>
              <w:spacing w:line="360" w:lineRule="auto"/>
              <w:jc w:val="center"/>
              <w:rPr>
                <w:color w:val="auto"/>
                <w:szCs w:val="21"/>
                <w:highlight w:val="none"/>
              </w:rPr>
            </w:pPr>
            <w:r>
              <w:rPr>
                <w:rFonts w:hAnsi="宋体"/>
                <w:color w:val="auto"/>
                <w:szCs w:val="21"/>
                <w:highlight w:val="none"/>
              </w:rPr>
              <w:t>学历</w:t>
            </w:r>
          </w:p>
        </w:tc>
        <w:tc>
          <w:tcPr>
            <w:tcW w:w="1728" w:type="dxa"/>
            <w:gridSpan w:val="2"/>
          </w:tcPr>
          <w:p>
            <w:pPr>
              <w:tabs>
                <w:tab w:val="left" w:pos="993"/>
              </w:tabs>
              <w:spacing w:line="360" w:lineRule="auto"/>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88" w:type="dxa"/>
            <w:gridSpan w:val="4"/>
          </w:tcPr>
          <w:p>
            <w:pPr>
              <w:tabs>
                <w:tab w:val="left" w:pos="993"/>
              </w:tabs>
              <w:spacing w:line="360" w:lineRule="auto"/>
              <w:jc w:val="center"/>
              <w:rPr>
                <w:color w:val="auto"/>
                <w:szCs w:val="21"/>
                <w:highlight w:val="none"/>
              </w:rPr>
            </w:pPr>
            <w:r>
              <w:rPr>
                <w:rFonts w:hAnsi="宋体"/>
                <w:color w:val="auto"/>
                <w:szCs w:val="21"/>
                <w:highlight w:val="none"/>
              </w:rPr>
              <w:t>参加工作时间</w:t>
            </w:r>
          </w:p>
        </w:tc>
        <w:tc>
          <w:tcPr>
            <w:tcW w:w="1800" w:type="dxa"/>
            <w:gridSpan w:val="4"/>
          </w:tcPr>
          <w:p>
            <w:pPr>
              <w:tabs>
                <w:tab w:val="left" w:pos="993"/>
              </w:tabs>
              <w:spacing w:line="360" w:lineRule="auto"/>
              <w:jc w:val="center"/>
              <w:rPr>
                <w:color w:val="auto"/>
                <w:szCs w:val="21"/>
                <w:highlight w:val="none"/>
              </w:rPr>
            </w:pPr>
          </w:p>
        </w:tc>
        <w:tc>
          <w:tcPr>
            <w:tcW w:w="2442" w:type="dxa"/>
            <w:gridSpan w:val="4"/>
          </w:tcPr>
          <w:p>
            <w:pPr>
              <w:tabs>
                <w:tab w:val="left" w:pos="993"/>
              </w:tabs>
              <w:spacing w:line="360" w:lineRule="auto"/>
              <w:jc w:val="center"/>
              <w:rPr>
                <w:color w:val="auto"/>
                <w:szCs w:val="21"/>
                <w:highlight w:val="none"/>
              </w:rPr>
            </w:pPr>
            <w:r>
              <w:rPr>
                <w:rFonts w:hAnsi="宋体"/>
                <w:color w:val="auto"/>
                <w:szCs w:val="21"/>
                <w:highlight w:val="none"/>
              </w:rPr>
              <w:t>担任项目负责人年限</w:t>
            </w:r>
          </w:p>
        </w:tc>
        <w:tc>
          <w:tcPr>
            <w:tcW w:w="1446" w:type="dxa"/>
          </w:tcPr>
          <w:p>
            <w:pPr>
              <w:tabs>
                <w:tab w:val="left" w:pos="993"/>
              </w:tabs>
              <w:spacing w:line="360" w:lineRule="auto"/>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88" w:type="dxa"/>
            <w:gridSpan w:val="4"/>
          </w:tcPr>
          <w:p>
            <w:pPr>
              <w:tabs>
                <w:tab w:val="left" w:pos="993"/>
              </w:tabs>
              <w:spacing w:line="360" w:lineRule="auto"/>
              <w:jc w:val="center"/>
              <w:rPr>
                <w:color w:val="auto"/>
                <w:szCs w:val="21"/>
                <w:highlight w:val="none"/>
              </w:rPr>
            </w:pPr>
            <w:r>
              <w:rPr>
                <w:rFonts w:hAnsi="宋体"/>
                <w:color w:val="auto"/>
                <w:szCs w:val="21"/>
                <w:highlight w:val="none"/>
              </w:rPr>
              <w:t>项目负责人注册证书编号</w:t>
            </w:r>
          </w:p>
        </w:tc>
        <w:tc>
          <w:tcPr>
            <w:tcW w:w="5688" w:type="dxa"/>
            <w:gridSpan w:val="9"/>
          </w:tcPr>
          <w:p>
            <w:pPr>
              <w:tabs>
                <w:tab w:val="left" w:pos="993"/>
              </w:tabs>
              <w:spacing w:line="360" w:lineRule="auto"/>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676" w:type="dxa"/>
            <w:gridSpan w:val="13"/>
          </w:tcPr>
          <w:p>
            <w:pPr>
              <w:tabs>
                <w:tab w:val="left" w:pos="993"/>
              </w:tabs>
              <w:spacing w:line="360" w:lineRule="auto"/>
              <w:jc w:val="center"/>
              <w:rPr>
                <w:color w:val="auto"/>
                <w:szCs w:val="21"/>
                <w:highlight w:val="none"/>
              </w:rPr>
            </w:pPr>
            <w:r>
              <w:rPr>
                <w:rFonts w:hAnsi="宋体"/>
                <w:color w:val="auto"/>
                <w:szCs w:val="21"/>
                <w:highlight w:val="none"/>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color w:val="auto"/>
                <w:szCs w:val="21"/>
                <w:highlight w:val="none"/>
              </w:rPr>
            </w:pPr>
            <w:r>
              <w:rPr>
                <w:rFonts w:hAnsi="宋体"/>
                <w:color w:val="auto"/>
                <w:szCs w:val="21"/>
                <w:highlight w:val="none"/>
              </w:rPr>
              <w:t>建设单位</w:t>
            </w:r>
          </w:p>
        </w:tc>
        <w:tc>
          <w:tcPr>
            <w:tcW w:w="1446" w:type="dxa"/>
          </w:tcPr>
          <w:p>
            <w:pPr>
              <w:tabs>
                <w:tab w:val="left" w:pos="993"/>
              </w:tabs>
              <w:spacing w:line="360" w:lineRule="auto"/>
              <w:jc w:val="center"/>
              <w:rPr>
                <w:color w:val="auto"/>
                <w:szCs w:val="21"/>
                <w:highlight w:val="none"/>
              </w:rPr>
            </w:pPr>
            <w:r>
              <w:rPr>
                <w:rFonts w:hAnsi="宋体"/>
                <w:color w:val="auto"/>
                <w:szCs w:val="21"/>
                <w:highlight w:val="none"/>
              </w:rPr>
              <w:t>项目名称</w:t>
            </w:r>
          </w:p>
        </w:tc>
        <w:tc>
          <w:tcPr>
            <w:tcW w:w="1176" w:type="dxa"/>
            <w:gridSpan w:val="3"/>
          </w:tcPr>
          <w:p>
            <w:pPr>
              <w:tabs>
                <w:tab w:val="left" w:pos="993"/>
              </w:tabs>
              <w:spacing w:line="360" w:lineRule="auto"/>
              <w:jc w:val="center"/>
              <w:rPr>
                <w:color w:val="auto"/>
                <w:szCs w:val="21"/>
                <w:highlight w:val="none"/>
              </w:rPr>
            </w:pPr>
            <w:r>
              <w:rPr>
                <w:rFonts w:hAnsi="宋体"/>
                <w:color w:val="auto"/>
                <w:szCs w:val="21"/>
                <w:highlight w:val="none"/>
              </w:rPr>
              <w:t>建设规模</w:t>
            </w:r>
          </w:p>
        </w:tc>
        <w:tc>
          <w:tcPr>
            <w:tcW w:w="1716" w:type="dxa"/>
            <w:gridSpan w:val="3"/>
          </w:tcPr>
          <w:p>
            <w:pPr>
              <w:tabs>
                <w:tab w:val="left" w:pos="993"/>
              </w:tabs>
              <w:spacing w:line="360" w:lineRule="auto"/>
              <w:jc w:val="center"/>
              <w:rPr>
                <w:color w:val="auto"/>
                <w:szCs w:val="21"/>
                <w:highlight w:val="none"/>
              </w:rPr>
            </w:pPr>
            <w:r>
              <w:rPr>
                <w:rFonts w:hAnsi="宋体"/>
                <w:color w:val="auto"/>
                <w:szCs w:val="21"/>
                <w:highlight w:val="none"/>
              </w:rPr>
              <w:t>开、竣工日期</w:t>
            </w:r>
          </w:p>
        </w:tc>
        <w:tc>
          <w:tcPr>
            <w:tcW w:w="1446" w:type="dxa"/>
            <w:gridSpan w:val="3"/>
          </w:tcPr>
          <w:p>
            <w:pPr>
              <w:tabs>
                <w:tab w:val="left" w:pos="993"/>
              </w:tabs>
              <w:spacing w:line="360" w:lineRule="auto"/>
              <w:jc w:val="center"/>
              <w:rPr>
                <w:color w:val="auto"/>
                <w:szCs w:val="21"/>
                <w:highlight w:val="none"/>
              </w:rPr>
            </w:pPr>
            <w:r>
              <w:rPr>
                <w:rFonts w:hAnsi="宋体"/>
                <w:color w:val="auto"/>
                <w:szCs w:val="21"/>
                <w:highlight w:val="none"/>
              </w:rPr>
              <w:t>在建或已完</w:t>
            </w:r>
          </w:p>
        </w:tc>
        <w:tc>
          <w:tcPr>
            <w:tcW w:w="1446" w:type="dxa"/>
          </w:tcPr>
          <w:p>
            <w:pPr>
              <w:tabs>
                <w:tab w:val="left" w:pos="993"/>
              </w:tabs>
              <w:spacing w:line="360" w:lineRule="auto"/>
              <w:jc w:val="center"/>
              <w:rPr>
                <w:color w:val="auto"/>
                <w:szCs w:val="21"/>
                <w:highlight w:val="none"/>
              </w:rPr>
            </w:pPr>
            <w:r>
              <w:rPr>
                <w:rFonts w:hAnsi="宋体"/>
                <w:color w:val="auto"/>
                <w:szCs w:val="21"/>
                <w:highlight w:val="none"/>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c>
          <w:tcPr>
            <w:tcW w:w="1176" w:type="dxa"/>
            <w:gridSpan w:val="3"/>
          </w:tcPr>
          <w:p>
            <w:pPr>
              <w:tabs>
                <w:tab w:val="left" w:pos="993"/>
              </w:tabs>
              <w:spacing w:line="360" w:lineRule="auto"/>
              <w:jc w:val="center"/>
              <w:rPr>
                <w:color w:val="auto"/>
                <w:sz w:val="24"/>
                <w:highlight w:val="none"/>
              </w:rPr>
            </w:pPr>
          </w:p>
        </w:tc>
        <w:tc>
          <w:tcPr>
            <w:tcW w:w="1716" w:type="dxa"/>
            <w:gridSpan w:val="3"/>
          </w:tcPr>
          <w:p>
            <w:pPr>
              <w:tabs>
                <w:tab w:val="left" w:pos="993"/>
              </w:tabs>
              <w:spacing w:line="360" w:lineRule="auto"/>
              <w:jc w:val="center"/>
              <w:rPr>
                <w:color w:val="auto"/>
                <w:sz w:val="24"/>
                <w:highlight w:val="none"/>
              </w:rPr>
            </w:pPr>
          </w:p>
        </w:tc>
        <w:tc>
          <w:tcPr>
            <w:tcW w:w="1446" w:type="dxa"/>
            <w:gridSpan w:val="3"/>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c>
          <w:tcPr>
            <w:tcW w:w="1176" w:type="dxa"/>
            <w:gridSpan w:val="3"/>
          </w:tcPr>
          <w:p>
            <w:pPr>
              <w:tabs>
                <w:tab w:val="left" w:pos="993"/>
              </w:tabs>
              <w:spacing w:line="360" w:lineRule="auto"/>
              <w:jc w:val="center"/>
              <w:rPr>
                <w:color w:val="auto"/>
                <w:sz w:val="24"/>
                <w:highlight w:val="none"/>
              </w:rPr>
            </w:pPr>
          </w:p>
        </w:tc>
        <w:tc>
          <w:tcPr>
            <w:tcW w:w="1716" w:type="dxa"/>
            <w:gridSpan w:val="3"/>
          </w:tcPr>
          <w:p>
            <w:pPr>
              <w:tabs>
                <w:tab w:val="left" w:pos="993"/>
              </w:tabs>
              <w:spacing w:line="360" w:lineRule="auto"/>
              <w:jc w:val="center"/>
              <w:rPr>
                <w:color w:val="auto"/>
                <w:sz w:val="24"/>
                <w:highlight w:val="none"/>
              </w:rPr>
            </w:pPr>
          </w:p>
        </w:tc>
        <w:tc>
          <w:tcPr>
            <w:tcW w:w="1446" w:type="dxa"/>
            <w:gridSpan w:val="3"/>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c>
          <w:tcPr>
            <w:tcW w:w="1176" w:type="dxa"/>
            <w:gridSpan w:val="3"/>
          </w:tcPr>
          <w:p>
            <w:pPr>
              <w:tabs>
                <w:tab w:val="left" w:pos="993"/>
              </w:tabs>
              <w:spacing w:line="360" w:lineRule="auto"/>
              <w:jc w:val="center"/>
              <w:rPr>
                <w:color w:val="auto"/>
                <w:sz w:val="24"/>
                <w:highlight w:val="none"/>
              </w:rPr>
            </w:pPr>
          </w:p>
        </w:tc>
        <w:tc>
          <w:tcPr>
            <w:tcW w:w="1716" w:type="dxa"/>
            <w:gridSpan w:val="3"/>
          </w:tcPr>
          <w:p>
            <w:pPr>
              <w:tabs>
                <w:tab w:val="left" w:pos="993"/>
              </w:tabs>
              <w:spacing w:line="360" w:lineRule="auto"/>
              <w:jc w:val="center"/>
              <w:rPr>
                <w:color w:val="auto"/>
                <w:sz w:val="24"/>
                <w:highlight w:val="none"/>
              </w:rPr>
            </w:pPr>
          </w:p>
        </w:tc>
        <w:tc>
          <w:tcPr>
            <w:tcW w:w="1446" w:type="dxa"/>
            <w:gridSpan w:val="3"/>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c>
          <w:tcPr>
            <w:tcW w:w="1176" w:type="dxa"/>
            <w:gridSpan w:val="3"/>
          </w:tcPr>
          <w:p>
            <w:pPr>
              <w:tabs>
                <w:tab w:val="left" w:pos="993"/>
              </w:tabs>
              <w:spacing w:line="360" w:lineRule="auto"/>
              <w:jc w:val="center"/>
              <w:rPr>
                <w:color w:val="auto"/>
                <w:sz w:val="24"/>
                <w:highlight w:val="none"/>
              </w:rPr>
            </w:pPr>
          </w:p>
        </w:tc>
        <w:tc>
          <w:tcPr>
            <w:tcW w:w="1716" w:type="dxa"/>
            <w:gridSpan w:val="3"/>
          </w:tcPr>
          <w:p>
            <w:pPr>
              <w:tabs>
                <w:tab w:val="left" w:pos="993"/>
              </w:tabs>
              <w:spacing w:line="360" w:lineRule="auto"/>
              <w:jc w:val="center"/>
              <w:rPr>
                <w:color w:val="auto"/>
                <w:sz w:val="24"/>
                <w:highlight w:val="none"/>
              </w:rPr>
            </w:pPr>
          </w:p>
        </w:tc>
        <w:tc>
          <w:tcPr>
            <w:tcW w:w="1446" w:type="dxa"/>
            <w:gridSpan w:val="3"/>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c>
          <w:tcPr>
            <w:tcW w:w="1176" w:type="dxa"/>
            <w:gridSpan w:val="3"/>
          </w:tcPr>
          <w:p>
            <w:pPr>
              <w:tabs>
                <w:tab w:val="left" w:pos="993"/>
              </w:tabs>
              <w:spacing w:line="360" w:lineRule="auto"/>
              <w:jc w:val="center"/>
              <w:rPr>
                <w:color w:val="auto"/>
                <w:sz w:val="24"/>
                <w:highlight w:val="none"/>
              </w:rPr>
            </w:pPr>
          </w:p>
        </w:tc>
        <w:tc>
          <w:tcPr>
            <w:tcW w:w="1716" w:type="dxa"/>
            <w:gridSpan w:val="3"/>
          </w:tcPr>
          <w:p>
            <w:pPr>
              <w:tabs>
                <w:tab w:val="left" w:pos="993"/>
              </w:tabs>
              <w:spacing w:line="360" w:lineRule="auto"/>
              <w:jc w:val="center"/>
              <w:rPr>
                <w:color w:val="auto"/>
                <w:sz w:val="24"/>
                <w:highlight w:val="none"/>
              </w:rPr>
            </w:pPr>
          </w:p>
        </w:tc>
        <w:tc>
          <w:tcPr>
            <w:tcW w:w="1446" w:type="dxa"/>
            <w:gridSpan w:val="3"/>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c>
          <w:tcPr>
            <w:tcW w:w="1176" w:type="dxa"/>
            <w:gridSpan w:val="3"/>
          </w:tcPr>
          <w:p>
            <w:pPr>
              <w:tabs>
                <w:tab w:val="left" w:pos="993"/>
              </w:tabs>
              <w:spacing w:line="360" w:lineRule="auto"/>
              <w:jc w:val="center"/>
              <w:rPr>
                <w:color w:val="auto"/>
                <w:sz w:val="24"/>
                <w:highlight w:val="none"/>
              </w:rPr>
            </w:pPr>
          </w:p>
        </w:tc>
        <w:tc>
          <w:tcPr>
            <w:tcW w:w="1716" w:type="dxa"/>
            <w:gridSpan w:val="3"/>
          </w:tcPr>
          <w:p>
            <w:pPr>
              <w:tabs>
                <w:tab w:val="left" w:pos="993"/>
              </w:tabs>
              <w:spacing w:line="360" w:lineRule="auto"/>
              <w:jc w:val="center"/>
              <w:rPr>
                <w:color w:val="auto"/>
                <w:sz w:val="24"/>
                <w:highlight w:val="none"/>
              </w:rPr>
            </w:pPr>
          </w:p>
        </w:tc>
        <w:tc>
          <w:tcPr>
            <w:tcW w:w="1446" w:type="dxa"/>
            <w:gridSpan w:val="3"/>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c>
          <w:tcPr>
            <w:tcW w:w="1176" w:type="dxa"/>
            <w:gridSpan w:val="3"/>
          </w:tcPr>
          <w:p>
            <w:pPr>
              <w:tabs>
                <w:tab w:val="left" w:pos="993"/>
              </w:tabs>
              <w:spacing w:line="360" w:lineRule="auto"/>
              <w:jc w:val="center"/>
              <w:rPr>
                <w:color w:val="auto"/>
                <w:sz w:val="24"/>
                <w:highlight w:val="none"/>
              </w:rPr>
            </w:pPr>
          </w:p>
        </w:tc>
        <w:tc>
          <w:tcPr>
            <w:tcW w:w="1716" w:type="dxa"/>
            <w:gridSpan w:val="3"/>
          </w:tcPr>
          <w:p>
            <w:pPr>
              <w:tabs>
                <w:tab w:val="left" w:pos="993"/>
              </w:tabs>
              <w:spacing w:line="360" w:lineRule="auto"/>
              <w:jc w:val="center"/>
              <w:rPr>
                <w:color w:val="auto"/>
                <w:sz w:val="24"/>
                <w:highlight w:val="none"/>
              </w:rPr>
            </w:pPr>
          </w:p>
        </w:tc>
        <w:tc>
          <w:tcPr>
            <w:tcW w:w="1446" w:type="dxa"/>
            <w:gridSpan w:val="3"/>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c>
          <w:tcPr>
            <w:tcW w:w="1176" w:type="dxa"/>
            <w:gridSpan w:val="3"/>
          </w:tcPr>
          <w:p>
            <w:pPr>
              <w:tabs>
                <w:tab w:val="left" w:pos="993"/>
              </w:tabs>
              <w:spacing w:line="360" w:lineRule="auto"/>
              <w:jc w:val="center"/>
              <w:rPr>
                <w:color w:val="auto"/>
                <w:sz w:val="24"/>
                <w:highlight w:val="none"/>
              </w:rPr>
            </w:pPr>
          </w:p>
        </w:tc>
        <w:tc>
          <w:tcPr>
            <w:tcW w:w="1716" w:type="dxa"/>
            <w:gridSpan w:val="3"/>
          </w:tcPr>
          <w:p>
            <w:pPr>
              <w:tabs>
                <w:tab w:val="left" w:pos="993"/>
              </w:tabs>
              <w:spacing w:line="360" w:lineRule="auto"/>
              <w:jc w:val="center"/>
              <w:rPr>
                <w:color w:val="auto"/>
                <w:sz w:val="24"/>
                <w:highlight w:val="none"/>
              </w:rPr>
            </w:pPr>
          </w:p>
        </w:tc>
        <w:tc>
          <w:tcPr>
            <w:tcW w:w="1446" w:type="dxa"/>
            <w:gridSpan w:val="3"/>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c>
          <w:tcPr>
            <w:tcW w:w="1176" w:type="dxa"/>
            <w:gridSpan w:val="3"/>
          </w:tcPr>
          <w:p>
            <w:pPr>
              <w:tabs>
                <w:tab w:val="left" w:pos="993"/>
              </w:tabs>
              <w:spacing w:line="360" w:lineRule="auto"/>
              <w:jc w:val="center"/>
              <w:rPr>
                <w:color w:val="auto"/>
                <w:sz w:val="24"/>
                <w:highlight w:val="none"/>
              </w:rPr>
            </w:pPr>
          </w:p>
        </w:tc>
        <w:tc>
          <w:tcPr>
            <w:tcW w:w="1716" w:type="dxa"/>
            <w:gridSpan w:val="3"/>
          </w:tcPr>
          <w:p>
            <w:pPr>
              <w:tabs>
                <w:tab w:val="left" w:pos="993"/>
              </w:tabs>
              <w:spacing w:line="360" w:lineRule="auto"/>
              <w:jc w:val="center"/>
              <w:rPr>
                <w:color w:val="auto"/>
                <w:sz w:val="24"/>
                <w:highlight w:val="none"/>
              </w:rPr>
            </w:pPr>
          </w:p>
        </w:tc>
        <w:tc>
          <w:tcPr>
            <w:tcW w:w="1446" w:type="dxa"/>
            <w:gridSpan w:val="3"/>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c>
          <w:tcPr>
            <w:tcW w:w="1176" w:type="dxa"/>
            <w:gridSpan w:val="3"/>
          </w:tcPr>
          <w:p>
            <w:pPr>
              <w:tabs>
                <w:tab w:val="left" w:pos="993"/>
              </w:tabs>
              <w:spacing w:line="360" w:lineRule="auto"/>
              <w:jc w:val="center"/>
              <w:rPr>
                <w:color w:val="auto"/>
                <w:sz w:val="24"/>
                <w:highlight w:val="none"/>
              </w:rPr>
            </w:pPr>
          </w:p>
        </w:tc>
        <w:tc>
          <w:tcPr>
            <w:tcW w:w="1716" w:type="dxa"/>
            <w:gridSpan w:val="3"/>
          </w:tcPr>
          <w:p>
            <w:pPr>
              <w:tabs>
                <w:tab w:val="left" w:pos="993"/>
              </w:tabs>
              <w:spacing w:line="360" w:lineRule="auto"/>
              <w:jc w:val="center"/>
              <w:rPr>
                <w:color w:val="auto"/>
                <w:sz w:val="24"/>
                <w:highlight w:val="none"/>
              </w:rPr>
            </w:pPr>
          </w:p>
        </w:tc>
        <w:tc>
          <w:tcPr>
            <w:tcW w:w="1446" w:type="dxa"/>
            <w:gridSpan w:val="3"/>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c>
          <w:tcPr>
            <w:tcW w:w="1176" w:type="dxa"/>
            <w:gridSpan w:val="3"/>
          </w:tcPr>
          <w:p>
            <w:pPr>
              <w:tabs>
                <w:tab w:val="left" w:pos="993"/>
              </w:tabs>
              <w:spacing w:line="360" w:lineRule="auto"/>
              <w:jc w:val="center"/>
              <w:rPr>
                <w:color w:val="auto"/>
                <w:sz w:val="24"/>
                <w:highlight w:val="none"/>
              </w:rPr>
            </w:pPr>
          </w:p>
        </w:tc>
        <w:tc>
          <w:tcPr>
            <w:tcW w:w="1716" w:type="dxa"/>
            <w:gridSpan w:val="3"/>
          </w:tcPr>
          <w:p>
            <w:pPr>
              <w:tabs>
                <w:tab w:val="left" w:pos="993"/>
              </w:tabs>
              <w:spacing w:line="360" w:lineRule="auto"/>
              <w:jc w:val="center"/>
              <w:rPr>
                <w:color w:val="auto"/>
                <w:sz w:val="24"/>
                <w:highlight w:val="none"/>
              </w:rPr>
            </w:pPr>
          </w:p>
        </w:tc>
        <w:tc>
          <w:tcPr>
            <w:tcW w:w="1446" w:type="dxa"/>
            <w:gridSpan w:val="3"/>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c>
          <w:tcPr>
            <w:tcW w:w="1176" w:type="dxa"/>
            <w:gridSpan w:val="3"/>
          </w:tcPr>
          <w:p>
            <w:pPr>
              <w:tabs>
                <w:tab w:val="left" w:pos="993"/>
              </w:tabs>
              <w:spacing w:line="360" w:lineRule="auto"/>
              <w:jc w:val="center"/>
              <w:rPr>
                <w:color w:val="auto"/>
                <w:sz w:val="24"/>
                <w:highlight w:val="none"/>
              </w:rPr>
            </w:pPr>
          </w:p>
        </w:tc>
        <w:tc>
          <w:tcPr>
            <w:tcW w:w="1716" w:type="dxa"/>
            <w:gridSpan w:val="3"/>
          </w:tcPr>
          <w:p>
            <w:pPr>
              <w:tabs>
                <w:tab w:val="left" w:pos="993"/>
              </w:tabs>
              <w:spacing w:line="360" w:lineRule="auto"/>
              <w:jc w:val="center"/>
              <w:rPr>
                <w:color w:val="auto"/>
                <w:sz w:val="24"/>
                <w:highlight w:val="none"/>
              </w:rPr>
            </w:pPr>
          </w:p>
        </w:tc>
        <w:tc>
          <w:tcPr>
            <w:tcW w:w="1446" w:type="dxa"/>
            <w:gridSpan w:val="3"/>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c>
          <w:tcPr>
            <w:tcW w:w="1176" w:type="dxa"/>
            <w:gridSpan w:val="3"/>
          </w:tcPr>
          <w:p>
            <w:pPr>
              <w:tabs>
                <w:tab w:val="left" w:pos="993"/>
              </w:tabs>
              <w:spacing w:line="360" w:lineRule="auto"/>
              <w:jc w:val="center"/>
              <w:rPr>
                <w:color w:val="auto"/>
                <w:sz w:val="24"/>
                <w:highlight w:val="none"/>
              </w:rPr>
            </w:pPr>
          </w:p>
        </w:tc>
        <w:tc>
          <w:tcPr>
            <w:tcW w:w="1716" w:type="dxa"/>
            <w:gridSpan w:val="3"/>
          </w:tcPr>
          <w:p>
            <w:pPr>
              <w:tabs>
                <w:tab w:val="left" w:pos="993"/>
              </w:tabs>
              <w:spacing w:line="360" w:lineRule="auto"/>
              <w:jc w:val="center"/>
              <w:rPr>
                <w:color w:val="auto"/>
                <w:sz w:val="24"/>
                <w:highlight w:val="none"/>
              </w:rPr>
            </w:pPr>
          </w:p>
        </w:tc>
        <w:tc>
          <w:tcPr>
            <w:tcW w:w="1446" w:type="dxa"/>
            <w:gridSpan w:val="3"/>
          </w:tcPr>
          <w:p>
            <w:pPr>
              <w:tabs>
                <w:tab w:val="left" w:pos="993"/>
              </w:tabs>
              <w:spacing w:line="360" w:lineRule="auto"/>
              <w:jc w:val="center"/>
              <w:rPr>
                <w:color w:val="auto"/>
                <w:sz w:val="24"/>
                <w:highlight w:val="none"/>
              </w:rPr>
            </w:pPr>
          </w:p>
        </w:tc>
        <w:tc>
          <w:tcPr>
            <w:tcW w:w="1446" w:type="dxa"/>
          </w:tcPr>
          <w:p>
            <w:pPr>
              <w:tabs>
                <w:tab w:val="left" w:pos="993"/>
              </w:tabs>
              <w:spacing w:line="360" w:lineRule="auto"/>
              <w:jc w:val="center"/>
              <w:rPr>
                <w:color w:val="auto"/>
                <w:sz w:val="24"/>
                <w:highlight w:val="none"/>
              </w:rPr>
            </w:pPr>
          </w:p>
        </w:tc>
      </w:tr>
    </w:tbl>
    <w:p>
      <w:pPr>
        <w:tabs>
          <w:tab w:val="left" w:pos="993"/>
        </w:tabs>
        <w:spacing w:line="360" w:lineRule="auto"/>
        <w:rPr>
          <w:color w:val="auto"/>
          <w:sz w:val="24"/>
          <w:highlight w:val="none"/>
        </w:rPr>
      </w:pPr>
    </w:p>
    <w:p>
      <w:pPr>
        <w:tabs>
          <w:tab w:val="left" w:pos="993"/>
        </w:tabs>
        <w:spacing w:line="360" w:lineRule="auto"/>
        <w:rPr>
          <w:color w:val="auto"/>
          <w:highlight w:val="none"/>
        </w:rPr>
      </w:pPr>
      <w:r>
        <w:rPr>
          <w:color w:val="auto"/>
          <w:highlight w:val="none"/>
        </w:rPr>
        <w:br w:type="page"/>
      </w:r>
    </w:p>
    <w:p>
      <w:pPr>
        <w:rPr>
          <w:rFonts w:hint="eastAsia" w:hAnsi="宋体"/>
          <w:color w:val="auto"/>
          <w:highlight w:val="none"/>
        </w:rPr>
      </w:pPr>
    </w:p>
    <w:p>
      <w:pPr>
        <w:pStyle w:val="26"/>
        <w:snapToGrid w:val="0"/>
        <w:spacing w:after="0" w:line="420" w:lineRule="atLeast"/>
        <w:rPr>
          <w:b/>
          <w:bCs/>
          <w:color w:val="auto"/>
          <w:sz w:val="40"/>
          <w:szCs w:val="24"/>
          <w:highlight w:val="none"/>
        </w:rPr>
      </w:pPr>
      <w:r>
        <w:rPr>
          <w:rFonts w:hAnsi="宋体"/>
          <w:b/>
          <w:bCs/>
          <w:color w:val="auto"/>
          <w:sz w:val="40"/>
          <w:szCs w:val="24"/>
          <w:highlight w:val="none"/>
        </w:rPr>
        <w:t>诚信承诺书</w:t>
      </w:r>
    </w:p>
    <w:p>
      <w:pPr>
        <w:adjustRightInd w:val="0"/>
        <w:snapToGrid w:val="0"/>
        <w:spacing w:line="440" w:lineRule="exact"/>
        <w:jc w:val="center"/>
        <w:rPr>
          <w:rFonts w:hint="eastAsia" w:ascii="宋体" w:hAnsi="宋体" w:cs="宋体"/>
          <w:color w:val="auto"/>
          <w:kern w:val="0"/>
          <w:sz w:val="24"/>
          <w:szCs w:val="20"/>
          <w:highlight w:val="none"/>
        </w:rPr>
      </w:pPr>
    </w:p>
    <w:p>
      <w:pPr>
        <w:adjustRightInd w:val="0"/>
        <w:snapToGrid w:val="0"/>
        <w:spacing w:line="440" w:lineRule="exact"/>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：（招标人名称）</w:t>
      </w:r>
    </w:p>
    <w:p>
      <w:pPr>
        <w:adjustRightInd w:val="0"/>
        <w:snapToGrid w:val="0"/>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我方参加你方的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（以下简称“本工程”）的投标，现我方法定代表人向你方郑重承诺：</w:t>
      </w:r>
    </w:p>
    <w:p>
      <w:pPr>
        <w:widowControl/>
        <w:adjustRightInd w:val="0"/>
        <w:snapToGrid w:val="0"/>
        <w:spacing w:line="440" w:lineRule="exact"/>
        <w:ind w:firstLine="468" w:firstLineChars="195"/>
        <w:jc w:val="left"/>
        <w:rPr>
          <w:rFonts w:hint="eastAsia" w:ascii="宋体" w:hAnsi="宋体" w:cs="宋体"/>
          <w:color w:val="auto"/>
          <w:kern w:val="0"/>
          <w:sz w:val="23"/>
          <w:szCs w:val="23"/>
          <w:highlight w:val="none"/>
        </w:rPr>
      </w:pPr>
      <w:r>
        <w:rPr>
          <w:rFonts w:hint="eastAsia" w:ascii="宋体" w:hAnsi="宋体" w:cs="宋体"/>
          <w:color w:val="auto"/>
          <w:sz w:val="24"/>
          <w:highlight w:val="none"/>
        </w:rPr>
        <w:t>1、我方拟派项目负责人</w:t>
      </w:r>
      <w:r>
        <w:rPr>
          <w:rFonts w:hint="eastAsia" w:ascii="宋体" w:hAnsi="宋体" w:cs="宋体"/>
          <w:color w:val="auto"/>
          <w:sz w:val="24"/>
          <w:highlight w:val="none"/>
          <w:u w:val="single"/>
        </w:rPr>
        <w:t xml:space="preserve"> （姓名）  </w:t>
      </w:r>
      <w:r>
        <w:rPr>
          <w:rFonts w:hint="eastAsia" w:ascii="宋体" w:hAnsi="宋体" w:cs="宋体"/>
          <w:color w:val="auto"/>
          <w:sz w:val="24"/>
          <w:highlight w:val="none"/>
        </w:rPr>
        <w:t>（身份证号码：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p>
    <w:p>
      <w:pPr>
        <w:widowControl/>
        <w:adjustRightInd w:val="0"/>
        <w:snapToGrid w:val="0"/>
        <w:spacing w:line="440" w:lineRule="exact"/>
        <w:ind w:firstLine="468" w:firstLineChars="195"/>
        <w:jc w:val="left"/>
        <w:rPr>
          <w:rFonts w:hint="eastAsia" w:ascii="宋体" w:hAnsi="宋体" w:cs="宋体"/>
          <w:color w:val="auto"/>
          <w:sz w:val="24"/>
          <w:highlight w:val="none"/>
        </w:rPr>
      </w:pPr>
      <w:r>
        <w:rPr>
          <w:rFonts w:hint="eastAsia" w:ascii="宋体" w:hAnsi="宋体" w:cs="宋体"/>
          <w:color w:val="auto"/>
          <w:sz w:val="24"/>
          <w:highlight w:val="none"/>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pPr>
        <w:widowControl/>
        <w:adjustRightInd w:val="0"/>
        <w:snapToGrid w:val="0"/>
        <w:spacing w:line="440" w:lineRule="exact"/>
        <w:ind w:firstLine="468" w:firstLineChars="195"/>
        <w:jc w:val="left"/>
        <w:rPr>
          <w:rFonts w:hint="eastAsia" w:ascii="宋体" w:hAnsi="宋体" w:cs="宋体"/>
          <w:color w:val="auto"/>
          <w:sz w:val="24"/>
          <w:highlight w:val="none"/>
        </w:rPr>
      </w:pPr>
      <w:r>
        <w:rPr>
          <w:rFonts w:hint="eastAsia" w:ascii="宋体" w:hAnsi="宋体" w:cs="宋体"/>
          <w:color w:val="auto"/>
          <w:sz w:val="24"/>
          <w:highlight w:val="none"/>
        </w:rPr>
        <w:t>3、我方递交的投标文件中的所有资料都是真实可信的，没有弄虚作假。</w:t>
      </w:r>
    </w:p>
    <w:p>
      <w:pPr>
        <w:widowControl/>
        <w:adjustRightInd w:val="0"/>
        <w:snapToGrid w:val="0"/>
        <w:spacing w:line="440" w:lineRule="exact"/>
        <w:ind w:firstLine="468" w:firstLineChars="195"/>
        <w:jc w:val="left"/>
        <w:rPr>
          <w:rFonts w:hint="eastAsia" w:ascii="宋体" w:hAnsi="宋体" w:cs="宋体"/>
          <w:color w:val="auto"/>
          <w:sz w:val="24"/>
          <w:highlight w:val="none"/>
        </w:rPr>
      </w:pPr>
      <w:r>
        <w:rPr>
          <w:rFonts w:hint="eastAsia" w:ascii="宋体" w:hAnsi="宋体" w:cs="宋体"/>
          <w:color w:val="auto"/>
          <w:sz w:val="24"/>
          <w:highlight w:val="none"/>
        </w:rPr>
        <w:t>4、我方不组织、不参与串标围标，没有出借资质等违法违规行为。</w:t>
      </w:r>
    </w:p>
    <w:p>
      <w:pPr>
        <w:widowControl/>
        <w:adjustRightInd w:val="0"/>
        <w:snapToGrid w:val="0"/>
        <w:spacing w:line="440" w:lineRule="exact"/>
        <w:ind w:firstLine="468" w:firstLineChars="195"/>
        <w:jc w:val="left"/>
        <w:rPr>
          <w:rFonts w:hint="eastAsia" w:ascii="宋体" w:hAnsi="宋体" w:cs="宋体"/>
          <w:color w:val="auto"/>
          <w:sz w:val="24"/>
          <w:highlight w:val="none"/>
        </w:rPr>
      </w:pPr>
    </w:p>
    <w:p>
      <w:pPr>
        <w:adjustRightInd w:val="0"/>
        <w:snapToGrid w:val="0"/>
        <w:spacing w:line="44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我方承诺：违反上述任何一条承诺，自愿意接受当地建设行政主管部门作出的依法处罚，包括同意你方取消我方中标资格并不予退还投标保证金或履约保证金，将我方列入黑名单，并上报南通市建设主管部门。</w:t>
      </w:r>
    </w:p>
    <w:p>
      <w:pPr>
        <w:adjustRightInd w:val="0"/>
        <w:snapToGrid w:val="0"/>
        <w:spacing w:line="440" w:lineRule="exact"/>
        <w:ind w:firstLine="250" w:firstLineChars="98"/>
        <w:rPr>
          <w:rFonts w:hint="eastAsia" w:ascii="宋体" w:hAnsi="宋体" w:cs="宋体"/>
          <w:color w:val="auto"/>
          <w:spacing w:val="8"/>
          <w:kern w:val="0"/>
          <w:sz w:val="24"/>
          <w:highlight w:val="none"/>
        </w:rPr>
      </w:pPr>
    </w:p>
    <w:p>
      <w:pPr>
        <w:adjustRightInd w:val="0"/>
        <w:snapToGrid w:val="0"/>
        <w:spacing w:line="440" w:lineRule="exact"/>
        <w:ind w:firstLine="3720" w:firstLineChars="1550"/>
        <w:rPr>
          <w:rFonts w:hint="eastAsia" w:ascii="宋体" w:hAnsi="宋体" w:cs="宋体"/>
          <w:color w:val="auto"/>
          <w:sz w:val="23"/>
          <w:szCs w:val="23"/>
          <w:highlight w:val="none"/>
        </w:rPr>
      </w:pPr>
      <w:r>
        <w:rPr>
          <w:rFonts w:hint="eastAsia" w:ascii="宋体" w:hAnsi="宋体" w:cs="宋体"/>
          <w:color w:val="auto"/>
          <w:sz w:val="24"/>
          <w:highlight w:val="none"/>
        </w:rPr>
        <w:t>投标申请人（盖章）：</w:t>
      </w:r>
      <w:r>
        <w:rPr>
          <w:rFonts w:hint="eastAsia" w:ascii="宋体" w:hAnsi="宋体" w:cs="宋体"/>
          <w:color w:val="auto"/>
          <w:sz w:val="23"/>
          <w:szCs w:val="23"/>
          <w:highlight w:val="none"/>
          <w:u w:val="single"/>
        </w:rPr>
        <w:t xml:space="preserve">                         </w:t>
      </w:r>
      <w:r>
        <w:rPr>
          <w:rFonts w:hint="eastAsia" w:ascii="宋体" w:hAnsi="宋体" w:cs="宋体"/>
          <w:color w:val="auto"/>
          <w:sz w:val="23"/>
          <w:szCs w:val="23"/>
          <w:highlight w:val="none"/>
        </w:rPr>
        <w:t xml:space="preserve"> </w:t>
      </w:r>
    </w:p>
    <w:p>
      <w:pPr>
        <w:tabs>
          <w:tab w:val="left" w:pos="4320"/>
        </w:tabs>
        <w:adjustRightInd w:val="0"/>
        <w:snapToGrid w:val="0"/>
        <w:spacing w:line="440" w:lineRule="exact"/>
        <w:ind w:firstLine="3600" w:firstLineChars="1500"/>
        <w:rPr>
          <w:rFonts w:hint="eastAsia" w:ascii="宋体" w:hAnsi="宋体" w:cs="宋体"/>
          <w:color w:val="auto"/>
          <w:sz w:val="23"/>
          <w:szCs w:val="23"/>
          <w:highlight w:val="none"/>
        </w:rPr>
      </w:pPr>
      <w:r>
        <w:rPr>
          <w:rFonts w:hint="eastAsia" w:ascii="宋体" w:hAnsi="宋体" w:cs="宋体"/>
          <w:color w:val="auto"/>
          <w:sz w:val="24"/>
          <w:highlight w:val="none"/>
        </w:rPr>
        <w:t>法定代表人(签字或盖章)：</w:t>
      </w:r>
      <w:r>
        <w:rPr>
          <w:rFonts w:hint="eastAsia" w:ascii="宋体" w:hAnsi="宋体" w:cs="宋体"/>
          <w:color w:val="auto"/>
          <w:sz w:val="23"/>
          <w:szCs w:val="23"/>
          <w:highlight w:val="none"/>
          <w:u w:val="single"/>
        </w:rPr>
        <w:t xml:space="preserve">                   </w:t>
      </w:r>
      <w:r>
        <w:rPr>
          <w:rFonts w:hint="eastAsia" w:ascii="宋体" w:hAnsi="宋体" w:cs="宋体"/>
          <w:color w:val="auto"/>
          <w:sz w:val="23"/>
          <w:szCs w:val="23"/>
          <w:highlight w:val="none"/>
        </w:rPr>
        <w:t xml:space="preserve"> </w:t>
      </w:r>
    </w:p>
    <w:p>
      <w:pPr>
        <w:spacing w:line="360" w:lineRule="auto"/>
        <w:ind w:firstLine="225" w:firstLineChars="98"/>
        <w:rPr>
          <w:color w:val="auto"/>
          <w:spacing w:val="8"/>
          <w:kern w:val="0"/>
          <w:sz w:val="24"/>
          <w:highlight w:val="none"/>
        </w:rPr>
      </w:pPr>
      <w:r>
        <w:rPr>
          <w:rFonts w:hint="eastAsia" w:ascii="宋体" w:hAnsi="宋体" w:cs="宋体"/>
          <w:color w:val="auto"/>
          <w:sz w:val="23"/>
          <w:szCs w:val="23"/>
          <w:highlight w:val="none"/>
        </w:rPr>
        <w:t xml:space="preserve">                              </w:t>
      </w:r>
      <w:r>
        <w:rPr>
          <w:rFonts w:hint="eastAsia" w:ascii="宋体" w:hAnsi="宋体" w:cs="宋体"/>
          <w:color w:val="auto"/>
          <w:sz w:val="24"/>
          <w:highlight w:val="none"/>
        </w:rPr>
        <w:t>日期：</w:t>
      </w:r>
      <w:r>
        <w:rPr>
          <w:rFonts w:hint="eastAsia" w:ascii="宋体" w:hAnsi="宋体" w:cs="宋体"/>
          <w:color w:val="auto"/>
          <w:sz w:val="23"/>
          <w:szCs w:val="23"/>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3"/>
          <w:szCs w:val="23"/>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3"/>
          <w:szCs w:val="23"/>
          <w:highlight w:val="none"/>
          <w:u w:val="single"/>
        </w:rPr>
        <w:t xml:space="preserve">       </w:t>
      </w:r>
      <w:r>
        <w:rPr>
          <w:rFonts w:hint="eastAsia" w:ascii="宋体" w:hAnsi="宋体" w:cs="宋体"/>
          <w:color w:val="auto"/>
          <w:sz w:val="24"/>
          <w:highlight w:val="none"/>
        </w:rPr>
        <w:t>日</w:t>
      </w:r>
    </w:p>
    <w:p>
      <w:pPr>
        <w:rPr>
          <w:rFonts w:hint="eastAsia" w:hAnsi="宋体"/>
          <w:color w:val="auto"/>
          <w:highlight w:val="none"/>
        </w:rPr>
      </w:pPr>
      <w:r>
        <w:rPr>
          <w:rFonts w:hAnsi="宋体"/>
          <w:color w:val="auto"/>
          <w:highlight w:val="none"/>
        </w:rPr>
        <w:br w:type="page"/>
      </w:r>
    </w:p>
    <w:p>
      <w:pPr>
        <w:pStyle w:val="26"/>
        <w:snapToGrid w:val="0"/>
        <w:spacing w:after="0" w:line="440" w:lineRule="exact"/>
        <w:rPr>
          <w:b/>
          <w:bCs/>
          <w:color w:val="auto"/>
          <w:sz w:val="36"/>
          <w:szCs w:val="22"/>
          <w:highlight w:val="none"/>
        </w:rPr>
      </w:pPr>
      <w:r>
        <w:rPr>
          <w:rFonts w:hAnsi="宋体"/>
          <w:b/>
          <w:bCs/>
          <w:color w:val="auto"/>
          <w:sz w:val="36"/>
          <w:szCs w:val="22"/>
          <w:highlight w:val="none"/>
        </w:rPr>
        <w:t>工程完工证明</w:t>
      </w:r>
    </w:p>
    <w:p>
      <w:pPr>
        <w:adjustRightInd w:val="0"/>
        <w:snapToGrid w:val="0"/>
        <w:spacing w:line="440" w:lineRule="exact"/>
        <w:rPr>
          <w:b/>
          <w:bCs/>
          <w:color w:val="auto"/>
          <w:highlight w:val="none"/>
        </w:rPr>
      </w:pPr>
    </w:p>
    <w:p>
      <w:pPr>
        <w:adjustRightInd w:val="0"/>
        <w:snapToGrid w:val="0"/>
        <w:spacing w:line="440" w:lineRule="exact"/>
        <w:jc w:val="center"/>
        <w:rPr>
          <w:rFonts w:hint="eastAsia" w:ascii="宋体" w:hAnsi="宋体" w:cs="宋体"/>
          <w:color w:val="auto"/>
          <w:sz w:val="28"/>
          <w:highlight w:val="none"/>
        </w:rPr>
      </w:pPr>
      <w:bookmarkStart w:id="52" w:name="_Toc404159965"/>
      <w:bookmarkStart w:id="53" w:name="_Toc465181340"/>
      <w:r>
        <w:rPr>
          <w:rFonts w:hint="eastAsia" w:ascii="宋体" w:hAnsi="宋体" w:cs="宋体"/>
          <w:color w:val="auto"/>
          <w:sz w:val="28"/>
          <w:highlight w:val="none"/>
        </w:rPr>
        <w:t>（如需）</w:t>
      </w:r>
    </w:p>
    <w:p>
      <w:pPr>
        <w:adjustRightInd w:val="0"/>
        <w:snapToGrid w:val="0"/>
        <w:spacing w:line="440" w:lineRule="exact"/>
        <w:jc w:val="center"/>
        <w:rPr>
          <w:rFonts w:hint="eastAsia" w:ascii="宋体" w:hAnsi="宋体" w:cs="宋体"/>
          <w:color w:val="auto"/>
          <w:sz w:val="28"/>
          <w:highlight w:val="none"/>
        </w:rPr>
      </w:pPr>
    </w:p>
    <w:p>
      <w:pPr>
        <w:adjustRightInd w:val="0"/>
        <w:snapToGrid w:val="0"/>
        <w:spacing w:line="440" w:lineRule="exact"/>
        <w:rPr>
          <w:rFonts w:hint="eastAsia" w:ascii="宋体" w:hAnsi="宋体" w:cs="宋体"/>
          <w:color w:val="auto"/>
          <w:highlight w:val="none"/>
        </w:rPr>
      </w:pPr>
      <w:r>
        <w:rPr>
          <w:rFonts w:hint="eastAsia" w:ascii="宋体" w:hAnsi="宋体" w:cs="宋体"/>
          <w:color w:val="auto"/>
          <w:highlight w:val="none"/>
          <w:u w:val="single"/>
        </w:rPr>
        <w:t xml:space="preserve">                                  </w:t>
      </w:r>
      <w:r>
        <w:rPr>
          <w:rFonts w:hint="eastAsia" w:ascii="宋体" w:hAnsi="宋体" w:cs="宋体"/>
          <w:color w:val="auto"/>
          <w:highlight w:val="none"/>
        </w:rPr>
        <w:t>：</w:t>
      </w:r>
      <w:r>
        <w:rPr>
          <w:rFonts w:hint="eastAsia" w:ascii="宋体" w:hAnsi="宋体" w:cs="宋体"/>
          <w:color w:val="auto"/>
          <w:sz w:val="24"/>
          <w:highlight w:val="none"/>
        </w:rPr>
        <w:t>（招标人名称）</w:t>
      </w:r>
    </w:p>
    <w:p>
      <w:pPr>
        <w:adjustRightInd w:val="0"/>
        <w:snapToGrid w:val="0"/>
        <w:spacing w:line="440" w:lineRule="exact"/>
        <w:ind w:firstLine="422" w:firstLineChars="200"/>
        <w:rPr>
          <w:rFonts w:hint="eastAsia" w:ascii="宋体" w:hAnsi="宋体" w:cs="宋体"/>
          <w:color w:val="auto"/>
          <w:sz w:val="24"/>
          <w:highlight w:val="none"/>
        </w:rPr>
      </w:pPr>
      <w:r>
        <w:rPr>
          <w:rFonts w:hint="eastAsia" w:ascii="宋体" w:hAnsi="宋体" w:cs="宋体"/>
          <w:b/>
          <w:color w:val="auto"/>
          <w:highlight w:val="none"/>
          <w:u w:val="single"/>
        </w:rPr>
        <w:t xml:space="preserve">                             </w:t>
      </w:r>
      <w:r>
        <w:rPr>
          <w:rFonts w:hint="eastAsia" w:ascii="宋体" w:hAnsi="宋体" w:cs="宋体"/>
          <w:color w:val="auto"/>
          <w:sz w:val="24"/>
          <w:highlight w:val="none"/>
        </w:rPr>
        <w:t>（中标单位名称）的项目经理</w:t>
      </w:r>
      <w:r>
        <w:rPr>
          <w:rFonts w:hint="eastAsia" w:ascii="宋体" w:hAnsi="宋体" w:cs="宋体"/>
          <w:color w:val="auto"/>
          <w:sz w:val="24"/>
          <w:highlight w:val="none"/>
          <w:u w:val="single"/>
        </w:rPr>
        <w:t>（项目负责人）</w:t>
      </w:r>
      <w:r>
        <w:rPr>
          <w:rFonts w:hint="eastAsia" w:ascii="宋体" w:hAnsi="宋体" w:cs="宋体"/>
          <w:b/>
          <w:color w:val="auto"/>
          <w:highlight w:val="none"/>
          <w:u w:val="single"/>
        </w:rPr>
        <w:t xml:space="preserve">          </w:t>
      </w:r>
      <w:r>
        <w:rPr>
          <w:rFonts w:hint="eastAsia" w:ascii="宋体" w:hAnsi="宋体" w:cs="宋体"/>
          <w:color w:val="auto"/>
          <w:sz w:val="24"/>
          <w:highlight w:val="none"/>
          <w:u w:val="single"/>
        </w:rPr>
        <w:t>（姓名及证书编号）</w:t>
      </w:r>
      <w:r>
        <w:rPr>
          <w:rFonts w:hint="eastAsia" w:ascii="宋体" w:hAnsi="宋体" w:cs="宋体"/>
          <w:color w:val="auto"/>
          <w:sz w:val="24"/>
          <w:highlight w:val="none"/>
        </w:rPr>
        <w:t xml:space="preserve">承接我单位的 </w:t>
      </w:r>
      <w:r>
        <w:rPr>
          <w:rFonts w:hint="eastAsia" w:ascii="宋体" w:hAnsi="宋体" w:cs="宋体"/>
          <w:b/>
          <w:color w:val="auto"/>
          <w:highlight w:val="none"/>
          <w:u w:val="single"/>
        </w:rPr>
        <w:t xml:space="preserve">                  </w:t>
      </w:r>
      <w:r>
        <w:rPr>
          <w:rFonts w:hint="eastAsia" w:ascii="宋体" w:hAnsi="宋体" w:cs="宋体"/>
          <w:color w:val="auto"/>
          <w:sz w:val="24"/>
          <w:highlight w:val="none"/>
        </w:rPr>
        <w:t>（项目名称）</w:t>
      </w:r>
      <w:r>
        <w:rPr>
          <w:rFonts w:hint="eastAsia" w:ascii="宋体" w:hAnsi="宋体" w:cs="宋体"/>
          <w:b/>
          <w:color w:val="auto"/>
          <w:highlight w:val="none"/>
          <w:u w:val="single"/>
        </w:rPr>
        <w:t xml:space="preserve">                 </w:t>
      </w:r>
      <w:r>
        <w:rPr>
          <w:rFonts w:hint="eastAsia" w:ascii="宋体" w:hAnsi="宋体" w:cs="宋体"/>
          <w:color w:val="auto"/>
          <w:sz w:val="24"/>
          <w:highlight w:val="none"/>
          <w:u w:val="single"/>
        </w:rPr>
        <w:t>（标段名称）</w:t>
      </w:r>
      <w:r>
        <w:rPr>
          <w:rFonts w:hint="eastAsia" w:ascii="宋体" w:hAnsi="宋体" w:cs="宋体"/>
          <w:color w:val="auto"/>
          <w:sz w:val="24"/>
          <w:highlight w:val="none"/>
        </w:rPr>
        <w:t>于</w:t>
      </w:r>
      <w:r>
        <w:rPr>
          <w:rFonts w:hint="eastAsia" w:ascii="宋体" w:hAnsi="宋体" w:cs="宋体"/>
          <w:b/>
          <w:color w:val="auto"/>
          <w:highlight w:val="none"/>
          <w:u w:val="single"/>
        </w:rPr>
        <w:t xml:space="preserve">    </w:t>
      </w:r>
      <w:r>
        <w:rPr>
          <w:rFonts w:hint="eastAsia" w:ascii="宋体" w:hAnsi="宋体" w:cs="宋体"/>
          <w:color w:val="auto"/>
          <w:sz w:val="24"/>
          <w:highlight w:val="none"/>
        </w:rPr>
        <w:t xml:space="preserve">年 </w:t>
      </w:r>
      <w:r>
        <w:rPr>
          <w:rFonts w:hint="eastAsia" w:ascii="宋体" w:hAnsi="宋体" w:cs="宋体"/>
          <w:b/>
          <w:color w:val="auto"/>
          <w:highlight w:val="none"/>
          <w:u w:val="single"/>
        </w:rPr>
        <w:t xml:space="preserve">   </w:t>
      </w:r>
      <w:r>
        <w:rPr>
          <w:rFonts w:hint="eastAsia" w:ascii="宋体" w:hAnsi="宋体" w:cs="宋体"/>
          <w:color w:val="auto"/>
          <w:sz w:val="24"/>
          <w:highlight w:val="none"/>
        </w:rPr>
        <w:t>月</w:t>
      </w:r>
      <w:r>
        <w:rPr>
          <w:rFonts w:hint="eastAsia" w:ascii="宋体" w:hAnsi="宋体" w:cs="宋体"/>
          <w:b/>
          <w:color w:val="auto"/>
          <w:highlight w:val="none"/>
          <w:u w:val="single"/>
        </w:rPr>
        <w:t xml:space="preserve">    </w:t>
      </w:r>
      <w:r>
        <w:rPr>
          <w:rFonts w:hint="eastAsia" w:ascii="宋体" w:hAnsi="宋体" w:cs="宋体"/>
          <w:color w:val="auto"/>
          <w:sz w:val="24"/>
          <w:highlight w:val="none"/>
        </w:rPr>
        <w:t>日完工，现同意该项目经理参加其他工程招投标活动。</w:t>
      </w:r>
    </w:p>
    <w:p>
      <w:pPr>
        <w:adjustRightInd w:val="0"/>
        <w:snapToGrid w:val="0"/>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特此证明。</w:t>
      </w:r>
    </w:p>
    <w:p>
      <w:pPr>
        <w:adjustRightInd w:val="0"/>
        <w:snapToGrid w:val="0"/>
        <w:spacing w:line="440" w:lineRule="exact"/>
        <w:rPr>
          <w:rFonts w:hint="eastAsia" w:ascii="宋体" w:hAnsi="宋体" w:cs="宋体"/>
          <w:color w:val="auto"/>
          <w:sz w:val="24"/>
          <w:highlight w:val="none"/>
        </w:rPr>
      </w:pPr>
    </w:p>
    <w:p>
      <w:pPr>
        <w:adjustRightInd w:val="0"/>
        <w:snapToGrid w:val="0"/>
        <w:spacing w:line="440" w:lineRule="exact"/>
        <w:rPr>
          <w:rFonts w:hint="eastAsia" w:ascii="宋体" w:hAnsi="宋体" w:cs="宋体"/>
          <w:color w:val="auto"/>
          <w:sz w:val="24"/>
          <w:highlight w:val="none"/>
        </w:rPr>
      </w:pPr>
      <w:r>
        <w:rPr>
          <w:rFonts w:hint="eastAsia" w:ascii="宋体" w:hAnsi="宋体" w:cs="宋体"/>
          <w:color w:val="auto"/>
          <w:sz w:val="24"/>
          <w:highlight w:val="none"/>
        </w:rPr>
        <w:t>注：如项目已竣工验收，附竣工验收单。</w:t>
      </w:r>
    </w:p>
    <w:p>
      <w:pPr>
        <w:adjustRightInd w:val="0"/>
        <w:snapToGrid w:val="0"/>
        <w:spacing w:line="440" w:lineRule="exact"/>
        <w:rPr>
          <w:rFonts w:hint="eastAsia" w:ascii="宋体" w:hAnsi="宋体" w:cs="宋体"/>
          <w:color w:val="auto"/>
          <w:highlight w:val="none"/>
        </w:rPr>
      </w:pPr>
    </w:p>
    <w:p>
      <w:pPr>
        <w:adjustRightInd w:val="0"/>
        <w:snapToGrid w:val="0"/>
        <w:spacing w:line="440" w:lineRule="exact"/>
        <w:rPr>
          <w:rFonts w:hint="eastAsia" w:ascii="宋体" w:hAnsi="宋体" w:cs="宋体"/>
          <w:color w:val="auto"/>
          <w:highlight w:val="none"/>
        </w:rPr>
      </w:pPr>
    </w:p>
    <w:p>
      <w:pPr>
        <w:adjustRightInd w:val="0"/>
        <w:snapToGrid w:val="0"/>
        <w:spacing w:line="440" w:lineRule="exact"/>
        <w:ind w:firstLine="422" w:firstLineChars="200"/>
        <w:rPr>
          <w:rFonts w:hint="eastAsia" w:ascii="宋体" w:hAnsi="宋体" w:cs="宋体"/>
          <w:b/>
          <w:color w:val="auto"/>
          <w:highlight w:val="none"/>
        </w:rPr>
      </w:pPr>
    </w:p>
    <w:p>
      <w:pPr>
        <w:adjustRightInd w:val="0"/>
        <w:snapToGrid w:val="0"/>
        <w:spacing w:line="440" w:lineRule="exact"/>
        <w:jc w:val="right"/>
        <w:rPr>
          <w:rFonts w:hint="eastAsia" w:ascii="宋体" w:hAnsi="宋体" w:cs="宋体"/>
          <w:color w:val="auto"/>
          <w:sz w:val="24"/>
          <w:highlight w:val="none"/>
        </w:rPr>
      </w:pPr>
      <w:r>
        <w:rPr>
          <w:rFonts w:hint="eastAsia" w:ascii="宋体" w:hAnsi="宋体" w:cs="宋体"/>
          <w:color w:val="auto"/>
          <w:sz w:val="24"/>
          <w:highlight w:val="none"/>
        </w:rPr>
        <w:t>单位公章（注：单位内设科室盖章无效）</w:t>
      </w:r>
    </w:p>
    <w:p>
      <w:pPr>
        <w:adjustRightInd w:val="0"/>
        <w:snapToGrid w:val="0"/>
        <w:spacing w:line="440" w:lineRule="exact"/>
        <w:ind w:firstLine="4560" w:firstLineChars="1900"/>
        <w:rPr>
          <w:color w:val="auto"/>
          <w:highlight w:val="none"/>
        </w:rPr>
      </w:pPr>
      <w:r>
        <w:rPr>
          <w:rFonts w:hint="eastAsia" w:ascii="宋体" w:hAnsi="宋体" w:cs="宋体"/>
          <w:color w:val="auto"/>
          <w:sz w:val="24"/>
          <w:highlight w:val="none"/>
        </w:rPr>
        <w:t>日期：</w:t>
      </w:r>
      <w:bookmarkEnd w:id="52"/>
      <w:bookmarkEnd w:id="53"/>
    </w:p>
    <w:p>
      <w:pPr>
        <w:rPr>
          <w:color w:val="auto"/>
          <w:highlight w:val="none"/>
        </w:rPr>
      </w:pPr>
    </w:p>
    <w:p>
      <w:pPr>
        <w:rPr>
          <w:color w:val="auto"/>
          <w:highlight w:val="none"/>
        </w:rPr>
      </w:pPr>
    </w:p>
    <w:sectPr>
      <w:headerReference r:id="rId3" w:type="default"/>
      <w:footerReference r:id="rId4" w:type="default"/>
      <w:pgSz w:w="11906" w:h="16838"/>
      <w:pgMar w:top="1440" w:right="1286" w:bottom="11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时尚中黑简体">
    <w:panose1 w:val="01010104010101010101"/>
    <w:charset w:val="86"/>
    <w:family w:val="auto"/>
    <w:pitch w:val="default"/>
    <w:sig w:usb0="800002BF" w:usb1="184F6CF8"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3"/>
      </w:rPr>
    </w:pPr>
    <w:r>
      <w:fldChar w:fldCharType="begin"/>
    </w:r>
    <w:r>
      <w:rPr>
        <w:rStyle w:val="23"/>
      </w:rPr>
      <w:instrText xml:space="preserve">PAGE  </w:instrText>
    </w:r>
    <w:r>
      <w:fldChar w:fldCharType="separate"/>
    </w:r>
    <w:r>
      <w:rPr>
        <w:rStyle w:val="23"/>
      </w:rPr>
      <w:t>45</w:t>
    </w:r>
    <w: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right="42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FD07F3"/>
    <w:multiLevelType w:val="singleLevel"/>
    <w:tmpl w:val="CBFD07F3"/>
    <w:lvl w:ilvl="0" w:tentative="0">
      <w:start w:val="1"/>
      <w:numFmt w:val="decimal"/>
      <w:suff w:val="nothing"/>
      <w:lvlText w:val="（%1）"/>
      <w:lvlJc w:val="left"/>
    </w:lvl>
  </w:abstractNum>
  <w:abstractNum w:abstractNumId="1">
    <w:nsid w:val="DA3CF540"/>
    <w:multiLevelType w:val="singleLevel"/>
    <w:tmpl w:val="DA3CF540"/>
    <w:lvl w:ilvl="0" w:tentative="0">
      <w:start w:val="1"/>
      <w:numFmt w:val="decimal"/>
      <w:suff w:val="nothing"/>
      <w:lvlText w:val="（%1）"/>
      <w:lvlJc w:val="left"/>
    </w:lvl>
  </w:abstractNum>
  <w:abstractNum w:abstractNumId="2">
    <w:nsid w:val="EA32936A"/>
    <w:multiLevelType w:val="singleLevel"/>
    <w:tmpl w:val="EA32936A"/>
    <w:lvl w:ilvl="0" w:tentative="0">
      <w:start w:val="13"/>
      <w:numFmt w:val="decimal"/>
      <w:lvlText w:val="%1."/>
      <w:lvlJc w:val="left"/>
      <w:pPr>
        <w:tabs>
          <w:tab w:val="left" w:pos="312"/>
        </w:tabs>
      </w:pPr>
    </w:lvl>
  </w:abstractNum>
  <w:abstractNum w:abstractNumId="3">
    <w:nsid w:val="FA5646FB"/>
    <w:multiLevelType w:val="singleLevel"/>
    <w:tmpl w:val="FA5646FB"/>
    <w:lvl w:ilvl="0" w:tentative="0">
      <w:start w:val="2"/>
      <w:numFmt w:val="decimal"/>
      <w:suff w:val="nothing"/>
      <w:lvlText w:val="%1、"/>
      <w:lvlJc w:val="left"/>
    </w:lvl>
  </w:abstractNum>
  <w:abstractNum w:abstractNumId="4">
    <w:nsid w:val="0B0B416E"/>
    <w:multiLevelType w:val="singleLevel"/>
    <w:tmpl w:val="0B0B416E"/>
    <w:lvl w:ilvl="0" w:tentative="0">
      <w:start w:val="19"/>
      <w:numFmt w:val="decimal"/>
      <w:lvlText w:val="%1."/>
      <w:lvlJc w:val="left"/>
      <w:pPr>
        <w:tabs>
          <w:tab w:val="left" w:pos="312"/>
        </w:tabs>
      </w:pPr>
    </w:lvl>
  </w:abstractNum>
  <w:abstractNum w:abstractNumId="5">
    <w:nsid w:val="1BC9EB82"/>
    <w:multiLevelType w:val="singleLevel"/>
    <w:tmpl w:val="1BC9EB82"/>
    <w:lvl w:ilvl="0" w:tentative="0">
      <w:start w:val="1"/>
      <w:numFmt w:val="decimal"/>
      <w:lvlText w:val="(%1)"/>
      <w:lvlJc w:val="left"/>
      <w:pPr>
        <w:ind w:left="425" w:hanging="425"/>
      </w:pPr>
      <w:rPr>
        <w:rFonts w:hint="default"/>
      </w:r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DRlOTQyZDU0NDY3YTQ2YzBhMmU3ZWUwZjk3YmMifQ=="/>
    <w:docVar w:name="KSO_WPS_MARK_KEY" w:val="f2ded0c4-aca9-4a8b-a764-4e607a6f5e76"/>
  </w:docVars>
  <w:rsids>
    <w:rsidRoot w:val="23AC3A47"/>
    <w:rsid w:val="00006558"/>
    <w:rsid w:val="002D20F9"/>
    <w:rsid w:val="003875BA"/>
    <w:rsid w:val="003B6230"/>
    <w:rsid w:val="00464CEE"/>
    <w:rsid w:val="004D7B35"/>
    <w:rsid w:val="004E5EB7"/>
    <w:rsid w:val="0050282B"/>
    <w:rsid w:val="0059648C"/>
    <w:rsid w:val="00784B79"/>
    <w:rsid w:val="007F27CB"/>
    <w:rsid w:val="00955A0B"/>
    <w:rsid w:val="00A82AD7"/>
    <w:rsid w:val="00B041B7"/>
    <w:rsid w:val="00B23F3F"/>
    <w:rsid w:val="00B24A76"/>
    <w:rsid w:val="00BA595C"/>
    <w:rsid w:val="00C2337A"/>
    <w:rsid w:val="00D44A33"/>
    <w:rsid w:val="00D93A5F"/>
    <w:rsid w:val="00DD3F95"/>
    <w:rsid w:val="00DF0564"/>
    <w:rsid w:val="00EB15A4"/>
    <w:rsid w:val="00EE26D6"/>
    <w:rsid w:val="00F14AFD"/>
    <w:rsid w:val="01207B0A"/>
    <w:rsid w:val="01275203"/>
    <w:rsid w:val="016519C1"/>
    <w:rsid w:val="01ED5952"/>
    <w:rsid w:val="023575E5"/>
    <w:rsid w:val="024A2FD4"/>
    <w:rsid w:val="02B40E52"/>
    <w:rsid w:val="03E134F3"/>
    <w:rsid w:val="03FD2384"/>
    <w:rsid w:val="042F62B6"/>
    <w:rsid w:val="043A5387"/>
    <w:rsid w:val="04D54446"/>
    <w:rsid w:val="04E452F2"/>
    <w:rsid w:val="05854707"/>
    <w:rsid w:val="05970585"/>
    <w:rsid w:val="05AF4E29"/>
    <w:rsid w:val="06153B39"/>
    <w:rsid w:val="067B1C86"/>
    <w:rsid w:val="068E19BA"/>
    <w:rsid w:val="075C1AB8"/>
    <w:rsid w:val="0837719C"/>
    <w:rsid w:val="08510EF1"/>
    <w:rsid w:val="08E60307"/>
    <w:rsid w:val="08FC0E5C"/>
    <w:rsid w:val="091273FA"/>
    <w:rsid w:val="091466C0"/>
    <w:rsid w:val="09CB3921"/>
    <w:rsid w:val="0A1E62D0"/>
    <w:rsid w:val="0A363673"/>
    <w:rsid w:val="0A4C4AF3"/>
    <w:rsid w:val="0A636BC4"/>
    <w:rsid w:val="0A9B516E"/>
    <w:rsid w:val="0AA525C6"/>
    <w:rsid w:val="0B275F39"/>
    <w:rsid w:val="0B5A4C00"/>
    <w:rsid w:val="0BA43520"/>
    <w:rsid w:val="0C6E31E4"/>
    <w:rsid w:val="0CAF50C5"/>
    <w:rsid w:val="0CD11937"/>
    <w:rsid w:val="0DE025A6"/>
    <w:rsid w:val="0F4C41C0"/>
    <w:rsid w:val="0F7C1254"/>
    <w:rsid w:val="0F953DB9"/>
    <w:rsid w:val="0FFA3C1C"/>
    <w:rsid w:val="106B4B1A"/>
    <w:rsid w:val="10806817"/>
    <w:rsid w:val="10AF70F7"/>
    <w:rsid w:val="10D12BCF"/>
    <w:rsid w:val="11810F5E"/>
    <w:rsid w:val="11C20769"/>
    <w:rsid w:val="11C4153A"/>
    <w:rsid w:val="12E14D23"/>
    <w:rsid w:val="12E77B7A"/>
    <w:rsid w:val="138C3F46"/>
    <w:rsid w:val="14C6536D"/>
    <w:rsid w:val="1525195A"/>
    <w:rsid w:val="15C251DC"/>
    <w:rsid w:val="15CB5D9D"/>
    <w:rsid w:val="15E57946"/>
    <w:rsid w:val="16094BE4"/>
    <w:rsid w:val="167C5A4B"/>
    <w:rsid w:val="16DA0303"/>
    <w:rsid w:val="177644D0"/>
    <w:rsid w:val="17877128"/>
    <w:rsid w:val="17C226CB"/>
    <w:rsid w:val="19FE07AD"/>
    <w:rsid w:val="1A02204B"/>
    <w:rsid w:val="1A5F56EF"/>
    <w:rsid w:val="1AE80D0D"/>
    <w:rsid w:val="1C9D07CC"/>
    <w:rsid w:val="1D322C47"/>
    <w:rsid w:val="1D476C87"/>
    <w:rsid w:val="1D736B4D"/>
    <w:rsid w:val="1D9C27B6"/>
    <w:rsid w:val="1EA71790"/>
    <w:rsid w:val="1EBFCC8B"/>
    <w:rsid w:val="1FF02F13"/>
    <w:rsid w:val="2120725A"/>
    <w:rsid w:val="21280F73"/>
    <w:rsid w:val="214B3D43"/>
    <w:rsid w:val="21765B6B"/>
    <w:rsid w:val="219A1A8D"/>
    <w:rsid w:val="21BF6A73"/>
    <w:rsid w:val="225278E7"/>
    <w:rsid w:val="22D432BB"/>
    <w:rsid w:val="234068E6"/>
    <w:rsid w:val="235450A1"/>
    <w:rsid w:val="23AC3A47"/>
    <w:rsid w:val="23D06D16"/>
    <w:rsid w:val="23E90516"/>
    <w:rsid w:val="25483D56"/>
    <w:rsid w:val="25767BE7"/>
    <w:rsid w:val="2650413E"/>
    <w:rsid w:val="272C02DE"/>
    <w:rsid w:val="27337CE7"/>
    <w:rsid w:val="2742390B"/>
    <w:rsid w:val="274C6765"/>
    <w:rsid w:val="27973708"/>
    <w:rsid w:val="28BE7A85"/>
    <w:rsid w:val="28FE2912"/>
    <w:rsid w:val="2919115F"/>
    <w:rsid w:val="29195E44"/>
    <w:rsid w:val="291E22D1"/>
    <w:rsid w:val="292E4AF6"/>
    <w:rsid w:val="29583A35"/>
    <w:rsid w:val="29DB63AD"/>
    <w:rsid w:val="2A781EB5"/>
    <w:rsid w:val="2A823FD9"/>
    <w:rsid w:val="2B1A4D1A"/>
    <w:rsid w:val="2BF501D3"/>
    <w:rsid w:val="2C104283"/>
    <w:rsid w:val="2CB35427"/>
    <w:rsid w:val="2D771923"/>
    <w:rsid w:val="2DB61B05"/>
    <w:rsid w:val="2DFF0D2F"/>
    <w:rsid w:val="2E0259B2"/>
    <w:rsid w:val="2E2468FB"/>
    <w:rsid w:val="2F050F10"/>
    <w:rsid w:val="2F6E6577"/>
    <w:rsid w:val="306B373B"/>
    <w:rsid w:val="317168E6"/>
    <w:rsid w:val="31A35A6A"/>
    <w:rsid w:val="32495726"/>
    <w:rsid w:val="32BB6DE3"/>
    <w:rsid w:val="32E04BAD"/>
    <w:rsid w:val="32EC3855"/>
    <w:rsid w:val="33123327"/>
    <w:rsid w:val="3356004A"/>
    <w:rsid w:val="35310F42"/>
    <w:rsid w:val="36A007CA"/>
    <w:rsid w:val="373650A3"/>
    <w:rsid w:val="37935A29"/>
    <w:rsid w:val="37CEF541"/>
    <w:rsid w:val="384E4371"/>
    <w:rsid w:val="397603EF"/>
    <w:rsid w:val="3A89130C"/>
    <w:rsid w:val="3B051745"/>
    <w:rsid w:val="3BA40822"/>
    <w:rsid w:val="3BDF3E43"/>
    <w:rsid w:val="3CCC5360"/>
    <w:rsid w:val="3CD05C9C"/>
    <w:rsid w:val="3D0E59F4"/>
    <w:rsid w:val="3D1038D2"/>
    <w:rsid w:val="3D1D3147"/>
    <w:rsid w:val="3D3077AE"/>
    <w:rsid w:val="3E6B790F"/>
    <w:rsid w:val="3ECC0288"/>
    <w:rsid w:val="3EE945C3"/>
    <w:rsid w:val="3F1B484E"/>
    <w:rsid w:val="3F84512C"/>
    <w:rsid w:val="3F91348E"/>
    <w:rsid w:val="3FB53538"/>
    <w:rsid w:val="3FB74576"/>
    <w:rsid w:val="40B01F51"/>
    <w:rsid w:val="40D043A1"/>
    <w:rsid w:val="41526B64"/>
    <w:rsid w:val="41A73277"/>
    <w:rsid w:val="429921E5"/>
    <w:rsid w:val="43596017"/>
    <w:rsid w:val="436C4625"/>
    <w:rsid w:val="43AF131A"/>
    <w:rsid w:val="43C43757"/>
    <w:rsid w:val="43D905C1"/>
    <w:rsid w:val="442A0DE4"/>
    <w:rsid w:val="444529B0"/>
    <w:rsid w:val="4448414C"/>
    <w:rsid w:val="458D0DCC"/>
    <w:rsid w:val="46363996"/>
    <w:rsid w:val="468F5FBB"/>
    <w:rsid w:val="46B11CD5"/>
    <w:rsid w:val="473A32BD"/>
    <w:rsid w:val="47676721"/>
    <w:rsid w:val="479250C5"/>
    <w:rsid w:val="489A7BB9"/>
    <w:rsid w:val="48DF33D4"/>
    <w:rsid w:val="4940652C"/>
    <w:rsid w:val="49FD62F4"/>
    <w:rsid w:val="49FE5ADB"/>
    <w:rsid w:val="4A4901A1"/>
    <w:rsid w:val="4ABF34BD"/>
    <w:rsid w:val="4AC42BAD"/>
    <w:rsid w:val="4B3228E1"/>
    <w:rsid w:val="4B3C4523"/>
    <w:rsid w:val="4BF5409E"/>
    <w:rsid w:val="4C776080"/>
    <w:rsid w:val="4D9026F3"/>
    <w:rsid w:val="4DB400C6"/>
    <w:rsid w:val="50370124"/>
    <w:rsid w:val="50B91379"/>
    <w:rsid w:val="513146D2"/>
    <w:rsid w:val="51CB278C"/>
    <w:rsid w:val="52D26F8F"/>
    <w:rsid w:val="52D363EF"/>
    <w:rsid w:val="5303146F"/>
    <w:rsid w:val="53D967E6"/>
    <w:rsid w:val="542142C4"/>
    <w:rsid w:val="552B12DA"/>
    <w:rsid w:val="560756A7"/>
    <w:rsid w:val="56355AA5"/>
    <w:rsid w:val="570566FB"/>
    <w:rsid w:val="57346FE0"/>
    <w:rsid w:val="57540D6D"/>
    <w:rsid w:val="57671E3D"/>
    <w:rsid w:val="58587FF6"/>
    <w:rsid w:val="58ED7447"/>
    <w:rsid w:val="597C3122"/>
    <w:rsid w:val="5A0A7383"/>
    <w:rsid w:val="5B4C53E7"/>
    <w:rsid w:val="5B5845E1"/>
    <w:rsid w:val="5B822296"/>
    <w:rsid w:val="5B977B3E"/>
    <w:rsid w:val="5BCA1CC1"/>
    <w:rsid w:val="5BF22FC6"/>
    <w:rsid w:val="5C0F1DCA"/>
    <w:rsid w:val="5C2B1D02"/>
    <w:rsid w:val="5C763BF7"/>
    <w:rsid w:val="5D9E51B4"/>
    <w:rsid w:val="5DEE0667"/>
    <w:rsid w:val="5E3D49CC"/>
    <w:rsid w:val="5EBB4421"/>
    <w:rsid w:val="5F0E41EB"/>
    <w:rsid w:val="5F131BD1"/>
    <w:rsid w:val="5F4B654F"/>
    <w:rsid w:val="5F9B15FF"/>
    <w:rsid w:val="61651BD7"/>
    <w:rsid w:val="61C852FC"/>
    <w:rsid w:val="62114732"/>
    <w:rsid w:val="629E5C56"/>
    <w:rsid w:val="62BD432E"/>
    <w:rsid w:val="63D74F7B"/>
    <w:rsid w:val="63DD0986"/>
    <w:rsid w:val="64674CDD"/>
    <w:rsid w:val="663C619E"/>
    <w:rsid w:val="66952ECC"/>
    <w:rsid w:val="66DB6487"/>
    <w:rsid w:val="67CA02B3"/>
    <w:rsid w:val="68F148CF"/>
    <w:rsid w:val="6980418F"/>
    <w:rsid w:val="6BFF386A"/>
    <w:rsid w:val="6C3C0A2B"/>
    <w:rsid w:val="6C3E4B88"/>
    <w:rsid w:val="6C7F671F"/>
    <w:rsid w:val="6DFB41A1"/>
    <w:rsid w:val="6EB86A08"/>
    <w:rsid w:val="6F6C3363"/>
    <w:rsid w:val="6F751AEC"/>
    <w:rsid w:val="6F881134"/>
    <w:rsid w:val="6FF7F22F"/>
    <w:rsid w:val="70D50A4A"/>
    <w:rsid w:val="715A0BA9"/>
    <w:rsid w:val="721A5884"/>
    <w:rsid w:val="73133AF6"/>
    <w:rsid w:val="732552F2"/>
    <w:rsid w:val="732D6D83"/>
    <w:rsid w:val="733A10F5"/>
    <w:rsid w:val="737459CE"/>
    <w:rsid w:val="737A3B75"/>
    <w:rsid w:val="73E97B4F"/>
    <w:rsid w:val="74382F77"/>
    <w:rsid w:val="75024465"/>
    <w:rsid w:val="750A59E6"/>
    <w:rsid w:val="7537051E"/>
    <w:rsid w:val="757765BE"/>
    <w:rsid w:val="758A33F4"/>
    <w:rsid w:val="75992388"/>
    <w:rsid w:val="75F220E9"/>
    <w:rsid w:val="770245AD"/>
    <w:rsid w:val="776E4DD9"/>
    <w:rsid w:val="77CF6959"/>
    <w:rsid w:val="780D7684"/>
    <w:rsid w:val="78686A3E"/>
    <w:rsid w:val="78C2508B"/>
    <w:rsid w:val="78EF6DFA"/>
    <w:rsid w:val="794E1462"/>
    <w:rsid w:val="797F4D5B"/>
    <w:rsid w:val="79FF577F"/>
    <w:rsid w:val="7A3B6018"/>
    <w:rsid w:val="7A914D1A"/>
    <w:rsid w:val="7AFA3CD4"/>
    <w:rsid w:val="7B2617EF"/>
    <w:rsid w:val="7B5A6766"/>
    <w:rsid w:val="7BDE78C7"/>
    <w:rsid w:val="7CED53B8"/>
    <w:rsid w:val="7D655C52"/>
    <w:rsid w:val="7D891B0D"/>
    <w:rsid w:val="7E7B38B3"/>
    <w:rsid w:val="7E9E0466"/>
    <w:rsid w:val="7F53F28E"/>
    <w:rsid w:val="7FA526B6"/>
    <w:rsid w:val="7FDA26A1"/>
    <w:rsid w:val="977BA572"/>
    <w:rsid w:val="9E6BFBEA"/>
    <w:rsid w:val="B95D66E1"/>
    <w:rsid w:val="DFCEB0AA"/>
    <w:rsid w:val="F64C06D4"/>
    <w:rsid w:val="FE8F890A"/>
    <w:rsid w:val="FFEF5E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spacing w:before="340" w:after="330" w:line="578" w:lineRule="auto"/>
      <w:outlineLvl w:val="0"/>
    </w:pPr>
    <w:rPr>
      <w:b/>
      <w:bCs/>
      <w:kern w:val="44"/>
      <w:sz w:val="44"/>
      <w:szCs w:val="44"/>
    </w:rPr>
  </w:style>
  <w:style w:type="paragraph" w:styleId="7">
    <w:name w:val="heading 2"/>
    <w:basedOn w:val="1"/>
    <w:next w:val="1"/>
    <w:qFormat/>
    <w:uiPriority w:val="9"/>
    <w:pPr>
      <w:keepNext/>
      <w:keepLines/>
      <w:spacing w:before="260" w:after="260" w:line="415" w:lineRule="auto"/>
      <w:outlineLvl w:val="1"/>
    </w:pPr>
    <w:rPr>
      <w:rFonts w:ascii="Arial" w:hAnsi="Arial" w:eastAsia="黑体"/>
      <w:b/>
      <w:bCs/>
      <w:sz w:val="32"/>
      <w:szCs w:val="32"/>
    </w:rPr>
  </w:style>
  <w:style w:type="paragraph" w:styleId="8">
    <w:name w:val="heading 9"/>
    <w:basedOn w:val="1"/>
    <w:next w:val="1"/>
    <w:qFormat/>
    <w:uiPriority w:val="0"/>
    <w:pPr>
      <w:keepNext/>
      <w:keepLines/>
      <w:spacing w:before="240" w:after="64" w:line="317" w:lineRule="auto"/>
      <w:outlineLvl w:val="8"/>
    </w:pPr>
    <w:rPr>
      <w:rFonts w:ascii="Cambria" w:hAnsi="Cambria"/>
      <w:szCs w:val="21"/>
    </w:rPr>
  </w:style>
  <w:style w:type="character" w:default="1" w:styleId="22">
    <w:name w:val="Default Paragraph Font"/>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rPr>
      <w:rFonts w:hint="eastAsia"/>
      <w:sz w:val="124"/>
      <w:szCs w:val="24"/>
    </w:rPr>
  </w:style>
  <w:style w:type="paragraph" w:styleId="3">
    <w:name w:val="Body Text"/>
    <w:basedOn w:val="1"/>
    <w:next w:val="4"/>
    <w:qFormat/>
    <w:uiPriority w:val="1"/>
    <w:pPr>
      <w:adjustRightInd w:val="0"/>
      <w:spacing w:after="60" w:line="360" w:lineRule="atLeast"/>
      <w:ind w:left="72" w:leftChars="30" w:right="30" w:rightChars="30"/>
      <w:jc w:val="center"/>
      <w:textAlignment w:val="baseline"/>
    </w:pPr>
    <w:rPr>
      <w:szCs w:val="22"/>
    </w:rPr>
  </w:style>
  <w:style w:type="paragraph" w:customStyle="1" w:styleId="4">
    <w:name w:val="style4"/>
    <w:basedOn w:val="1"/>
    <w:next w:val="5"/>
    <w:qFormat/>
    <w:uiPriority w:val="99"/>
    <w:pPr>
      <w:widowControl/>
      <w:spacing w:before="280" w:after="280"/>
    </w:pPr>
    <w:rPr>
      <w:rFonts w:ascii="宋体"/>
      <w:sz w:val="18"/>
    </w:rPr>
  </w:style>
  <w:style w:type="paragraph" w:customStyle="1" w:styleId="5">
    <w:name w:val="2"/>
    <w:next w:val="1"/>
    <w:qFormat/>
    <w:uiPriority w:val="99"/>
    <w:pPr>
      <w:widowControl w:val="0"/>
      <w:jc w:val="both"/>
    </w:pPr>
    <w:rPr>
      <w:rFonts w:ascii="Times New Roman" w:hAnsi="Times New Roman" w:eastAsia="宋体" w:cs="Times New Roman"/>
      <w:sz w:val="21"/>
      <w:szCs w:val="22"/>
      <w:lang w:val="en-US" w:eastAsia="zh-CN" w:bidi="ar-SA"/>
    </w:rPr>
  </w:style>
  <w:style w:type="paragraph" w:styleId="9">
    <w:name w:val="Normal Indent"/>
    <w:basedOn w:val="1"/>
    <w:qFormat/>
    <w:uiPriority w:val="0"/>
    <w:pPr>
      <w:adjustRightInd w:val="0"/>
      <w:spacing w:line="360" w:lineRule="atLeast"/>
      <w:ind w:firstLine="482"/>
      <w:textAlignment w:val="baseline"/>
    </w:pPr>
    <w:rPr>
      <w:rFonts w:asciiTheme="minorHAnsi" w:hAnsiTheme="minorHAnsi" w:cstheme="minorBidi"/>
      <w:sz w:val="24"/>
    </w:rPr>
  </w:style>
  <w:style w:type="paragraph" w:styleId="10">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1">
    <w:name w:val="annotation text"/>
    <w:basedOn w:val="1"/>
    <w:link w:val="28"/>
    <w:qFormat/>
    <w:uiPriority w:val="0"/>
    <w:pPr>
      <w:jc w:val="left"/>
    </w:pPr>
  </w:style>
  <w:style w:type="paragraph" w:styleId="12">
    <w:name w:val="Body Text Indent"/>
    <w:basedOn w:val="1"/>
    <w:next w:val="13"/>
    <w:qFormat/>
    <w:uiPriority w:val="0"/>
    <w:pPr>
      <w:spacing w:before="240" w:line="360" w:lineRule="auto"/>
      <w:ind w:firstLine="552" w:firstLineChars="263"/>
    </w:pPr>
    <w:rPr>
      <w:rFonts w:ascii="宋体" w:hAnsi="宋体"/>
      <w:szCs w:val="20"/>
    </w:rPr>
  </w:style>
  <w:style w:type="paragraph" w:styleId="13">
    <w:name w:val="envelope return"/>
    <w:basedOn w:val="1"/>
    <w:qFormat/>
    <w:uiPriority w:val="0"/>
    <w:pPr>
      <w:snapToGrid w:val="0"/>
    </w:pPr>
    <w:rPr>
      <w:rFonts w:ascii="Arial" w:hAnsi="Arial"/>
    </w:rPr>
  </w:style>
  <w:style w:type="paragraph" w:styleId="14">
    <w:name w:val="Block Text"/>
    <w:basedOn w:val="1"/>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15">
    <w:name w:val="Date"/>
    <w:basedOn w:val="1"/>
    <w:next w:val="1"/>
    <w:qFormat/>
    <w:uiPriority w:val="0"/>
    <w:pPr>
      <w:ind w:left="100" w:leftChars="2500"/>
    </w:pPr>
    <w:rPr>
      <w:rFonts w:asciiTheme="minorHAnsi" w:hAnsiTheme="minorHAnsi" w:eastAsiaTheme="minorEastAsia" w:cstheme="minorBidi"/>
    </w:rPr>
  </w:style>
  <w:style w:type="paragraph" w:styleId="16">
    <w:name w:val="Balloon Text"/>
    <w:basedOn w:val="1"/>
    <w:link w:val="30"/>
    <w:qFormat/>
    <w:uiPriority w:val="0"/>
    <w:rPr>
      <w:sz w:val="18"/>
      <w:szCs w:val="18"/>
    </w:rPr>
  </w:style>
  <w:style w:type="paragraph" w:styleId="17">
    <w:name w:val="footer"/>
    <w:basedOn w:val="1"/>
    <w:unhideWhenUsed/>
    <w:qFormat/>
    <w:uiPriority w:val="99"/>
    <w:pPr>
      <w:tabs>
        <w:tab w:val="center" w:pos="4153"/>
        <w:tab w:val="right" w:pos="8306"/>
      </w:tabs>
      <w:snapToGrid w:val="0"/>
      <w:jc w:val="left"/>
    </w:pPr>
    <w:rPr>
      <w:sz w:val="18"/>
      <w:szCs w:val="18"/>
    </w:rPr>
  </w:style>
  <w:style w:type="paragraph" w:styleId="1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9">
    <w:name w:val="annotation subject"/>
    <w:basedOn w:val="11"/>
    <w:next w:val="11"/>
    <w:link w:val="29"/>
    <w:qFormat/>
    <w:uiPriority w:val="0"/>
    <w:rPr>
      <w:b/>
      <w:bCs/>
    </w:rPr>
  </w:style>
  <w:style w:type="paragraph" w:styleId="20">
    <w:name w:val="Body Text First Indent 2"/>
    <w:basedOn w:val="12"/>
    <w:next w:val="1"/>
    <w:unhideWhenUsed/>
    <w:qFormat/>
    <w:uiPriority w:val="99"/>
    <w:pPr>
      <w:spacing w:before="0" w:after="120" w:line="240" w:lineRule="auto"/>
      <w:ind w:left="420" w:leftChars="200" w:firstLine="420" w:firstLineChars="200"/>
    </w:pPr>
    <w:rPr>
      <w:rFonts w:eastAsia="仿宋_GB2312"/>
      <w:szCs w:val="24"/>
    </w:rPr>
  </w:style>
  <w:style w:type="character" w:styleId="23">
    <w:name w:val="page number"/>
    <w:basedOn w:val="22"/>
    <w:qFormat/>
    <w:uiPriority w:val="0"/>
  </w:style>
  <w:style w:type="character" w:styleId="24">
    <w:name w:val="annotation reference"/>
    <w:basedOn w:val="22"/>
    <w:qFormat/>
    <w:uiPriority w:val="0"/>
    <w:rPr>
      <w:sz w:val="21"/>
      <w:szCs w:val="21"/>
    </w:rPr>
  </w:style>
  <w:style w:type="paragraph" w:customStyle="1" w:styleId="25">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flType"/>
    <w:basedOn w:val="1"/>
    <w:qFormat/>
    <w:uiPriority w:val="0"/>
    <w:pPr>
      <w:adjustRightInd w:val="0"/>
      <w:spacing w:after="284" w:line="113" w:lineRule="atLeast"/>
      <w:jc w:val="center"/>
    </w:pPr>
    <w:rPr>
      <w:kern w:val="0"/>
      <w:sz w:val="24"/>
      <w:szCs w:val="20"/>
    </w:rPr>
  </w:style>
  <w:style w:type="paragraph" w:customStyle="1" w:styleId="27">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28">
    <w:name w:val="批注文字 字符"/>
    <w:basedOn w:val="22"/>
    <w:link w:val="11"/>
    <w:qFormat/>
    <w:uiPriority w:val="0"/>
    <w:rPr>
      <w:rFonts w:ascii="Times New Roman" w:hAnsi="Times New Roman" w:eastAsia="宋体" w:cs="Times New Roman"/>
      <w:kern w:val="2"/>
      <w:sz w:val="21"/>
      <w:szCs w:val="24"/>
    </w:rPr>
  </w:style>
  <w:style w:type="character" w:customStyle="1" w:styleId="29">
    <w:name w:val="批注主题 字符"/>
    <w:basedOn w:val="28"/>
    <w:link w:val="19"/>
    <w:qFormat/>
    <w:uiPriority w:val="0"/>
    <w:rPr>
      <w:rFonts w:ascii="Times New Roman" w:hAnsi="Times New Roman" w:eastAsia="宋体" w:cs="Times New Roman"/>
      <w:kern w:val="2"/>
      <w:sz w:val="21"/>
      <w:szCs w:val="24"/>
    </w:rPr>
  </w:style>
  <w:style w:type="character" w:customStyle="1" w:styleId="30">
    <w:name w:val="批注框文本 字符"/>
    <w:basedOn w:val="22"/>
    <w:link w:val="16"/>
    <w:qFormat/>
    <w:uiPriority w:val="0"/>
    <w:rPr>
      <w:rFonts w:ascii="Times New Roman" w:hAnsi="Times New Roman" w:eastAsia="宋体" w:cs="Times New Roman"/>
      <w:kern w:val="2"/>
      <w:sz w:val="18"/>
      <w:szCs w:val="18"/>
    </w:rPr>
  </w:style>
  <w:style w:type="paragraph" w:customStyle="1" w:styleId="31">
    <w:name w:val="sh4"/>
    <w:basedOn w:val="1"/>
    <w:qFormat/>
    <w:uiPriority w:val="0"/>
    <w:pPr>
      <w:spacing w:line="460" w:lineRule="exact"/>
      <w:ind w:firstLine="420" w:firstLineChars="200"/>
    </w:pPr>
    <w:rPr>
      <w:rFonts w:ascii="宋体" w:hAnsi="宋体"/>
      <w:kern w:val="0"/>
      <w:szCs w:val="21"/>
    </w:rPr>
  </w:style>
  <w:style w:type="character" w:customStyle="1" w:styleId="32">
    <w:name w:val="input1"/>
    <w:basedOn w:val="22"/>
    <w:qFormat/>
    <w:uiPriority w:val="0"/>
    <w:rPr>
      <w:color w:val="000000"/>
      <w:sz w:val="21"/>
      <w:szCs w:val="21"/>
      <w:bdr w:val="single" w:color="000000" w:sz="2" w:space="0"/>
      <w:shd w:val="clear" w:color="auto" w:fill="F7F2B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ontrol" Target="activeX/activeX2.xml"/><Relationship Id="rId7" Type="http://schemas.openxmlformats.org/officeDocument/2006/relationships/image" Target="media/image1.wmf"/><Relationship Id="rId6" Type="http://schemas.openxmlformats.org/officeDocument/2006/relationships/control" Target="activeX/activeX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A-5CC6-11CF-8D67-00AA00BDCE1D}" r:id="rId1" ax:persistence="persistStorage"/>
</file>

<file path=word/activeX/activeX2.xml><?xml version="1.0" encoding="utf-8"?>
<ax:ocx xmlns:ax="http://schemas.microsoft.com/office/2006/activeX" xmlns:r="http://schemas.openxmlformats.org/officeDocument/2006/relationships" ax:classid="{5512D11A-5CC6-11CF-8D67-00AA00BDCE1D}" r:id="rId1" ax:persistence="persistStorag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33562</Words>
  <Characters>34959</Characters>
  <Lines>264</Lines>
  <Paragraphs>74</Paragraphs>
  <TotalTime>8</TotalTime>
  <ScaleCrop>false</ScaleCrop>
  <LinksUpToDate>false</LinksUpToDate>
  <CharactersWithSpaces>36944</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2024-04-11T08:50:00Z</dcterms:created>
  <dc:creator>梧桐那么伤</dc:creator>
  <cp:lastModifiedBy>蛋壳里De小妖怪。</cp:lastModifiedBy>
  <cp:lastPrinted>2024-04-27T08:55:00Z</cp:lastPrinted>
  <dcterms:modified xsi:type="dcterms:W3CDTF">2025-04-22T07:21:15Z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19CD7CCEBD6F49989BC008204E249846_13</vt:lpwstr>
  </property>
  <property fmtid="{D5CDD505-2E9C-101B-9397-08002B2CF9AE}" pid="4" name="KSOTemplateDocerSaveRecord">
    <vt:lpwstr>eyJoZGlkIjoiYjY4YTJiNDg5NmM4ZTFiZWExMGI0OGJlN2ZiODQ5ZDUiLCJ1c2VySWQiOiIxNDY1MzkzODk3In0=</vt:lpwstr>
  </property>
</Properties>
</file>