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AF87E">
      <w:pPr>
        <w:jc w:val="center"/>
        <w:rPr>
          <w:rFonts w:ascii="宋体" w:hAnsi="宋体" w:cs="宋体"/>
          <w:bCs/>
          <w:sz w:val="48"/>
          <w:szCs w:val="48"/>
        </w:rPr>
      </w:pPr>
    </w:p>
    <w:p w14:paraId="5004A68D">
      <w:pPr>
        <w:spacing w:after="156" w:afterLines="50"/>
        <w:jc w:val="center"/>
        <w:rPr>
          <w:rFonts w:ascii="宋体" w:hAnsi="宋体" w:cs="宋体"/>
          <w:bCs/>
          <w:sz w:val="52"/>
          <w:szCs w:val="52"/>
        </w:rPr>
      </w:pPr>
      <w:r>
        <w:rPr>
          <w:rFonts w:hint="eastAsia" w:ascii="宋体" w:hAnsi="宋体" w:cs="宋体"/>
          <w:bCs/>
          <w:sz w:val="52"/>
          <w:szCs w:val="52"/>
        </w:rPr>
        <w:t>南通兴环环境卫生服务有限公司</w:t>
      </w:r>
    </w:p>
    <w:p w14:paraId="77DCE474">
      <w:pPr>
        <w:spacing w:line="600" w:lineRule="exact"/>
        <w:jc w:val="center"/>
        <w:rPr>
          <w:rFonts w:hint="eastAsia" w:ascii="宋体" w:hAnsi="宋体" w:eastAsia="宋体" w:cs="宋体"/>
          <w:bCs/>
          <w:sz w:val="52"/>
          <w:szCs w:val="52"/>
          <w:lang w:eastAsia="zh-CN"/>
        </w:rPr>
      </w:pPr>
      <w:r>
        <w:rPr>
          <w:rFonts w:hint="eastAsia" w:ascii="宋体" w:hAnsi="宋体" w:cs="宋体"/>
          <w:kern w:val="1"/>
          <w:sz w:val="52"/>
          <w:szCs w:val="52"/>
        </w:rPr>
        <w:t>燃料调配项目</w:t>
      </w:r>
      <w:r>
        <w:rPr>
          <w:rFonts w:hint="eastAsia" w:ascii="宋体" w:hAnsi="宋体" w:cs="宋体"/>
          <w:kern w:val="1"/>
          <w:sz w:val="52"/>
          <w:szCs w:val="52"/>
          <w:lang w:eastAsia="zh-CN"/>
        </w:rPr>
        <w:t>（</w:t>
      </w:r>
      <w:r>
        <w:rPr>
          <w:rFonts w:hint="eastAsia" w:ascii="宋体" w:hAnsi="宋体" w:cs="宋体"/>
          <w:kern w:val="1"/>
          <w:sz w:val="52"/>
          <w:szCs w:val="52"/>
          <w:lang w:val="en-US" w:eastAsia="zh-CN"/>
        </w:rPr>
        <w:t>二次</w:t>
      </w:r>
      <w:r>
        <w:rPr>
          <w:rFonts w:hint="eastAsia" w:ascii="宋体" w:hAnsi="宋体" w:cs="宋体"/>
          <w:kern w:val="1"/>
          <w:sz w:val="52"/>
          <w:szCs w:val="52"/>
          <w:lang w:eastAsia="zh-CN"/>
        </w:rPr>
        <w:t>）</w:t>
      </w:r>
    </w:p>
    <w:p w14:paraId="30118256">
      <w:pPr>
        <w:pStyle w:val="68"/>
        <w:rPr>
          <w:rFonts w:ascii="宋体" w:hAnsi="宋体" w:cs="宋体"/>
          <w:bCs/>
          <w:sz w:val="48"/>
          <w:szCs w:val="48"/>
        </w:rPr>
      </w:pPr>
    </w:p>
    <w:p w14:paraId="2BAB26C7">
      <w:pPr>
        <w:jc w:val="center"/>
        <w:rPr>
          <w:rFonts w:ascii="宋体" w:hAnsi="宋体" w:cs="宋体"/>
          <w:bCs/>
          <w:sz w:val="100"/>
          <w:szCs w:val="100"/>
        </w:rPr>
      </w:pPr>
      <w:r>
        <w:rPr>
          <w:rFonts w:hint="eastAsia" w:ascii="宋体" w:hAnsi="宋体" w:cs="宋体"/>
          <w:bCs/>
          <w:sz w:val="100"/>
          <w:szCs w:val="100"/>
        </w:rPr>
        <w:t>招标文件</w:t>
      </w:r>
    </w:p>
    <w:p w14:paraId="14610A30">
      <w:pPr>
        <w:pStyle w:val="8"/>
        <w:spacing w:line="500" w:lineRule="exact"/>
        <w:rPr>
          <w:rFonts w:ascii="宋体" w:hAnsi="宋体" w:cs="宋体"/>
          <w:b w:val="0"/>
          <w:bCs/>
        </w:rPr>
      </w:pPr>
    </w:p>
    <w:p w14:paraId="7D48012E">
      <w:pPr>
        <w:pStyle w:val="8"/>
        <w:spacing w:line="500" w:lineRule="exact"/>
        <w:rPr>
          <w:rFonts w:ascii="宋体" w:hAnsi="宋体" w:cs="宋体"/>
          <w:bCs/>
          <w:sz w:val="36"/>
          <w:szCs w:val="36"/>
        </w:rPr>
      </w:pPr>
      <w:r>
        <w:rPr>
          <w:rFonts w:hint="eastAsia" w:ascii="宋体" w:hAnsi="宋体" w:cs="宋体"/>
          <w:bCs/>
          <w:sz w:val="36"/>
          <w:szCs w:val="36"/>
        </w:rPr>
        <w:t>项目编号：NTYT2025026</w:t>
      </w:r>
    </w:p>
    <w:p w14:paraId="0F342666">
      <w:pPr>
        <w:spacing w:line="500" w:lineRule="exact"/>
        <w:jc w:val="center"/>
        <w:rPr>
          <w:rFonts w:ascii="宋体" w:hAnsi="宋体" w:cs="宋体"/>
          <w:b/>
          <w:sz w:val="36"/>
        </w:rPr>
      </w:pPr>
    </w:p>
    <w:p w14:paraId="7F4063CB">
      <w:pPr>
        <w:spacing w:line="500" w:lineRule="exact"/>
        <w:jc w:val="center"/>
        <w:rPr>
          <w:rFonts w:ascii="宋体" w:hAnsi="宋体" w:cs="宋体"/>
          <w:b/>
          <w:sz w:val="36"/>
        </w:rPr>
      </w:pPr>
    </w:p>
    <w:p w14:paraId="2C7F1FF1">
      <w:pPr>
        <w:spacing w:line="500" w:lineRule="exact"/>
        <w:jc w:val="center"/>
        <w:rPr>
          <w:rFonts w:ascii="宋体" w:hAnsi="宋体" w:cs="宋体"/>
          <w:b/>
          <w:sz w:val="36"/>
        </w:rPr>
      </w:pPr>
    </w:p>
    <w:p w14:paraId="69B7A253">
      <w:pPr>
        <w:rPr>
          <w:rFonts w:ascii="宋体" w:hAnsi="宋体" w:cs="宋体"/>
          <w:sz w:val="32"/>
        </w:rPr>
      </w:pPr>
    </w:p>
    <w:p w14:paraId="71C59B16">
      <w:pPr>
        <w:pStyle w:val="17"/>
      </w:pPr>
    </w:p>
    <w:p w14:paraId="7BAADE65">
      <w:pPr>
        <w:pStyle w:val="20"/>
        <w:rPr>
          <w:rFonts w:cs="宋体"/>
          <w:color w:val="auto"/>
        </w:rPr>
      </w:pPr>
    </w:p>
    <w:p w14:paraId="7D6A0839">
      <w:pPr>
        <w:pStyle w:val="95"/>
        <w:rPr>
          <w:rFonts w:ascii="宋体" w:hAnsi="宋体" w:eastAsia="宋体" w:cs="宋体"/>
          <w:sz w:val="32"/>
        </w:rPr>
      </w:pPr>
    </w:p>
    <w:p w14:paraId="023830B5">
      <w:pPr>
        <w:spacing w:line="500" w:lineRule="exact"/>
        <w:rPr>
          <w:rFonts w:ascii="宋体" w:hAnsi="宋体" w:cs="宋体"/>
          <w:sz w:val="32"/>
        </w:rPr>
      </w:pPr>
    </w:p>
    <w:p w14:paraId="5D5356BB">
      <w:pPr>
        <w:spacing w:line="500" w:lineRule="exact"/>
        <w:jc w:val="center"/>
        <w:rPr>
          <w:rFonts w:ascii="宋体" w:hAnsi="宋体" w:cs="宋体"/>
          <w:sz w:val="32"/>
        </w:rPr>
      </w:pPr>
    </w:p>
    <w:p w14:paraId="7B4CD709">
      <w:pPr>
        <w:spacing w:line="500" w:lineRule="exact"/>
        <w:rPr>
          <w:rFonts w:ascii="宋体" w:hAnsi="宋体" w:cs="宋体"/>
          <w:sz w:val="32"/>
        </w:rPr>
      </w:pPr>
    </w:p>
    <w:p w14:paraId="105DD5A6">
      <w:pPr>
        <w:adjustRightInd w:val="0"/>
        <w:spacing w:before="120" w:after="120" w:line="500" w:lineRule="exact"/>
        <w:ind w:left="-2" w:right="120"/>
        <w:jc w:val="center"/>
        <w:textAlignment w:val="baseline"/>
        <w:rPr>
          <w:rFonts w:ascii="宋体" w:hAnsi="宋体" w:cs="宋体"/>
          <w:b/>
          <w:spacing w:val="20"/>
          <w:sz w:val="40"/>
          <w:szCs w:val="40"/>
        </w:rPr>
      </w:pPr>
    </w:p>
    <w:p w14:paraId="4210EB0F">
      <w:pPr>
        <w:adjustRightInd w:val="0"/>
        <w:spacing w:before="120" w:after="120" w:line="500" w:lineRule="exact"/>
        <w:ind w:right="120"/>
        <w:jc w:val="center"/>
        <w:textAlignment w:val="baseline"/>
        <w:rPr>
          <w:rFonts w:ascii="宋体" w:hAnsi="宋体" w:cs="宋体"/>
          <w:b/>
          <w:spacing w:val="20"/>
          <w:sz w:val="40"/>
          <w:szCs w:val="40"/>
        </w:rPr>
      </w:pPr>
      <w:r>
        <w:rPr>
          <w:rFonts w:hint="eastAsia" w:ascii="宋体" w:hAnsi="宋体" w:cs="宋体"/>
          <w:b/>
          <w:spacing w:val="20"/>
          <w:sz w:val="40"/>
          <w:szCs w:val="40"/>
        </w:rPr>
        <w:t>南通好通能源有限公司</w:t>
      </w:r>
    </w:p>
    <w:p w14:paraId="2313C6A0">
      <w:pPr>
        <w:adjustRightInd w:val="0"/>
        <w:spacing w:before="120" w:after="120" w:line="500" w:lineRule="exact"/>
        <w:ind w:right="120"/>
        <w:jc w:val="center"/>
        <w:textAlignment w:val="baseline"/>
      </w:pPr>
      <w:r>
        <w:rPr>
          <w:rFonts w:hint="eastAsia" w:ascii="宋体" w:hAnsi="宋体" w:cs="宋体"/>
          <w:b/>
          <w:spacing w:val="20"/>
          <w:sz w:val="40"/>
          <w:szCs w:val="40"/>
        </w:rPr>
        <w:t>南通兴环环境卫生服务有限公司</w:t>
      </w:r>
    </w:p>
    <w:p w14:paraId="06AC1451">
      <w:pPr>
        <w:adjustRightInd w:val="0"/>
        <w:spacing w:before="120" w:after="120" w:line="500" w:lineRule="exact"/>
        <w:ind w:right="120"/>
        <w:jc w:val="center"/>
        <w:textAlignment w:val="baseline"/>
        <w:rPr>
          <w:rFonts w:ascii="宋体" w:hAnsi="宋体" w:cs="宋体"/>
          <w:b/>
          <w:bCs/>
          <w:sz w:val="44"/>
          <w:szCs w:val="44"/>
        </w:rPr>
      </w:pPr>
      <w:r>
        <w:rPr>
          <w:rFonts w:hint="eastAsia" w:ascii="宋体" w:hAnsi="宋体" w:cs="宋体"/>
          <w:b/>
          <w:bCs/>
          <w:sz w:val="32"/>
        </w:rPr>
        <w:t>2026年</w:t>
      </w:r>
      <w:r>
        <w:rPr>
          <w:rFonts w:ascii="宋体" w:hAnsi="宋体" w:cs="宋体"/>
          <w:b/>
          <w:bCs/>
          <w:sz w:val="32"/>
        </w:rPr>
        <w:t>3</w:t>
      </w:r>
      <w:r>
        <w:rPr>
          <w:rFonts w:hint="eastAsia" w:ascii="宋体" w:hAnsi="宋体" w:cs="宋体"/>
          <w:b/>
          <w:bCs/>
          <w:sz w:val="32"/>
        </w:rPr>
        <w:t>月</w:t>
      </w:r>
    </w:p>
    <w:p w14:paraId="07C42BED">
      <w:pPr>
        <w:adjustRightInd w:val="0"/>
        <w:snapToGrid w:val="0"/>
        <w:ind w:left="-158" w:leftChars="-75"/>
        <w:jc w:val="center"/>
        <w:rPr>
          <w:rFonts w:ascii="宋体" w:hAnsi="宋体" w:cs="宋体"/>
          <w:b/>
          <w:bCs/>
          <w:sz w:val="32"/>
          <w:szCs w:val="32"/>
        </w:rPr>
      </w:pPr>
      <w:r>
        <w:rPr>
          <w:rFonts w:hint="eastAsia" w:ascii="宋体" w:hAnsi="宋体" w:cs="宋体"/>
          <w:b/>
          <w:bCs/>
          <w:sz w:val="44"/>
          <w:szCs w:val="44"/>
        </w:rPr>
        <w:br w:type="page"/>
      </w:r>
      <w:r>
        <w:rPr>
          <w:rFonts w:hint="eastAsia" w:ascii="宋体" w:hAnsi="宋体" w:cs="宋体"/>
          <w:b/>
          <w:bCs/>
          <w:sz w:val="44"/>
          <w:szCs w:val="44"/>
        </w:rPr>
        <w:t>目 录</w:t>
      </w:r>
    </w:p>
    <w:p w14:paraId="52B339E8">
      <w:pPr>
        <w:tabs>
          <w:tab w:val="left" w:pos="7740"/>
        </w:tabs>
        <w:adjustRightInd w:val="0"/>
        <w:snapToGrid w:val="0"/>
        <w:spacing w:line="1000" w:lineRule="exact"/>
        <w:ind w:firstLine="640" w:firstLineChars="200"/>
        <w:rPr>
          <w:rFonts w:ascii="宋体" w:hAnsi="宋体" w:cs="宋体"/>
          <w:bCs/>
          <w:sz w:val="32"/>
          <w:szCs w:val="32"/>
        </w:rPr>
      </w:pPr>
    </w:p>
    <w:p w14:paraId="51741611">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61886230">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957FB38">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09D02331">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5D22C268">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第五部分  投标文件组成</w:t>
      </w:r>
    </w:p>
    <w:p w14:paraId="63502795">
      <w:pPr>
        <w:spacing w:line="500" w:lineRule="exact"/>
        <w:rPr>
          <w:rFonts w:ascii="宋体" w:hAnsi="宋体" w:cs="宋体"/>
          <w:b/>
          <w:sz w:val="32"/>
          <w:szCs w:val="32"/>
        </w:rPr>
      </w:pPr>
    </w:p>
    <w:p w14:paraId="46C5C688">
      <w:pPr>
        <w:tabs>
          <w:tab w:val="left" w:pos="7740"/>
        </w:tabs>
        <w:spacing w:line="500" w:lineRule="exact"/>
        <w:rPr>
          <w:rFonts w:ascii="宋体" w:hAnsi="宋体" w:cs="宋体"/>
          <w:b/>
          <w:spacing w:val="2"/>
          <w:sz w:val="32"/>
          <w:szCs w:val="32"/>
        </w:rPr>
      </w:pPr>
    </w:p>
    <w:p w14:paraId="4AA9A393">
      <w:pPr>
        <w:tabs>
          <w:tab w:val="left" w:pos="7740"/>
        </w:tabs>
        <w:spacing w:line="500" w:lineRule="exact"/>
        <w:rPr>
          <w:rFonts w:ascii="宋体" w:hAnsi="宋体" w:cs="宋体"/>
          <w:b/>
          <w:spacing w:val="2"/>
          <w:sz w:val="32"/>
          <w:szCs w:val="32"/>
        </w:rPr>
      </w:pPr>
    </w:p>
    <w:p w14:paraId="414DF8F5">
      <w:pPr>
        <w:tabs>
          <w:tab w:val="left" w:pos="7740"/>
        </w:tabs>
        <w:spacing w:line="500" w:lineRule="exact"/>
        <w:rPr>
          <w:rFonts w:ascii="宋体" w:hAnsi="宋体" w:cs="宋体"/>
          <w:b/>
          <w:bCs/>
          <w:sz w:val="32"/>
          <w:szCs w:val="32"/>
        </w:rPr>
      </w:pPr>
    </w:p>
    <w:p w14:paraId="13B93955">
      <w:pPr>
        <w:spacing w:line="500" w:lineRule="exact"/>
        <w:outlineLvl w:val="0"/>
        <w:rPr>
          <w:rFonts w:ascii="宋体" w:hAnsi="宋体" w:cs="宋体"/>
          <w:b/>
          <w:sz w:val="44"/>
          <w:szCs w:val="44"/>
        </w:rPr>
      </w:pPr>
    </w:p>
    <w:p w14:paraId="1C0340BA">
      <w:pPr>
        <w:spacing w:line="500" w:lineRule="exact"/>
        <w:outlineLvl w:val="0"/>
        <w:rPr>
          <w:rFonts w:ascii="宋体" w:hAnsi="宋体" w:cs="宋体"/>
          <w:sz w:val="44"/>
          <w:szCs w:val="44"/>
        </w:rPr>
      </w:pPr>
    </w:p>
    <w:p w14:paraId="617552C4">
      <w:pPr>
        <w:spacing w:line="500" w:lineRule="exact"/>
        <w:outlineLvl w:val="0"/>
        <w:rPr>
          <w:rFonts w:ascii="宋体" w:hAnsi="宋体" w:cs="宋体"/>
          <w:sz w:val="44"/>
          <w:szCs w:val="44"/>
        </w:rPr>
      </w:pPr>
    </w:p>
    <w:p w14:paraId="2C44A7D8">
      <w:pPr>
        <w:spacing w:line="500" w:lineRule="exact"/>
        <w:outlineLvl w:val="0"/>
        <w:rPr>
          <w:rFonts w:ascii="宋体" w:hAnsi="宋体" w:cs="宋体"/>
          <w:sz w:val="44"/>
          <w:szCs w:val="44"/>
        </w:rPr>
      </w:pPr>
    </w:p>
    <w:p w14:paraId="253A7AE1">
      <w:pPr>
        <w:spacing w:line="500" w:lineRule="exact"/>
        <w:outlineLvl w:val="0"/>
        <w:rPr>
          <w:rFonts w:ascii="宋体" w:hAnsi="宋体" w:cs="宋体"/>
          <w:sz w:val="44"/>
          <w:szCs w:val="44"/>
        </w:rPr>
      </w:pPr>
    </w:p>
    <w:p w14:paraId="1397209C">
      <w:pPr>
        <w:spacing w:line="500" w:lineRule="exact"/>
        <w:outlineLvl w:val="0"/>
        <w:rPr>
          <w:rFonts w:ascii="宋体" w:hAnsi="宋体" w:cs="宋体"/>
          <w:sz w:val="44"/>
          <w:szCs w:val="44"/>
        </w:rPr>
      </w:pPr>
    </w:p>
    <w:p w14:paraId="33469A65">
      <w:pPr>
        <w:adjustRightInd w:val="0"/>
        <w:snapToGrid w:val="0"/>
        <w:spacing w:line="500" w:lineRule="exact"/>
        <w:jc w:val="center"/>
        <w:outlineLvl w:val="0"/>
        <w:rPr>
          <w:rFonts w:ascii="宋体" w:hAnsi="宋体" w:cs="宋体"/>
          <w:b/>
          <w:sz w:val="32"/>
          <w:szCs w:val="32"/>
        </w:rPr>
      </w:pPr>
      <w:bookmarkStart w:id="0" w:name="OLE_LINK5"/>
      <w:bookmarkStart w:id="1" w:name="OLE_LINK7"/>
    </w:p>
    <w:p w14:paraId="6BC7DCA3">
      <w:pPr>
        <w:adjustRightInd w:val="0"/>
        <w:snapToGrid w:val="0"/>
        <w:spacing w:line="500" w:lineRule="exact"/>
        <w:jc w:val="center"/>
        <w:outlineLvl w:val="0"/>
        <w:rPr>
          <w:rFonts w:ascii="宋体" w:hAnsi="宋体" w:cs="宋体"/>
          <w:b/>
          <w:sz w:val="32"/>
          <w:szCs w:val="32"/>
        </w:rPr>
      </w:pPr>
    </w:p>
    <w:p w14:paraId="6B2D1193">
      <w:pPr>
        <w:adjustRightInd w:val="0"/>
        <w:snapToGrid w:val="0"/>
        <w:spacing w:line="500" w:lineRule="exact"/>
        <w:jc w:val="center"/>
        <w:outlineLvl w:val="0"/>
        <w:rPr>
          <w:rFonts w:ascii="宋体" w:hAnsi="宋体" w:cs="宋体"/>
          <w:b/>
          <w:sz w:val="32"/>
          <w:szCs w:val="32"/>
        </w:rPr>
      </w:pPr>
    </w:p>
    <w:p w14:paraId="6670222F">
      <w:pPr>
        <w:adjustRightInd w:val="0"/>
        <w:snapToGrid w:val="0"/>
        <w:spacing w:line="500" w:lineRule="exact"/>
        <w:jc w:val="center"/>
        <w:outlineLvl w:val="0"/>
        <w:rPr>
          <w:rFonts w:ascii="宋体" w:hAnsi="宋体" w:cs="宋体"/>
          <w:b/>
          <w:sz w:val="32"/>
          <w:szCs w:val="32"/>
        </w:rPr>
      </w:pPr>
    </w:p>
    <w:p w14:paraId="356DAE09">
      <w:pPr>
        <w:adjustRightInd w:val="0"/>
        <w:snapToGrid w:val="0"/>
        <w:spacing w:line="500" w:lineRule="exact"/>
        <w:jc w:val="center"/>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6"/>
          <w:szCs w:val="36"/>
        </w:rPr>
        <w:t>第一部分 投标邀请</w:t>
      </w:r>
    </w:p>
    <w:p w14:paraId="4E92CC7D">
      <w:pPr>
        <w:adjustRightInd w:val="0"/>
        <w:snapToGrid w:val="0"/>
        <w:spacing w:line="500" w:lineRule="exact"/>
        <w:jc w:val="center"/>
        <w:outlineLvl w:val="0"/>
        <w:rPr>
          <w:rFonts w:ascii="宋体" w:hAnsi="宋体" w:cs="宋体"/>
          <w:b/>
          <w:sz w:val="32"/>
          <w:szCs w:val="32"/>
        </w:rPr>
      </w:pPr>
    </w:p>
    <w:p w14:paraId="71DE10A7">
      <w:pPr>
        <w:pBdr>
          <w:top w:val="single" w:color="auto" w:sz="4" w:space="1"/>
          <w:left w:val="single" w:color="auto" w:sz="4" w:space="4"/>
          <w:bottom w:val="single" w:color="auto" w:sz="4" w:space="1"/>
          <w:right w:val="single" w:color="auto" w:sz="4" w:space="4"/>
        </w:pBdr>
        <w:adjustRightInd w:val="0"/>
        <w:snapToGrid w:val="0"/>
        <w:spacing w:line="460" w:lineRule="exact"/>
        <w:rPr>
          <w:rFonts w:ascii="宋体" w:hAnsi="宋体" w:cs="宋体"/>
          <w:sz w:val="24"/>
        </w:rPr>
      </w:pPr>
      <w:bookmarkStart w:id="2" w:name="OLE_LINK6"/>
      <w:r>
        <w:rPr>
          <w:rFonts w:hint="eastAsia" w:ascii="宋体" w:hAnsi="宋体" w:cs="宋体"/>
          <w:sz w:val="24"/>
        </w:rPr>
        <w:t>项目概况</w:t>
      </w:r>
    </w:p>
    <w:p w14:paraId="5BA44E2D">
      <w:pPr>
        <w:pBdr>
          <w:top w:val="single" w:color="auto" w:sz="4" w:space="1"/>
          <w:left w:val="single" w:color="auto" w:sz="4" w:space="4"/>
          <w:bottom w:val="single" w:color="auto" w:sz="4" w:space="1"/>
          <w:right w:val="single" w:color="auto" w:sz="4" w:space="4"/>
        </w:pBdr>
        <w:adjustRightInd w:val="0"/>
        <w:snapToGrid w:val="0"/>
        <w:spacing w:line="460" w:lineRule="exact"/>
        <w:ind w:firstLine="480" w:firstLineChars="200"/>
        <w:rPr>
          <w:rFonts w:ascii="宋体" w:hAnsi="宋体" w:cs="宋体"/>
          <w:sz w:val="24"/>
        </w:rPr>
      </w:pPr>
      <w:r>
        <w:rPr>
          <w:rFonts w:hint="eastAsia" w:ascii="宋体" w:hAnsi="宋体" w:cs="宋体"/>
          <w:sz w:val="24"/>
        </w:rPr>
        <w:t>（南通好通能源有限公司、南通兴环环境卫生服务有限公司）的（南通兴环环境卫生服务有限公司</w:t>
      </w:r>
      <w:r>
        <w:rPr>
          <w:rFonts w:hint="eastAsia" w:ascii="宋体" w:hAnsi="宋体" w:cs="宋体"/>
          <w:kern w:val="1"/>
          <w:sz w:val="24"/>
        </w:rPr>
        <w:t>燃料调配项目</w:t>
      </w:r>
      <w:r>
        <w:rPr>
          <w:rFonts w:hint="eastAsia" w:ascii="宋体" w:hAnsi="宋体" w:cs="宋体"/>
          <w:kern w:val="1"/>
          <w:sz w:val="24"/>
          <w:lang w:eastAsia="zh-CN"/>
        </w:rPr>
        <w:t>（</w:t>
      </w:r>
      <w:r>
        <w:rPr>
          <w:rFonts w:hint="eastAsia" w:ascii="宋体" w:hAnsi="宋体" w:cs="宋体"/>
          <w:kern w:val="1"/>
          <w:sz w:val="24"/>
          <w:lang w:val="en-US" w:eastAsia="zh-CN"/>
        </w:rPr>
        <w:t>二次</w:t>
      </w:r>
      <w:r>
        <w:rPr>
          <w:rFonts w:hint="eastAsia" w:ascii="宋体" w:hAnsi="宋体" w:cs="宋体"/>
          <w:kern w:val="1"/>
          <w:sz w:val="24"/>
          <w:lang w:eastAsia="zh-CN"/>
        </w:rPr>
        <w:t>）</w:t>
      </w:r>
      <w:r>
        <w:rPr>
          <w:rFonts w:hint="eastAsia" w:ascii="宋体" w:hAnsi="宋体" w:cs="宋体"/>
          <w:sz w:val="24"/>
        </w:rPr>
        <w:t>）招标项目的潜在投标人应在</w:t>
      </w:r>
      <w:r>
        <w:rPr>
          <w:rFonts w:hint="eastAsia" w:ascii="宋体" w:hAnsi="宋体" w:cs="宋体"/>
          <w:b/>
          <w:bCs/>
          <w:sz w:val="24"/>
          <w:u w:val="single"/>
        </w:rPr>
        <w:t>南通市崇川区人民政府网-我要看-公告公示栏</w:t>
      </w:r>
      <w:r>
        <w:rPr>
          <w:rFonts w:hint="eastAsia" w:ascii="宋体" w:hAnsi="宋体" w:cs="宋体"/>
          <w:sz w:val="24"/>
        </w:rPr>
        <w:t>获取招标文件，并于2026年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日09点30分（北京时间）前递交投标文件。</w:t>
      </w:r>
    </w:p>
    <w:p w14:paraId="5A930696">
      <w:pPr>
        <w:spacing w:line="460" w:lineRule="exact"/>
        <w:ind w:firstLine="482" w:firstLineChars="200"/>
        <w:rPr>
          <w:rFonts w:ascii="宋体" w:hAnsi="宋体" w:cs="宋体"/>
          <w:b/>
          <w:sz w:val="24"/>
        </w:rPr>
      </w:pPr>
      <w:r>
        <w:rPr>
          <w:rFonts w:hint="eastAsia" w:ascii="宋体" w:hAnsi="宋体" w:cs="宋体"/>
          <w:b/>
          <w:sz w:val="24"/>
        </w:rPr>
        <w:t>一、项目基本情况</w:t>
      </w:r>
      <w:r>
        <w:rPr>
          <w:rFonts w:hint="eastAsia" w:ascii="宋体" w:hAnsi="宋体" w:cs="宋体"/>
          <w:b/>
          <w:sz w:val="24"/>
        </w:rPr>
        <w:tab/>
      </w:r>
    </w:p>
    <w:p w14:paraId="0973184F">
      <w:pPr>
        <w:spacing w:line="460" w:lineRule="exact"/>
        <w:ind w:firstLine="480" w:firstLineChars="200"/>
        <w:rPr>
          <w:rFonts w:ascii="宋体" w:hAnsi="宋体" w:cs="宋体"/>
          <w:spacing w:val="7"/>
          <w:kern w:val="0"/>
          <w:sz w:val="24"/>
        </w:rPr>
      </w:pPr>
      <w:r>
        <w:rPr>
          <w:rFonts w:hint="eastAsia" w:ascii="宋体" w:hAnsi="宋体" w:cs="宋体"/>
          <w:sz w:val="24"/>
        </w:rPr>
        <w:t>项目编号：NTYT2025026</w:t>
      </w:r>
      <w:bookmarkStart w:id="108" w:name="_GoBack"/>
      <w:bookmarkEnd w:id="108"/>
    </w:p>
    <w:p w14:paraId="265CB425">
      <w:pPr>
        <w:spacing w:line="460" w:lineRule="exact"/>
        <w:ind w:firstLine="480" w:firstLineChars="200"/>
        <w:rPr>
          <w:rFonts w:hint="eastAsia" w:ascii="宋体" w:hAnsi="宋体" w:eastAsia="宋体" w:cs="宋体"/>
          <w:sz w:val="24"/>
          <w:lang w:eastAsia="zh-CN"/>
        </w:rPr>
      </w:pPr>
      <w:r>
        <w:rPr>
          <w:rFonts w:hint="eastAsia" w:ascii="宋体" w:hAnsi="宋体" w:cs="宋体"/>
          <w:sz w:val="24"/>
        </w:rPr>
        <w:t>项目名称：南通兴环环境卫生服务有限公司</w:t>
      </w:r>
      <w:r>
        <w:rPr>
          <w:rFonts w:hint="eastAsia" w:ascii="宋体" w:hAnsi="宋体" w:cs="宋体"/>
          <w:kern w:val="1"/>
          <w:sz w:val="24"/>
        </w:rPr>
        <w:t>燃料调配项目</w:t>
      </w:r>
      <w:r>
        <w:rPr>
          <w:rFonts w:hint="eastAsia" w:ascii="宋体" w:hAnsi="宋体" w:cs="宋体"/>
          <w:kern w:val="1"/>
          <w:sz w:val="24"/>
          <w:lang w:eastAsia="zh-CN"/>
        </w:rPr>
        <w:t>（</w:t>
      </w:r>
      <w:r>
        <w:rPr>
          <w:rFonts w:hint="eastAsia" w:ascii="宋体" w:hAnsi="宋体" w:cs="宋体"/>
          <w:kern w:val="1"/>
          <w:sz w:val="24"/>
          <w:lang w:val="en-US" w:eastAsia="zh-CN"/>
        </w:rPr>
        <w:t>二次</w:t>
      </w:r>
      <w:r>
        <w:rPr>
          <w:rFonts w:hint="eastAsia" w:ascii="宋体" w:hAnsi="宋体" w:cs="宋体"/>
          <w:kern w:val="1"/>
          <w:sz w:val="24"/>
          <w:lang w:eastAsia="zh-CN"/>
        </w:rPr>
        <w:t>）</w:t>
      </w:r>
    </w:p>
    <w:p w14:paraId="011E7775">
      <w:pPr>
        <w:pStyle w:val="31"/>
        <w:spacing w:before="0" w:beforeAutospacing="0" w:after="0" w:afterAutospacing="0" w:line="460" w:lineRule="exact"/>
        <w:ind w:firstLine="480" w:firstLineChars="200"/>
        <w:rPr>
          <w:rFonts w:cs="宋体"/>
          <w:color w:val="auto"/>
        </w:rPr>
      </w:pPr>
      <w:r>
        <w:rPr>
          <w:rFonts w:hint="eastAsia" w:cs="宋体"/>
          <w:color w:val="auto"/>
        </w:rPr>
        <w:t>预算金额：84万元</w:t>
      </w:r>
    </w:p>
    <w:p w14:paraId="01A05678">
      <w:pPr>
        <w:pStyle w:val="31"/>
        <w:spacing w:before="0" w:beforeAutospacing="0" w:after="0" w:afterAutospacing="0" w:line="460" w:lineRule="exact"/>
        <w:ind w:firstLine="480" w:firstLineChars="200"/>
        <w:rPr>
          <w:rFonts w:cs="宋体"/>
          <w:color w:val="auto"/>
        </w:rPr>
      </w:pPr>
      <w:r>
        <w:rPr>
          <w:rFonts w:hint="eastAsia" w:cs="宋体"/>
          <w:color w:val="auto"/>
        </w:rPr>
        <w:t>投标限价：本项目采用固定单价报价形式，各投标单位所报单价均不得超过最高投标单价限额，即12元/公里。投标报价未超过上述最高限价的，视为有效报价；</w:t>
      </w:r>
      <w:r>
        <w:rPr>
          <w:rFonts w:hint="eastAsia" w:cs="宋体"/>
          <w:b/>
          <w:bCs/>
          <w:color w:val="auto"/>
        </w:rPr>
        <w:t>否则为无效报价</w:t>
      </w:r>
      <w:r>
        <w:rPr>
          <w:rFonts w:hint="eastAsia" w:cs="宋体"/>
          <w:color w:val="auto"/>
        </w:rPr>
        <w:t>，其投标文件将按无效投标处理。</w:t>
      </w:r>
    </w:p>
    <w:p w14:paraId="72DC9A56">
      <w:pPr>
        <w:autoSpaceDE w:val="0"/>
        <w:autoSpaceDN w:val="0"/>
        <w:spacing w:line="460" w:lineRule="exact"/>
        <w:ind w:firstLine="480" w:firstLineChars="200"/>
        <w:rPr>
          <w:rFonts w:ascii="宋体" w:hAnsi="宋体" w:cs="宋体"/>
          <w:sz w:val="24"/>
        </w:rPr>
      </w:pPr>
      <w:r>
        <w:rPr>
          <w:rFonts w:hint="eastAsia" w:ascii="宋体" w:hAnsi="宋体" w:cs="宋体"/>
          <w:sz w:val="24"/>
        </w:rPr>
        <w:t>招标需求：详见招标文件，请仔细研究</w:t>
      </w:r>
    </w:p>
    <w:p w14:paraId="0F9B27A4">
      <w:pPr>
        <w:autoSpaceDE w:val="0"/>
        <w:autoSpaceDN w:val="0"/>
        <w:spacing w:line="460" w:lineRule="exact"/>
        <w:ind w:firstLine="480" w:firstLineChars="200"/>
        <w:rPr>
          <w:rFonts w:ascii="宋体" w:hAnsi="宋体" w:cs="宋体"/>
          <w:sz w:val="24"/>
        </w:rPr>
      </w:pPr>
      <w:r>
        <w:rPr>
          <w:rFonts w:hint="eastAsia" w:ascii="宋体" w:hAnsi="宋体" w:cs="宋体"/>
          <w:sz w:val="24"/>
        </w:rPr>
        <w:t>项目服务期限：三年。</w:t>
      </w:r>
    </w:p>
    <w:p w14:paraId="39E742F9">
      <w:pPr>
        <w:spacing w:line="460" w:lineRule="exact"/>
        <w:ind w:firstLine="482" w:firstLineChars="200"/>
        <w:rPr>
          <w:rFonts w:ascii="宋体" w:hAnsi="宋体" w:cs="宋体"/>
          <w:b/>
          <w:sz w:val="24"/>
        </w:rPr>
      </w:pPr>
      <w:r>
        <w:rPr>
          <w:rFonts w:hint="eastAsia" w:ascii="宋体" w:hAnsi="宋体" w:cs="宋体"/>
          <w:b/>
          <w:sz w:val="24"/>
        </w:rPr>
        <w:t>二、申请人的资格要求：</w:t>
      </w:r>
    </w:p>
    <w:p w14:paraId="7A26B340">
      <w:pPr>
        <w:spacing w:line="460" w:lineRule="exact"/>
        <w:ind w:firstLine="480" w:firstLineChars="200"/>
        <w:rPr>
          <w:rFonts w:ascii="宋体" w:hAnsi="宋体" w:cs="宋体"/>
          <w:sz w:val="24"/>
        </w:rPr>
      </w:pPr>
      <w:r>
        <w:rPr>
          <w:rFonts w:hint="eastAsia" w:ascii="宋体" w:hAnsi="宋体" w:cs="宋体"/>
          <w:sz w:val="24"/>
        </w:rPr>
        <w:t>1.满足以下条件：具有独立承担民事责任的能力；具有良好的商业信誉和健全的财务会计制度；具有履行合同所必需的设备和专业技术能力；具有依法缴纳税收和社会保障资金的良好记录；参加招标活动前三年内，在经营活动中没有重大违法记录；</w:t>
      </w:r>
    </w:p>
    <w:p w14:paraId="473C74AC">
      <w:pPr>
        <w:spacing w:line="460" w:lineRule="exact"/>
        <w:ind w:firstLine="480" w:firstLineChars="200"/>
        <w:rPr>
          <w:rFonts w:ascii="宋体" w:hAnsi="宋体" w:cs="宋体"/>
          <w:sz w:val="24"/>
        </w:rPr>
      </w:pPr>
      <w:r>
        <w:rPr>
          <w:rFonts w:hint="eastAsia" w:ascii="宋体" w:hAnsi="宋体" w:cs="宋体"/>
          <w:sz w:val="24"/>
        </w:rPr>
        <w:t>2.投标人具有有效的营业执照副本；</w:t>
      </w:r>
    </w:p>
    <w:p w14:paraId="22331AC9">
      <w:pPr>
        <w:spacing w:line="460" w:lineRule="exact"/>
        <w:ind w:firstLine="480" w:firstLineChars="200"/>
        <w:rPr>
          <w:rFonts w:ascii="宋体" w:hAnsi="宋体" w:cs="宋体"/>
          <w:sz w:val="24"/>
        </w:rPr>
      </w:pPr>
      <w:r>
        <w:rPr>
          <w:rFonts w:hint="eastAsia" w:ascii="宋体" w:hAnsi="宋体" w:cs="宋体"/>
          <w:sz w:val="24"/>
        </w:rPr>
        <w:t>3.投标人须具有有效期内的《道路运输经营许可证》，且证书经营范围应包含危险货物运输</w:t>
      </w:r>
      <w:r>
        <w:rPr>
          <w:rFonts w:hint="eastAsia" w:ascii="宋体" w:hAnsi="宋体" w:cs="宋体"/>
          <w:sz w:val="24"/>
          <w:lang w:eastAsia="zh-CN"/>
        </w:rPr>
        <w:t>；</w:t>
      </w:r>
    </w:p>
    <w:p w14:paraId="49F82E69">
      <w:pPr>
        <w:spacing w:line="460" w:lineRule="exact"/>
        <w:ind w:firstLine="480" w:firstLineChars="200"/>
        <w:rPr>
          <w:rFonts w:ascii="宋体" w:hAnsi="宋体" w:cs="宋体"/>
          <w:sz w:val="24"/>
        </w:rPr>
      </w:pPr>
      <w:r>
        <w:rPr>
          <w:rFonts w:hint="eastAsia" w:ascii="宋体" w:hAnsi="宋体" w:cs="宋体"/>
          <w:sz w:val="24"/>
        </w:rPr>
        <w:t>4.项目拟投入的驾驶人员及押运人员须持有有效的《危险货物运输从业资格证》，资格证类别应与成品油运输要求一致，且在服务期间持续有效。</w:t>
      </w:r>
    </w:p>
    <w:p w14:paraId="66A96C49">
      <w:pPr>
        <w:spacing w:line="460" w:lineRule="exact"/>
        <w:ind w:firstLine="480" w:firstLineChars="200"/>
        <w:rPr>
          <w:rFonts w:ascii="宋体" w:hAnsi="宋体" w:cs="宋体"/>
          <w:sz w:val="24"/>
        </w:rPr>
      </w:pPr>
      <w:r>
        <w:rPr>
          <w:rFonts w:hint="eastAsia" w:ascii="宋体" w:hAnsi="宋体" w:cs="宋体"/>
          <w:sz w:val="24"/>
        </w:rPr>
        <w:t>5.本项目不接受联合体投标。</w:t>
      </w:r>
    </w:p>
    <w:p w14:paraId="6038F423">
      <w:pPr>
        <w:spacing w:line="460" w:lineRule="exact"/>
        <w:ind w:firstLine="482" w:firstLineChars="200"/>
        <w:rPr>
          <w:rFonts w:ascii="宋体" w:hAnsi="宋体" w:cs="宋体"/>
          <w:b/>
          <w:sz w:val="24"/>
        </w:rPr>
      </w:pPr>
      <w:r>
        <w:rPr>
          <w:rFonts w:hint="eastAsia" w:ascii="宋体" w:hAnsi="宋体" w:cs="宋体"/>
          <w:b/>
          <w:sz w:val="24"/>
        </w:rPr>
        <w:t>三、获取招标文件</w:t>
      </w:r>
    </w:p>
    <w:p w14:paraId="49C6478E">
      <w:pPr>
        <w:spacing w:line="460" w:lineRule="exact"/>
        <w:ind w:firstLine="480" w:firstLineChars="200"/>
        <w:rPr>
          <w:rFonts w:ascii="宋体" w:hAnsi="宋体" w:cs="宋体"/>
          <w:sz w:val="24"/>
        </w:rPr>
      </w:pPr>
      <w:r>
        <w:rPr>
          <w:rFonts w:hint="eastAsia" w:ascii="宋体" w:hAnsi="宋体" w:cs="宋体"/>
          <w:sz w:val="24"/>
        </w:rPr>
        <w:t>时间：公告发布之日起5个工作日；</w:t>
      </w:r>
    </w:p>
    <w:p w14:paraId="52910C3E">
      <w:pPr>
        <w:spacing w:line="460" w:lineRule="exact"/>
        <w:ind w:firstLine="480" w:firstLineChars="200"/>
        <w:rPr>
          <w:rFonts w:ascii="宋体" w:hAnsi="宋体" w:cs="宋体"/>
          <w:sz w:val="24"/>
        </w:rPr>
      </w:pPr>
      <w:r>
        <w:rPr>
          <w:rFonts w:hint="eastAsia" w:ascii="宋体" w:hAnsi="宋体" w:cs="宋体"/>
          <w:sz w:val="24"/>
        </w:rPr>
        <w:t>地点：南通市崇川区人民政府网-我要看-公告公示栏；</w:t>
      </w:r>
    </w:p>
    <w:p w14:paraId="04134786">
      <w:pPr>
        <w:shd w:val="clear" w:color="auto" w:fill="FFFFFF"/>
        <w:spacing w:line="460" w:lineRule="exact"/>
        <w:ind w:firstLine="480" w:firstLineChars="200"/>
        <w:rPr>
          <w:rFonts w:ascii="宋体" w:hAnsi="宋体" w:cs="宋体"/>
          <w:spacing w:val="7"/>
          <w:sz w:val="24"/>
        </w:rPr>
      </w:pPr>
      <w:r>
        <w:rPr>
          <w:rFonts w:hint="eastAsia" w:ascii="宋体" w:hAnsi="宋体" w:cs="宋体"/>
          <w:sz w:val="24"/>
        </w:rPr>
        <w:t>方式：自行下载招标文件。</w:t>
      </w:r>
    </w:p>
    <w:p w14:paraId="1E756E58">
      <w:pPr>
        <w:spacing w:line="460" w:lineRule="exact"/>
        <w:ind w:firstLine="482" w:firstLineChars="200"/>
        <w:rPr>
          <w:rFonts w:ascii="宋体" w:hAnsi="宋体" w:cs="宋体"/>
          <w:b/>
          <w:sz w:val="24"/>
        </w:rPr>
      </w:pPr>
      <w:r>
        <w:rPr>
          <w:rFonts w:hint="eastAsia" w:ascii="宋体" w:hAnsi="宋体" w:cs="宋体"/>
          <w:b/>
          <w:sz w:val="24"/>
        </w:rPr>
        <w:t>四、提交投标文件截止时间、开标时间和地点</w:t>
      </w:r>
    </w:p>
    <w:p w14:paraId="184B5DA5">
      <w:pPr>
        <w:spacing w:line="460" w:lineRule="exact"/>
        <w:ind w:firstLine="480" w:firstLineChars="200"/>
        <w:rPr>
          <w:rFonts w:ascii="宋体" w:hAnsi="宋体" w:cs="宋体"/>
          <w:sz w:val="24"/>
        </w:rPr>
      </w:pPr>
      <w:r>
        <w:rPr>
          <w:rFonts w:hint="eastAsia" w:ascii="宋体" w:hAnsi="宋体" w:cs="宋体"/>
          <w:sz w:val="24"/>
        </w:rPr>
        <w:t>2026年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分（北京时间）。逾时，招标人将拒绝接受投标响应文件。</w:t>
      </w:r>
    </w:p>
    <w:p w14:paraId="08E21975">
      <w:pPr>
        <w:spacing w:line="460" w:lineRule="exact"/>
        <w:ind w:firstLine="480" w:firstLineChars="200"/>
        <w:rPr>
          <w:rFonts w:ascii="宋体" w:hAnsi="宋体" w:cs="宋体"/>
          <w:sz w:val="24"/>
          <w:u w:val="single"/>
        </w:rPr>
      </w:pPr>
      <w:r>
        <w:rPr>
          <w:rFonts w:hint="eastAsia" w:ascii="宋体" w:hAnsi="宋体" w:cs="宋体"/>
          <w:sz w:val="24"/>
        </w:rPr>
        <w:t>地点：南通市崇川区崇川路1号南通市崇川国有资产投资发展有限公司109会议室，如有变动另行通知。</w:t>
      </w:r>
    </w:p>
    <w:p w14:paraId="353D0F97">
      <w:pPr>
        <w:spacing w:line="460" w:lineRule="exact"/>
        <w:ind w:firstLine="482" w:firstLineChars="200"/>
        <w:rPr>
          <w:rFonts w:ascii="宋体" w:hAnsi="宋体" w:cs="宋体"/>
          <w:b/>
          <w:sz w:val="24"/>
        </w:rPr>
      </w:pPr>
      <w:r>
        <w:rPr>
          <w:rFonts w:hint="eastAsia" w:ascii="宋体" w:hAnsi="宋体" w:cs="宋体"/>
          <w:b/>
          <w:sz w:val="24"/>
        </w:rPr>
        <w:t>五、公告期限</w:t>
      </w:r>
    </w:p>
    <w:p w14:paraId="262B8D7F">
      <w:pPr>
        <w:spacing w:line="460" w:lineRule="exact"/>
        <w:ind w:firstLine="480" w:firstLineChars="200"/>
        <w:rPr>
          <w:rFonts w:ascii="宋体" w:hAnsi="宋体" w:cs="宋体"/>
          <w:b/>
          <w:sz w:val="24"/>
        </w:rPr>
      </w:pPr>
      <w:r>
        <w:rPr>
          <w:rFonts w:hint="eastAsia" w:ascii="宋体" w:hAnsi="宋体" w:cs="宋体"/>
          <w:sz w:val="24"/>
        </w:rPr>
        <w:t>自本公告发布之日起5个工作日。</w:t>
      </w:r>
    </w:p>
    <w:p w14:paraId="34CAE01C">
      <w:pPr>
        <w:spacing w:line="460" w:lineRule="exact"/>
        <w:ind w:firstLine="482" w:firstLineChars="200"/>
        <w:rPr>
          <w:rFonts w:ascii="宋体" w:hAnsi="宋体" w:cs="宋体"/>
          <w:b/>
          <w:sz w:val="24"/>
        </w:rPr>
      </w:pPr>
      <w:r>
        <w:rPr>
          <w:rFonts w:hint="eastAsia" w:ascii="宋体" w:hAnsi="宋体" w:cs="宋体"/>
          <w:b/>
          <w:sz w:val="24"/>
        </w:rPr>
        <w:t>六、其他补充事宜</w:t>
      </w:r>
    </w:p>
    <w:p w14:paraId="54013263">
      <w:pPr>
        <w:spacing w:line="460" w:lineRule="exact"/>
        <w:ind w:firstLine="480" w:firstLineChars="200"/>
        <w:rPr>
          <w:rFonts w:ascii="宋体" w:hAnsi="宋体" w:cs="宋体"/>
          <w:sz w:val="24"/>
        </w:rPr>
      </w:pPr>
      <w:r>
        <w:rPr>
          <w:rFonts w:hint="eastAsia" w:ascii="宋体" w:hAnsi="宋体" w:cs="宋体"/>
          <w:sz w:val="24"/>
        </w:rPr>
        <w:t>(一）投标保证金：人民币16800元整，投标保证金交纳方式：银行转帐、银行电汇、银行汇票、银行保函、保险机构的保单等形式。如为银行转帐、银行电汇形式，以投标人自身的名义通过其基本账户一次性足额提交到如下账户：</w:t>
      </w:r>
    </w:p>
    <w:p w14:paraId="6CDD6FE7">
      <w:pPr>
        <w:spacing w:line="460" w:lineRule="exact"/>
        <w:ind w:firstLine="480" w:firstLineChars="200"/>
        <w:rPr>
          <w:rFonts w:ascii="宋体" w:hAnsi="宋体" w:cs="宋体"/>
          <w:sz w:val="24"/>
        </w:rPr>
      </w:pPr>
      <w:r>
        <w:rPr>
          <w:rFonts w:hint="eastAsia" w:ascii="宋体" w:hAnsi="宋体" w:cs="宋体"/>
          <w:sz w:val="24"/>
        </w:rPr>
        <w:t>投标保证金账户信息：</w:t>
      </w:r>
    </w:p>
    <w:p w14:paraId="07088C7A">
      <w:pPr>
        <w:spacing w:line="460" w:lineRule="exact"/>
        <w:ind w:firstLine="480" w:firstLineChars="200"/>
        <w:rPr>
          <w:rFonts w:ascii="宋体" w:hAnsi="宋体" w:cs="宋体"/>
          <w:sz w:val="24"/>
        </w:rPr>
      </w:pPr>
      <w:r>
        <w:rPr>
          <w:rFonts w:hint="eastAsia" w:ascii="宋体" w:hAnsi="宋体" w:cs="宋体"/>
          <w:sz w:val="24"/>
        </w:rPr>
        <w:t>单位名称：南通永拓建设项目管理有限公司</w:t>
      </w:r>
    </w:p>
    <w:p w14:paraId="792D4FDE">
      <w:pPr>
        <w:spacing w:line="460" w:lineRule="exact"/>
        <w:ind w:firstLine="480" w:firstLineChars="200"/>
        <w:rPr>
          <w:rFonts w:ascii="宋体" w:hAnsi="宋体" w:cs="宋体"/>
          <w:sz w:val="24"/>
        </w:rPr>
      </w:pPr>
      <w:r>
        <w:rPr>
          <w:rFonts w:hint="eastAsia" w:ascii="宋体" w:hAnsi="宋体" w:cs="宋体"/>
          <w:sz w:val="24"/>
        </w:rPr>
        <w:t>详细地址：南通市崇川区</w:t>
      </w:r>
    </w:p>
    <w:p w14:paraId="54E1436E">
      <w:pPr>
        <w:spacing w:line="460" w:lineRule="exact"/>
        <w:ind w:firstLine="480" w:firstLineChars="200"/>
        <w:rPr>
          <w:rFonts w:ascii="宋体" w:hAnsi="宋体" w:cs="宋体"/>
          <w:sz w:val="24"/>
        </w:rPr>
      </w:pPr>
      <w:r>
        <w:rPr>
          <w:rFonts w:hint="eastAsia" w:ascii="宋体" w:hAnsi="宋体" w:cs="宋体"/>
          <w:sz w:val="24"/>
        </w:rPr>
        <w:t>开户银行：江苏海安农村商业银行南屏支行</w:t>
      </w:r>
    </w:p>
    <w:p w14:paraId="37EB3646">
      <w:pPr>
        <w:spacing w:line="460" w:lineRule="exact"/>
        <w:ind w:firstLine="480" w:firstLineChars="200"/>
        <w:rPr>
          <w:rFonts w:ascii="宋体" w:hAnsi="宋体" w:cs="宋体"/>
          <w:sz w:val="24"/>
        </w:rPr>
      </w:pPr>
      <w:r>
        <w:rPr>
          <w:rFonts w:hint="eastAsia" w:ascii="宋体" w:hAnsi="宋体" w:cs="宋体"/>
          <w:sz w:val="24"/>
        </w:rPr>
        <w:t>帐    号：</w:t>
      </w:r>
      <w:r>
        <w:rPr>
          <w:rFonts w:ascii="宋体" w:hAnsi="宋体" w:cs="宋体"/>
          <w:sz w:val="24"/>
        </w:rPr>
        <w:t>3206214701201000480287</w:t>
      </w:r>
    </w:p>
    <w:p w14:paraId="4453080E">
      <w:pPr>
        <w:spacing w:line="460" w:lineRule="exact"/>
        <w:ind w:firstLine="480" w:firstLineChars="200"/>
        <w:rPr>
          <w:rFonts w:ascii="宋体" w:hAnsi="宋体" w:cs="宋体"/>
          <w:sz w:val="24"/>
        </w:rPr>
      </w:pPr>
      <w:r>
        <w:rPr>
          <w:rFonts w:hint="eastAsia" w:ascii="宋体" w:hAnsi="宋体" w:cs="宋体"/>
          <w:sz w:val="24"/>
        </w:rPr>
        <w:t>特别说明：投标单位保证金须从企业基本账户汇出。必须标注项目名称（可简写）及费用类别，如“南通兴环环境卫生服务有限公司</w:t>
      </w:r>
      <w:r>
        <w:rPr>
          <w:rFonts w:hint="eastAsia" w:ascii="宋体" w:hAnsi="宋体" w:cs="宋体"/>
          <w:kern w:val="1"/>
          <w:sz w:val="24"/>
        </w:rPr>
        <w:t>燃料调配</w:t>
      </w:r>
      <w:r>
        <w:rPr>
          <w:rFonts w:hint="eastAsia" w:ascii="宋体" w:hAnsi="宋体" w:cs="宋体"/>
          <w:sz w:val="24"/>
        </w:rPr>
        <w:t>项目投标保证金”</w:t>
      </w:r>
    </w:p>
    <w:p w14:paraId="76EC77EA">
      <w:pPr>
        <w:spacing w:line="460" w:lineRule="exact"/>
        <w:ind w:firstLine="480" w:firstLineChars="200"/>
        <w:rPr>
          <w:rFonts w:ascii="宋体" w:hAnsi="宋体" w:cs="宋体"/>
          <w:sz w:val="24"/>
        </w:rPr>
      </w:pPr>
      <w:r>
        <w:rPr>
          <w:rFonts w:hint="eastAsia" w:ascii="宋体" w:hAnsi="宋体" w:cs="宋体"/>
          <w:sz w:val="24"/>
        </w:rPr>
        <w:t>特别说明：</w:t>
      </w:r>
    </w:p>
    <w:p w14:paraId="5CF7FCB5">
      <w:pPr>
        <w:spacing w:line="460" w:lineRule="exact"/>
        <w:ind w:firstLine="480" w:firstLineChars="200"/>
        <w:rPr>
          <w:rFonts w:ascii="宋体" w:hAnsi="宋体" w:cs="宋体"/>
          <w:sz w:val="24"/>
        </w:rPr>
      </w:pPr>
      <w:r>
        <w:rPr>
          <w:rFonts w:hint="eastAsia" w:ascii="宋体" w:hAnsi="宋体" w:cs="宋体"/>
          <w:sz w:val="24"/>
        </w:rPr>
        <w:t>1.未按上述要求提交投标保证金的投标人，招标人有权拒绝其投标文件。</w:t>
      </w:r>
    </w:p>
    <w:p w14:paraId="681B3A9A">
      <w:pPr>
        <w:spacing w:line="460" w:lineRule="exact"/>
        <w:ind w:firstLine="480" w:firstLineChars="200"/>
        <w:rPr>
          <w:rFonts w:ascii="宋体" w:hAnsi="宋体" w:cs="宋体"/>
          <w:sz w:val="24"/>
        </w:rPr>
      </w:pPr>
      <w:r>
        <w:rPr>
          <w:rFonts w:hint="eastAsia" w:ascii="宋体" w:hAnsi="宋体" w:cs="宋体"/>
          <w:sz w:val="24"/>
        </w:rPr>
        <w:t>2.未中标单位的投标保证金定标后予以退还；中标单位的投标保证金在合同生效后5日内予以退还。</w:t>
      </w:r>
    </w:p>
    <w:p w14:paraId="53301A98">
      <w:pPr>
        <w:spacing w:line="460" w:lineRule="exact"/>
        <w:ind w:firstLine="480" w:firstLineChars="200"/>
        <w:rPr>
          <w:rFonts w:ascii="宋体" w:hAnsi="宋体" w:cs="宋体"/>
          <w:sz w:val="24"/>
        </w:rPr>
      </w:pPr>
      <w:r>
        <w:rPr>
          <w:rFonts w:hint="eastAsia" w:ascii="宋体" w:hAnsi="宋体" w:cs="宋体"/>
          <w:sz w:val="24"/>
        </w:rPr>
        <w:t>3.发生下列情况之一，投标保证金将不予退还：</w:t>
      </w:r>
    </w:p>
    <w:p w14:paraId="12B10316">
      <w:pPr>
        <w:spacing w:line="460" w:lineRule="exact"/>
        <w:ind w:firstLine="480" w:firstLineChars="200"/>
        <w:rPr>
          <w:rFonts w:ascii="宋体" w:hAnsi="宋体" w:cs="宋体"/>
          <w:sz w:val="24"/>
        </w:rPr>
      </w:pPr>
      <w:r>
        <w:rPr>
          <w:rFonts w:hint="eastAsia" w:ascii="宋体" w:hAnsi="宋体" w:cs="宋体"/>
          <w:sz w:val="24"/>
        </w:rPr>
        <w:t>（1）投标人在提交投标文件截止时间后撤回投标文件的；</w:t>
      </w:r>
    </w:p>
    <w:p w14:paraId="231EC614">
      <w:pPr>
        <w:spacing w:line="460" w:lineRule="exact"/>
        <w:ind w:firstLine="480" w:firstLineChars="200"/>
        <w:rPr>
          <w:rFonts w:ascii="宋体" w:hAnsi="宋体" w:cs="宋体"/>
          <w:sz w:val="24"/>
        </w:rPr>
      </w:pPr>
      <w:r>
        <w:rPr>
          <w:rFonts w:hint="eastAsia" w:ascii="宋体" w:hAnsi="宋体" w:cs="宋体"/>
          <w:sz w:val="24"/>
        </w:rPr>
        <w:t>（2）投标人在投标文件中提供虚假材料的；</w:t>
      </w:r>
    </w:p>
    <w:p w14:paraId="6C83523B">
      <w:pPr>
        <w:spacing w:line="460" w:lineRule="exact"/>
        <w:ind w:firstLine="480" w:firstLineChars="200"/>
        <w:rPr>
          <w:rFonts w:ascii="宋体" w:hAnsi="宋体" w:cs="宋体"/>
          <w:sz w:val="24"/>
        </w:rPr>
      </w:pPr>
      <w:r>
        <w:rPr>
          <w:rFonts w:hint="eastAsia" w:ascii="宋体" w:hAnsi="宋体" w:cs="宋体"/>
          <w:sz w:val="24"/>
        </w:rPr>
        <w:t xml:space="preserve">（3）除因不可抗力或招标文件认可的情形以外，中标人不按规定缴纳履约保证金或不与招标人签订合同的； </w:t>
      </w:r>
    </w:p>
    <w:p w14:paraId="58015578">
      <w:pPr>
        <w:spacing w:line="460" w:lineRule="exact"/>
        <w:ind w:firstLine="480" w:firstLineChars="200"/>
        <w:rPr>
          <w:rFonts w:ascii="宋体" w:hAnsi="宋体" w:cs="宋体"/>
          <w:sz w:val="24"/>
        </w:rPr>
      </w:pPr>
      <w:r>
        <w:rPr>
          <w:rFonts w:hint="eastAsia" w:ascii="宋体" w:hAnsi="宋体" w:cs="宋体"/>
          <w:sz w:val="24"/>
        </w:rPr>
        <w:t>（4）投标人与招标人、其他投标人或者代理机构恶意串通的；</w:t>
      </w:r>
    </w:p>
    <w:p w14:paraId="481D1BB2">
      <w:pPr>
        <w:spacing w:line="460" w:lineRule="exact"/>
        <w:ind w:firstLine="480" w:firstLineChars="200"/>
        <w:rPr>
          <w:rFonts w:ascii="宋体" w:hAnsi="宋体" w:cs="宋体"/>
          <w:sz w:val="24"/>
        </w:rPr>
      </w:pPr>
      <w:r>
        <w:rPr>
          <w:rFonts w:hint="eastAsia" w:ascii="宋体" w:hAnsi="宋体" w:cs="宋体"/>
          <w:sz w:val="24"/>
        </w:rPr>
        <w:t>（5）投标人在招标过程中有违反有关法律法规的行为；</w:t>
      </w:r>
    </w:p>
    <w:p w14:paraId="25756A50">
      <w:pPr>
        <w:spacing w:line="460" w:lineRule="exact"/>
        <w:ind w:firstLine="480" w:firstLineChars="200"/>
        <w:rPr>
          <w:rFonts w:ascii="宋体" w:hAnsi="宋体" w:cs="宋体"/>
          <w:sz w:val="24"/>
        </w:rPr>
      </w:pPr>
      <w:r>
        <w:rPr>
          <w:rFonts w:hint="eastAsia" w:ascii="宋体" w:hAnsi="宋体" w:cs="宋体"/>
          <w:sz w:val="24"/>
        </w:rPr>
        <w:t>（6）招标文件规定的其他情形的。</w:t>
      </w:r>
    </w:p>
    <w:p w14:paraId="277EDC86">
      <w:pPr>
        <w:spacing w:line="460" w:lineRule="exact"/>
        <w:ind w:firstLine="480" w:firstLineChars="200"/>
        <w:rPr>
          <w:rFonts w:ascii="宋体" w:hAnsi="宋体" w:cs="宋体"/>
          <w:sz w:val="24"/>
        </w:rPr>
      </w:pPr>
      <w:r>
        <w:rPr>
          <w:rFonts w:hint="eastAsia" w:ascii="宋体" w:hAnsi="宋体" w:cs="宋体"/>
          <w:sz w:val="24"/>
        </w:rPr>
        <w:t>（二）履约保证金：本项目履约保证金为84000元，缴纳形式：银行转账（必须从投标人基本账户转出）或现金或保函等形式，</w:t>
      </w:r>
      <w:r>
        <w:rPr>
          <w:rFonts w:hint="eastAsia" w:ascii="宋体" w:hAnsi="宋体" w:cs="宋体"/>
          <w:b/>
          <w:bCs/>
          <w:sz w:val="24"/>
        </w:rPr>
        <w:t>具体方式由中标单位与南通兴环环境卫生服务有限公司确认后进行缴纳</w:t>
      </w:r>
      <w:r>
        <w:rPr>
          <w:rFonts w:hint="eastAsia" w:ascii="宋体" w:hAnsi="宋体" w:cs="宋体"/>
          <w:sz w:val="24"/>
        </w:rPr>
        <w:t>。所有项目履约完成，扣除违约金、损失赔偿金后，履约保证金的剩余金额予以退还。</w:t>
      </w:r>
    </w:p>
    <w:p w14:paraId="56454179">
      <w:pPr>
        <w:spacing w:line="460" w:lineRule="exact"/>
        <w:ind w:firstLine="480" w:firstLineChars="200"/>
        <w:rPr>
          <w:rFonts w:ascii="宋体" w:hAnsi="宋体" w:cs="宋体"/>
          <w:sz w:val="24"/>
        </w:rPr>
      </w:pPr>
      <w:r>
        <w:rPr>
          <w:rFonts w:hint="eastAsia" w:ascii="宋体" w:hAnsi="宋体" w:cs="宋体"/>
          <w:sz w:val="24"/>
        </w:rPr>
        <w:t>招标人发出中标通知书后5个工作日内，中标人应向南通兴环环境卫生服务有限公司递交履约保证金，否则南通兴环环境卫生服务有限公司有权按中标人自动放弃中标资格处理，同时投标保证金不予退还，该金额不足以弥补给南通兴环环境卫生服务有限公司造成的直接和间接损失的（包括但不限于二次招标发生的招标费用、中标差价、招标代理服务费等），中标人应予补足。</w:t>
      </w:r>
    </w:p>
    <w:p w14:paraId="546ED399">
      <w:pPr>
        <w:spacing w:line="460" w:lineRule="exact"/>
        <w:ind w:firstLine="480" w:firstLineChars="200"/>
        <w:rPr>
          <w:rFonts w:ascii="宋体" w:hAnsi="宋体" w:cs="宋体"/>
          <w:sz w:val="24"/>
        </w:rPr>
      </w:pPr>
      <w:r>
        <w:rPr>
          <w:rFonts w:hint="eastAsia" w:ascii="宋体" w:hAnsi="宋体" w:cs="宋体"/>
          <w:sz w:val="24"/>
        </w:rPr>
        <w:t>（三）其他</w:t>
      </w:r>
    </w:p>
    <w:p w14:paraId="17CF6217">
      <w:pPr>
        <w:spacing w:line="460" w:lineRule="exact"/>
        <w:ind w:firstLine="480" w:firstLineChars="200"/>
        <w:rPr>
          <w:rFonts w:ascii="宋体" w:hAnsi="宋体" w:cs="宋体"/>
          <w:sz w:val="24"/>
        </w:rPr>
      </w:pPr>
      <w:r>
        <w:rPr>
          <w:rFonts w:hint="eastAsia" w:ascii="宋体" w:hAnsi="宋体" w:cs="宋体"/>
          <w:sz w:val="24"/>
        </w:rPr>
        <w:t>1.项目开标活动模式：见面开标模式，投标人在现场参加开标会。</w:t>
      </w:r>
    </w:p>
    <w:p w14:paraId="6C09130F">
      <w:pPr>
        <w:spacing w:line="460" w:lineRule="exact"/>
        <w:ind w:firstLine="480" w:firstLineChars="200"/>
        <w:rPr>
          <w:rFonts w:ascii="宋体" w:hAnsi="宋体" w:cs="宋体"/>
          <w:sz w:val="24"/>
        </w:rPr>
      </w:pPr>
      <w:r>
        <w:rPr>
          <w:rFonts w:hint="eastAsia" w:ascii="宋体" w:hAnsi="宋体" w:cs="宋体"/>
          <w:sz w:val="24"/>
        </w:rPr>
        <w:t>2.项目演示、样品：无。</w:t>
      </w:r>
    </w:p>
    <w:p w14:paraId="0EB98716">
      <w:pPr>
        <w:spacing w:line="460" w:lineRule="exact"/>
        <w:ind w:firstLine="480" w:firstLineChars="200"/>
        <w:rPr>
          <w:rFonts w:ascii="宋体" w:hAnsi="宋体" w:cs="宋体"/>
          <w:sz w:val="24"/>
        </w:rPr>
      </w:pPr>
      <w:r>
        <w:rPr>
          <w:rFonts w:hint="eastAsia" w:ascii="宋体" w:hAnsi="宋体" w:cs="宋体"/>
          <w:sz w:val="24"/>
        </w:rPr>
        <w:t>3.对项目需求部分（投标人资格要求、项目需求）的询问、质疑请向招标人提出，由招标人负责答复；对项目招标文件其他部分的询问请向代理机构经办人提出。</w:t>
      </w:r>
    </w:p>
    <w:p w14:paraId="128E3F22">
      <w:pPr>
        <w:spacing w:line="460" w:lineRule="exact"/>
        <w:ind w:firstLine="480" w:firstLineChars="200"/>
        <w:rPr>
          <w:rFonts w:ascii="宋体" w:hAnsi="宋体" w:cs="宋体"/>
          <w:sz w:val="24"/>
        </w:rPr>
      </w:pPr>
      <w:r>
        <w:rPr>
          <w:rFonts w:hint="eastAsia" w:ascii="宋体" w:hAnsi="宋体" w:cs="宋体"/>
          <w:sz w:val="24"/>
        </w:rPr>
        <w:t>4.投标人应依照规定提交各类声明函、承诺函，不再同时提供原件备查或提供有关部门出具的相关证明文件。但投标人应做好提交声明函、承诺函、认证、业绩等相应原件的核查准备；核查后发现虚假或违背承诺的，依照相关法律法规的规定处理。</w:t>
      </w:r>
    </w:p>
    <w:p w14:paraId="12C97347">
      <w:pPr>
        <w:spacing w:line="460" w:lineRule="exact"/>
        <w:ind w:firstLine="482" w:firstLineChars="200"/>
        <w:rPr>
          <w:rFonts w:ascii="宋体" w:hAnsi="宋体" w:cs="宋体"/>
          <w:b/>
          <w:sz w:val="24"/>
        </w:rPr>
      </w:pPr>
      <w:r>
        <w:rPr>
          <w:rFonts w:hint="eastAsia" w:ascii="宋体" w:hAnsi="宋体" w:cs="宋体"/>
          <w:b/>
          <w:sz w:val="24"/>
        </w:rPr>
        <w:t>七、对本次招标提出询问，请按以下方式联系。</w:t>
      </w:r>
    </w:p>
    <w:p w14:paraId="1C7AE6EF">
      <w:pPr>
        <w:spacing w:line="460" w:lineRule="exact"/>
        <w:ind w:firstLine="480" w:firstLineChars="200"/>
        <w:rPr>
          <w:rFonts w:ascii="宋体" w:hAnsi="宋体" w:cs="宋体"/>
          <w:sz w:val="24"/>
        </w:rPr>
      </w:pPr>
      <w:r>
        <w:rPr>
          <w:rFonts w:hint="eastAsia" w:ascii="宋体" w:hAnsi="宋体" w:cs="宋体"/>
          <w:sz w:val="24"/>
        </w:rPr>
        <w:t>1.招标人信息</w:t>
      </w:r>
    </w:p>
    <w:p w14:paraId="0697C420">
      <w:pPr>
        <w:spacing w:line="460" w:lineRule="exact"/>
        <w:ind w:firstLine="480" w:firstLineChars="200"/>
        <w:rPr>
          <w:rFonts w:ascii="宋体" w:hAnsi="宋体" w:cs="宋体"/>
          <w:sz w:val="24"/>
        </w:rPr>
      </w:pPr>
      <w:r>
        <w:rPr>
          <w:rFonts w:hint="eastAsia" w:ascii="宋体" w:hAnsi="宋体" w:cs="宋体"/>
          <w:sz w:val="24"/>
        </w:rPr>
        <w:t>名称：南通好通能源有限公司</w:t>
      </w:r>
    </w:p>
    <w:p w14:paraId="54E966F3">
      <w:pPr>
        <w:spacing w:line="460" w:lineRule="exact"/>
        <w:ind w:firstLine="1200" w:firstLineChars="500"/>
        <w:rPr>
          <w:rFonts w:ascii="宋体" w:hAnsi="宋体" w:cs="宋体"/>
          <w:sz w:val="24"/>
        </w:rPr>
      </w:pPr>
      <w:r>
        <w:rPr>
          <w:rFonts w:hint="eastAsia" w:ascii="宋体" w:hAnsi="宋体" w:cs="宋体"/>
          <w:sz w:val="24"/>
        </w:rPr>
        <w:t>南通兴环环境卫生服务有限公司</w:t>
      </w:r>
    </w:p>
    <w:p w14:paraId="7C2C34FC">
      <w:pPr>
        <w:spacing w:line="460" w:lineRule="exact"/>
        <w:ind w:firstLine="480" w:firstLineChars="200"/>
        <w:rPr>
          <w:rFonts w:ascii="宋体" w:hAnsi="宋体" w:cs="宋体"/>
          <w:sz w:val="24"/>
        </w:rPr>
      </w:pPr>
      <w:r>
        <w:rPr>
          <w:rFonts w:hint="eastAsia" w:ascii="宋体" w:hAnsi="宋体" w:cs="宋体"/>
          <w:sz w:val="24"/>
        </w:rPr>
        <w:t>地址：南通市崇川区</w:t>
      </w:r>
    </w:p>
    <w:p w14:paraId="0E39AC88">
      <w:pPr>
        <w:spacing w:line="460" w:lineRule="exact"/>
        <w:ind w:firstLine="480" w:firstLineChars="200"/>
        <w:rPr>
          <w:rFonts w:ascii="宋体" w:hAnsi="宋体" w:cs="宋体"/>
          <w:sz w:val="24"/>
        </w:rPr>
      </w:pPr>
      <w:r>
        <w:rPr>
          <w:rFonts w:hint="eastAsia" w:ascii="宋体" w:hAnsi="宋体" w:cs="宋体"/>
          <w:sz w:val="24"/>
        </w:rPr>
        <w:t>联系人：王工</w:t>
      </w:r>
    </w:p>
    <w:p w14:paraId="1F474C07">
      <w:pPr>
        <w:spacing w:line="460" w:lineRule="exact"/>
        <w:ind w:firstLine="480" w:firstLineChars="200"/>
        <w:rPr>
          <w:rFonts w:ascii="宋体" w:hAnsi="宋体" w:cs="宋体"/>
          <w:sz w:val="24"/>
        </w:rPr>
      </w:pPr>
      <w:r>
        <w:rPr>
          <w:rFonts w:hint="eastAsia" w:ascii="宋体" w:hAnsi="宋体" w:cs="宋体"/>
          <w:sz w:val="24"/>
        </w:rPr>
        <w:t>联系方式：0513-66889905</w:t>
      </w:r>
    </w:p>
    <w:p w14:paraId="32A8D1D2">
      <w:pPr>
        <w:spacing w:line="460" w:lineRule="exact"/>
        <w:ind w:firstLine="480" w:firstLineChars="200"/>
        <w:rPr>
          <w:rFonts w:ascii="宋体" w:hAnsi="宋体" w:cs="宋体"/>
          <w:sz w:val="24"/>
        </w:rPr>
      </w:pPr>
      <w:r>
        <w:rPr>
          <w:rFonts w:hint="eastAsia" w:ascii="宋体" w:hAnsi="宋体" w:cs="宋体"/>
          <w:sz w:val="24"/>
        </w:rPr>
        <w:t>2.招标代理机构信息</w:t>
      </w:r>
    </w:p>
    <w:p w14:paraId="482E3BEF">
      <w:pPr>
        <w:spacing w:line="460" w:lineRule="exact"/>
        <w:ind w:firstLine="480" w:firstLineChars="200"/>
        <w:rPr>
          <w:rFonts w:ascii="宋体" w:hAnsi="宋体" w:cs="宋体"/>
          <w:sz w:val="24"/>
        </w:rPr>
      </w:pPr>
      <w:r>
        <w:rPr>
          <w:rFonts w:hint="eastAsia" w:ascii="宋体" w:hAnsi="宋体" w:cs="宋体"/>
          <w:sz w:val="24"/>
        </w:rPr>
        <w:t>名称：南通永拓建设项目管理有限公司；</w:t>
      </w:r>
    </w:p>
    <w:p w14:paraId="5A917B90">
      <w:pPr>
        <w:spacing w:line="460" w:lineRule="exact"/>
        <w:ind w:firstLine="480" w:firstLineChars="200"/>
        <w:rPr>
          <w:rFonts w:ascii="宋体" w:hAnsi="宋体" w:cs="宋体"/>
          <w:sz w:val="24"/>
        </w:rPr>
      </w:pPr>
      <w:r>
        <w:rPr>
          <w:rFonts w:hint="eastAsia" w:ascii="宋体" w:hAnsi="宋体" w:cs="宋体"/>
          <w:sz w:val="24"/>
        </w:rPr>
        <w:t>地址：江苏省南通市崇川区工农北路388号盈泰汇3号楼16~17层；</w:t>
      </w:r>
    </w:p>
    <w:p w14:paraId="1A05A0A4">
      <w:pPr>
        <w:spacing w:line="460" w:lineRule="exact"/>
        <w:ind w:firstLine="480" w:firstLineChars="200"/>
        <w:rPr>
          <w:rFonts w:ascii="宋体" w:hAnsi="宋体" w:cs="宋体"/>
          <w:b/>
          <w:bCs/>
          <w:sz w:val="28"/>
          <w:szCs w:val="28"/>
        </w:rPr>
      </w:pPr>
      <w:r>
        <w:rPr>
          <w:rFonts w:hint="eastAsia" w:ascii="宋体" w:hAnsi="宋体" w:cs="宋体"/>
          <w:sz w:val="24"/>
        </w:rPr>
        <w:t>联系方式：储工 13016790309</w:t>
      </w:r>
    </w:p>
    <w:p w14:paraId="0ACF4370">
      <w:pPr>
        <w:jc w:val="center"/>
        <w:rPr>
          <w:rFonts w:ascii="宋体" w:hAnsi="宋体" w:cs="宋体"/>
          <w:bCs/>
          <w:sz w:val="36"/>
          <w:szCs w:val="36"/>
        </w:rPr>
      </w:pPr>
      <w:r>
        <w:rPr>
          <w:rFonts w:hint="eastAsia" w:ascii="宋体" w:hAnsi="宋体" w:cs="宋体"/>
          <w:bCs/>
          <w:sz w:val="36"/>
          <w:szCs w:val="36"/>
        </w:rPr>
        <w:br w:type="page"/>
      </w:r>
      <w:r>
        <w:rPr>
          <w:rFonts w:hint="eastAsia" w:ascii="宋体" w:hAnsi="宋体" w:cs="宋体"/>
          <w:b/>
          <w:sz w:val="36"/>
          <w:szCs w:val="36"/>
        </w:rPr>
        <w:t>第二部分  投标须知</w:t>
      </w:r>
    </w:p>
    <w:p w14:paraId="7F12E678">
      <w:pPr>
        <w:pStyle w:val="4"/>
        <w:adjustRightInd w:val="0"/>
        <w:snapToGrid w:val="0"/>
        <w:spacing w:before="0" w:after="0" w:line="420" w:lineRule="exact"/>
        <w:ind w:firstLine="482" w:firstLineChars="200"/>
        <w:rPr>
          <w:rFonts w:ascii="宋体" w:hAnsi="宋体" w:cs="宋体"/>
          <w:sz w:val="24"/>
          <w:szCs w:val="24"/>
        </w:rPr>
      </w:pPr>
      <w:bookmarkStart w:id="3" w:name="_Toc120614214"/>
      <w:bookmarkStart w:id="4" w:name="_Toc16938519"/>
      <w:bookmarkStart w:id="5" w:name="_Toc513029203"/>
      <w:bookmarkStart w:id="6" w:name="_Toc20823275"/>
      <w:r>
        <w:rPr>
          <w:rFonts w:hint="eastAsia" w:ascii="宋体" w:hAnsi="宋体" w:cs="宋体"/>
          <w:sz w:val="24"/>
          <w:szCs w:val="24"/>
        </w:rPr>
        <w:t>一、总则</w:t>
      </w:r>
      <w:bookmarkEnd w:id="3"/>
      <w:bookmarkEnd w:id="4"/>
      <w:bookmarkEnd w:id="5"/>
      <w:bookmarkEnd w:id="6"/>
    </w:p>
    <w:p w14:paraId="70AEA50C">
      <w:pPr>
        <w:pStyle w:val="5"/>
        <w:adjustRightInd w:val="0"/>
        <w:snapToGrid w:val="0"/>
        <w:spacing w:line="420" w:lineRule="exact"/>
        <w:ind w:firstLine="480" w:firstLineChars="200"/>
        <w:jc w:val="both"/>
        <w:rPr>
          <w:rFonts w:ascii="宋体" w:hAnsi="宋体" w:eastAsia="宋体" w:cs="宋体"/>
          <w:b/>
          <w:bCs/>
          <w:sz w:val="24"/>
          <w:szCs w:val="24"/>
        </w:rPr>
      </w:pPr>
      <w:bookmarkStart w:id="7" w:name="_Hlt16619475"/>
      <w:bookmarkEnd w:id="7"/>
      <w:bookmarkStart w:id="8" w:name="_Toc458694821"/>
      <w:bookmarkStart w:id="9" w:name="_Toc513029204"/>
      <w:bookmarkStart w:id="10" w:name="_Toc20823276"/>
      <w:bookmarkStart w:id="11" w:name="_Toc16938520"/>
      <w:r>
        <w:rPr>
          <w:rFonts w:hint="eastAsia" w:ascii="宋体" w:hAnsi="宋体" w:eastAsia="宋体" w:cs="宋体"/>
          <w:sz w:val="24"/>
          <w:szCs w:val="24"/>
        </w:rPr>
        <w:t>1</w:t>
      </w:r>
      <w:bookmarkEnd w:id="8"/>
      <w:r>
        <w:rPr>
          <w:rFonts w:hint="eastAsia" w:ascii="宋体" w:hAnsi="宋体" w:eastAsia="宋体" w:cs="宋体"/>
          <w:sz w:val="24"/>
          <w:szCs w:val="24"/>
        </w:rPr>
        <w:t>.招标方式</w:t>
      </w:r>
      <w:bookmarkEnd w:id="9"/>
      <w:bookmarkEnd w:id="10"/>
      <w:bookmarkEnd w:id="11"/>
    </w:p>
    <w:p w14:paraId="5B284A07">
      <w:pPr>
        <w:adjustRightInd w:val="0"/>
        <w:snapToGrid w:val="0"/>
        <w:spacing w:line="42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0C9D3DE5">
      <w:pPr>
        <w:pStyle w:val="5"/>
        <w:adjustRightInd w:val="0"/>
        <w:snapToGrid w:val="0"/>
        <w:spacing w:line="420" w:lineRule="exact"/>
        <w:ind w:firstLine="480" w:firstLineChars="200"/>
        <w:jc w:val="both"/>
        <w:rPr>
          <w:rFonts w:ascii="宋体" w:hAnsi="宋体" w:eastAsia="宋体" w:cs="宋体"/>
          <w:b/>
          <w:bCs/>
          <w:sz w:val="24"/>
          <w:szCs w:val="24"/>
        </w:rPr>
      </w:pPr>
      <w:bookmarkStart w:id="12" w:name="_Toc513029205"/>
      <w:bookmarkStart w:id="13" w:name="_Toc20823277"/>
      <w:bookmarkStart w:id="14" w:name="_Toc16938521"/>
      <w:r>
        <w:rPr>
          <w:rFonts w:hint="eastAsia" w:ascii="宋体" w:hAnsi="宋体" w:eastAsia="宋体" w:cs="宋体"/>
          <w:sz w:val="24"/>
          <w:szCs w:val="24"/>
        </w:rPr>
        <w:t>2.合格的投标人</w:t>
      </w:r>
      <w:bookmarkEnd w:id="12"/>
      <w:bookmarkEnd w:id="13"/>
      <w:bookmarkEnd w:id="14"/>
    </w:p>
    <w:p w14:paraId="6925E6F6">
      <w:pPr>
        <w:adjustRightInd w:val="0"/>
        <w:snapToGrid w:val="0"/>
        <w:spacing w:line="42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36D9844E">
      <w:pPr>
        <w:adjustRightInd w:val="0"/>
        <w:snapToGrid w:val="0"/>
        <w:spacing w:line="420" w:lineRule="exact"/>
        <w:ind w:firstLine="480" w:firstLineChars="200"/>
        <w:rPr>
          <w:rFonts w:ascii="宋体" w:hAnsi="宋体" w:cs="宋体"/>
          <w:sz w:val="24"/>
        </w:rPr>
      </w:pPr>
      <w:r>
        <w:rPr>
          <w:rFonts w:hint="eastAsia" w:ascii="宋体" w:hAnsi="宋体" w:cs="宋体"/>
          <w:sz w:val="24"/>
        </w:rPr>
        <w:t>2.2 满足本文件实质性条款的规定。</w:t>
      </w:r>
    </w:p>
    <w:p w14:paraId="3E7E935B">
      <w:pPr>
        <w:pStyle w:val="5"/>
        <w:adjustRightInd w:val="0"/>
        <w:snapToGrid w:val="0"/>
        <w:spacing w:line="420" w:lineRule="exact"/>
        <w:ind w:firstLine="480" w:firstLineChars="200"/>
        <w:jc w:val="both"/>
        <w:rPr>
          <w:rFonts w:ascii="宋体" w:hAnsi="宋体" w:eastAsia="宋体" w:cs="宋体"/>
          <w:b/>
          <w:bCs/>
          <w:sz w:val="24"/>
          <w:szCs w:val="24"/>
        </w:rPr>
      </w:pPr>
      <w:bookmarkStart w:id="15" w:name="_Toc20823278"/>
      <w:bookmarkStart w:id="16" w:name="_Toc16938522"/>
      <w:bookmarkStart w:id="17" w:name="_Toc513029206"/>
      <w:r>
        <w:rPr>
          <w:rFonts w:hint="eastAsia" w:ascii="宋体" w:hAnsi="宋体" w:eastAsia="宋体" w:cs="宋体"/>
          <w:sz w:val="24"/>
          <w:szCs w:val="24"/>
        </w:rPr>
        <w:t>3.适用法律</w:t>
      </w:r>
      <w:bookmarkEnd w:id="15"/>
      <w:bookmarkEnd w:id="16"/>
      <w:bookmarkEnd w:id="17"/>
    </w:p>
    <w:p w14:paraId="3E638188">
      <w:pPr>
        <w:adjustRightInd w:val="0"/>
        <w:snapToGrid w:val="0"/>
        <w:spacing w:line="42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281F03BA">
      <w:pPr>
        <w:pStyle w:val="5"/>
        <w:adjustRightInd w:val="0"/>
        <w:snapToGrid w:val="0"/>
        <w:spacing w:line="420" w:lineRule="exact"/>
        <w:ind w:firstLine="480" w:firstLineChars="200"/>
        <w:jc w:val="both"/>
        <w:rPr>
          <w:rFonts w:ascii="宋体" w:hAnsi="宋体" w:eastAsia="宋体" w:cs="宋体"/>
          <w:b/>
          <w:bCs/>
          <w:sz w:val="24"/>
          <w:szCs w:val="24"/>
        </w:rPr>
      </w:pPr>
      <w:bookmarkStart w:id="18" w:name="_Toc462564067"/>
      <w:bookmarkStart w:id="19" w:name="_Toc20823279"/>
      <w:bookmarkStart w:id="20" w:name="_Toc513029207"/>
      <w:bookmarkStart w:id="21" w:name="_Toc16938523"/>
      <w:r>
        <w:rPr>
          <w:rFonts w:hint="eastAsia" w:ascii="宋体" w:hAnsi="宋体" w:eastAsia="宋体" w:cs="宋体"/>
          <w:sz w:val="24"/>
          <w:szCs w:val="24"/>
        </w:rPr>
        <w:t>4.投标费用</w:t>
      </w:r>
      <w:bookmarkEnd w:id="18"/>
      <w:bookmarkEnd w:id="19"/>
      <w:bookmarkEnd w:id="20"/>
      <w:bookmarkEnd w:id="21"/>
    </w:p>
    <w:p w14:paraId="7966AE80">
      <w:pPr>
        <w:adjustRightInd w:val="0"/>
        <w:snapToGrid w:val="0"/>
        <w:spacing w:line="460" w:lineRule="exact"/>
        <w:ind w:firstLine="480" w:firstLineChars="200"/>
        <w:rPr>
          <w:rFonts w:ascii="宋体" w:hAnsi="宋体" w:cs="宋体"/>
          <w:sz w:val="24"/>
        </w:rPr>
      </w:pPr>
      <w:r>
        <w:rPr>
          <w:rFonts w:hint="eastAsia" w:ascii="宋体" w:hAnsi="宋体" w:cs="宋体"/>
          <w:sz w:val="24"/>
        </w:rPr>
        <w:t>4.1 供应商应自行承担所有与参与投标有关的费用，无论投标过程中的做法和结果如何，南通永拓建设项目管理有限公司（以下简称招标代理机构）在任何情况下均无义务和责任承担这些费用。</w:t>
      </w:r>
    </w:p>
    <w:p w14:paraId="15A345C7">
      <w:pPr>
        <w:pStyle w:val="5"/>
        <w:adjustRightInd w:val="0"/>
        <w:snapToGrid w:val="0"/>
        <w:spacing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4.2本项目代理费4000元，评委费另计按实收取，由中标人承担；供应商报价时应综合考虑（不单列）。</w:t>
      </w:r>
    </w:p>
    <w:p w14:paraId="53394F82">
      <w:pPr>
        <w:pStyle w:val="5"/>
        <w:adjustRightInd w:val="0"/>
        <w:snapToGrid w:val="0"/>
        <w:spacing w:line="420" w:lineRule="exact"/>
        <w:ind w:firstLine="480" w:firstLineChars="200"/>
        <w:jc w:val="both"/>
        <w:rPr>
          <w:rFonts w:ascii="宋体" w:hAnsi="宋体" w:eastAsia="宋体" w:cs="宋体"/>
          <w:sz w:val="24"/>
          <w:szCs w:val="24"/>
        </w:rPr>
      </w:pPr>
      <w:r>
        <w:rPr>
          <w:rFonts w:hint="eastAsia" w:ascii="宋体" w:hAnsi="宋体" w:cs="宋体"/>
          <w:sz w:val="24"/>
          <w:szCs w:val="24"/>
        </w:rPr>
        <w:t>代理费、评委费等费用定标后由成交候选人支付给代理机构。因中标人原因导致中标结果变更或取消中标资格等，代理费等不予退还。</w:t>
      </w:r>
    </w:p>
    <w:p w14:paraId="4FEE5CE4">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5.招标文件的约束力</w:t>
      </w:r>
    </w:p>
    <w:p w14:paraId="24357986">
      <w:pPr>
        <w:adjustRightInd w:val="0"/>
        <w:snapToGrid w:val="0"/>
        <w:spacing w:line="420" w:lineRule="exact"/>
        <w:ind w:firstLine="480" w:firstLineChars="200"/>
        <w:rPr>
          <w:rFonts w:ascii="宋体" w:hAnsi="宋体" w:cs="宋体"/>
          <w:sz w:val="24"/>
        </w:rPr>
      </w:pPr>
      <w:r>
        <w:rPr>
          <w:rFonts w:hint="eastAsia" w:ascii="宋体" w:hAnsi="宋体" w:cs="宋体"/>
          <w:bCs/>
          <w:sz w:val="24"/>
        </w:rPr>
        <w:t>5.1</w:t>
      </w:r>
      <w:r>
        <w:rPr>
          <w:rFonts w:hint="eastAsia" w:ascii="宋体" w:hAnsi="宋体" w:cs="宋体"/>
          <w:sz w:val="24"/>
        </w:rPr>
        <w:t xml:space="preserve"> 投标人一旦参加本项目招标活动，即被认为接受了本招标文件的规定和约束。</w:t>
      </w:r>
    </w:p>
    <w:p w14:paraId="4EF5F668">
      <w:pPr>
        <w:pStyle w:val="5"/>
        <w:adjustRightInd w:val="0"/>
        <w:snapToGrid w:val="0"/>
        <w:spacing w:line="42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6.招标文件的解释</w:t>
      </w:r>
    </w:p>
    <w:p w14:paraId="74A1401F">
      <w:pPr>
        <w:adjustRightInd w:val="0"/>
        <w:snapToGrid w:val="0"/>
        <w:spacing w:line="420" w:lineRule="exact"/>
        <w:ind w:firstLine="480" w:firstLineChars="200"/>
        <w:rPr>
          <w:rFonts w:ascii="宋体" w:hAnsi="宋体" w:cs="宋体"/>
          <w:sz w:val="24"/>
        </w:rPr>
      </w:pPr>
      <w:r>
        <w:rPr>
          <w:rFonts w:hint="eastAsia" w:ascii="宋体" w:hAnsi="宋体" w:cs="宋体"/>
          <w:bCs/>
          <w:sz w:val="24"/>
        </w:rPr>
        <w:t>6.1</w:t>
      </w:r>
      <w:r>
        <w:rPr>
          <w:rFonts w:hint="eastAsia" w:ascii="宋体" w:hAnsi="宋体" w:cs="宋体"/>
          <w:sz w:val="24"/>
        </w:rPr>
        <w:t>招标文件需求部分（投标人资格要求、项目需求）由招标人解释，其他部分由代理机构解释。</w:t>
      </w:r>
    </w:p>
    <w:p w14:paraId="7597E7A6">
      <w:pPr>
        <w:pStyle w:val="4"/>
        <w:adjustRightInd w:val="0"/>
        <w:snapToGrid w:val="0"/>
        <w:spacing w:before="0" w:after="0" w:line="420" w:lineRule="exact"/>
        <w:ind w:firstLine="482" w:firstLineChars="200"/>
        <w:rPr>
          <w:rFonts w:ascii="宋体" w:hAnsi="宋体" w:cs="宋体"/>
          <w:sz w:val="24"/>
          <w:szCs w:val="24"/>
        </w:rPr>
      </w:pPr>
      <w:bookmarkStart w:id="22" w:name="_Toc20823281"/>
      <w:bookmarkStart w:id="23" w:name="_Toc16938525"/>
      <w:bookmarkStart w:id="24" w:name="_Toc513029209"/>
      <w:bookmarkStart w:id="25" w:name="_Toc120614215"/>
      <w:r>
        <w:rPr>
          <w:rFonts w:hint="eastAsia" w:ascii="宋体" w:hAnsi="宋体" w:cs="宋体"/>
          <w:sz w:val="24"/>
          <w:szCs w:val="24"/>
        </w:rPr>
        <w:t>二、招标文件</w:t>
      </w:r>
      <w:bookmarkEnd w:id="22"/>
      <w:bookmarkEnd w:id="23"/>
      <w:bookmarkEnd w:id="24"/>
      <w:bookmarkEnd w:id="25"/>
    </w:p>
    <w:p w14:paraId="0F26DF0F">
      <w:pPr>
        <w:pStyle w:val="5"/>
        <w:adjustRightInd w:val="0"/>
        <w:snapToGrid w:val="0"/>
        <w:spacing w:line="420" w:lineRule="exact"/>
        <w:ind w:firstLine="480" w:firstLineChars="200"/>
        <w:jc w:val="both"/>
        <w:rPr>
          <w:rFonts w:ascii="宋体" w:hAnsi="宋体" w:eastAsia="宋体" w:cs="宋体"/>
          <w:b/>
          <w:bCs/>
          <w:sz w:val="24"/>
          <w:szCs w:val="24"/>
        </w:rPr>
      </w:pPr>
      <w:bookmarkStart w:id="26" w:name="_Toc20823282"/>
      <w:bookmarkStart w:id="27" w:name="_Toc16938526"/>
      <w:bookmarkStart w:id="28" w:name="_Toc513029210"/>
      <w:r>
        <w:rPr>
          <w:rFonts w:hint="eastAsia" w:ascii="宋体" w:hAnsi="宋体" w:eastAsia="宋体" w:cs="宋体"/>
          <w:sz w:val="24"/>
          <w:szCs w:val="24"/>
        </w:rPr>
        <w:t>1.招标文件构成</w:t>
      </w:r>
      <w:bookmarkEnd w:id="26"/>
      <w:bookmarkEnd w:id="27"/>
      <w:bookmarkEnd w:id="28"/>
    </w:p>
    <w:p w14:paraId="6883964C">
      <w:pPr>
        <w:adjustRightInd w:val="0"/>
        <w:snapToGrid w:val="0"/>
        <w:spacing w:line="42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招标文件由以下部分组成：</w:t>
      </w:r>
    </w:p>
    <w:p w14:paraId="15103AB2">
      <w:pPr>
        <w:adjustRightInd w:val="0"/>
        <w:snapToGrid w:val="0"/>
        <w:spacing w:line="420" w:lineRule="exact"/>
        <w:ind w:firstLine="480" w:firstLineChars="200"/>
        <w:rPr>
          <w:rFonts w:ascii="宋体" w:hAnsi="宋体" w:cs="宋体"/>
          <w:sz w:val="24"/>
        </w:rPr>
      </w:pPr>
      <w:r>
        <w:rPr>
          <w:rFonts w:hint="eastAsia" w:ascii="宋体" w:hAnsi="宋体" w:cs="宋体"/>
          <w:sz w:val="24"/>
        </w:rPr>
        <w:t>（1）招标邀请</w:t>
      </w:r>
    </w:p>
    <w:p w14:paraId="008D50FE">
      <w:pPr>
        <w:adjustRightInd w:val="0"/>
        <w:snapToGrid w:val="0"/>
        <w:spacing w:line="420" w:lineRule="exact"/>
        <w:ind w:firstLine="480" w:firstLineChars="200"/>
        <w:rPr>
          <w:rFonts w:ascii="宋体" w:hAnsi="宋体" w:cs="宋体"/>
          <w:sz w:val="24"/>
        </w:rPr>
      </w:pPr>
      <w:r>
        <w:rPr>
          <w:rFonts w:hint="eastAsia" w:ascii="宋体" w:hAnsi="宋体" w:cs="宋体"/>
          <w:sz w:val="24"/>
        </w:rPr>
        <w:t>（2）投标须知</w:t>
      </w:r>
    </w:p>
    <w:p w14:paraId="1E3D1FDF">
      <w:pPr>
        <w:adjustRightInd w:val="0"/>
        <w:snapToGrid w:val="0"/>
        <w:spacing w:line="420" w:lineRule="exact"/>
        <w:ind w:firstLine="480" w:firstLineChars="200"/>
        <w:rPr>
          <w:rFonts w:ascii="宋体" w:hAnsi="宋体" w:cs="宋体"/>
          <w:sz w:val="24"/>
        </w:rPr>
      </w:pPr>
      <w:r>
        <w:rPr>
          <w:rFonts w:hint="eastAsia" w:ascii="宋体" w:hAnsi="宋体" w:cs="宋体"/>
          <w:sz w:val="24"/>
        </w:rPr>
        <w:t>（3）项目需求</w:t>
      </w:r>
    </w:p>
    <w:p w14:paraId="39273C7F">
      <w:pPr>
        <w:adjustRightInd w:val="0"/>
        <w:snapToGrid w:val="0"/>
        <w:spacing w:line="420" w:lineRule="exact"/>
        <w:ind w:firstLine="480" w:firstLineChars="200"/>
        <w:rPr>
          <w:rFonts w:ascii="宋体" w:hAnsi="宋体" w:cs="宋体"/>
          <w:sz w:val="24"/>
        </w:rPr>
      </w:pPr>
      <w:r>
        <w:rPr>
          <w:rFonts w:hint="eastAsia" w:ascii="宋体" w:hAnsi="宋体" w:cs="宋体"/>
          <w:sz w:val="24"/>
        </w:rPr>
        <w:t>（4）开标和评标</w:t>
      </w:r>
    </w:p>
    <w:p w14:paraId="6E92661A">
      <w:pPr>
        <w:adjustRightInd w:val="0"/>
        <w:snapToGrid w:val="0"/>
        <w:spacing w:line="420" w:lineRule="exact"/>
        <w:ind w:firstLine="480" w:firstLineChars="200"/>
        <w:rPr>
          <w:rFonts w:ascii="宋体" w:hAnsi="宋体" w:cs="宋体"/>
          <w:sz w:val="24"/>
        </w:rPr>
      </w:pPr>
      <w:r>
        <w:rPr>
          <w:rFonts w:hint="eastAsia" w:ascii="宋体" w:hAnsi="宋体" w:cs="宋体"/>
          <w:sz w:val="24"/>
        </w:rPr>
        <w:t>（5）投标文件组成</w:t>
      </w:r>
    </w:p>
    <w:p w14:paraId="02AF25AB">
      <w:pPr>
        <w:adjustRightInd w:val="0"/>
        <w:snapToGrid w:val="0"/>
        <w:spacing w:line="420" w:lineRule="exact"/>
        <w:ind w:firstLine="480" w:firstLineChars="200"/>
        <w:rPr>
          <w:rFonts w:ascii="宋体" w:hAnsi="宋体" w:cs="宋体"/>
          <w:sz w:val="24"/>
        </w:rPr>
      </w:pPr>
      <w:r>
        <w:rPr>
          <w:rFonts w:hint="eastAsia" w:ascii="宋体" w:hAnsi="宋体" w:cs="宋体"/>
          <w:sz w:val="24"/>
        </w:rPr>
        <w:t>（6）附件（如有）</w:t>
      </w:r>
    </w:p>
    <w:p w14:paraId="550A45CE">
      <w:pPr>
        <w:adjustRightInd w:val="0"/>
        <w:snapToGrid w:val="0"/>
        <w:spacing w:line="42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042ED4B8">
      <w:pPr>
        <w:adjustRightInd w:val="0"/>
        <w:snapToGrid w:val="0"/>
        <w:spacing w:line="42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6E70C9A">
      <w:pPr>
        <w:pStyle w:val="5"/>
        <w:adjustRightInd w:val="0"/>
        <w:snapToGrid w:val="0"/>
        <w:spacing w:line="420" w:lineRule="exact"/>
        <w:ind w:firstLine="480" w:firstLineChars="200"/>
        <w:jc w:val="both"/>
        <w:rPr>
          <w:rFonts w:ascii="宋体" w:hAnsi="宋体" w:eastAsia="宋体" w:cs="宋体"/>
          <w:b/>
          <w:bCs/>
          <w:sz w:val="24"/>
          <w:szCs w:val="24"/>
        </w:rPr>
      </w:pPr>
      <w:bookmarkStart w:id="29" w:name="_Toc513029211"/>
      <w:bookmarkStart w:id="30" w:name="_Toc20823283"/>
      <w:bookmarkStart w:id="31" w:name="_Toc16938527"/>
      <w:bookmarkStart w:id="32" w:name="_Toc462564070"/>
      <w:r>
        <w:rPr>
          <w:rFonts w:hint="eastAsia" w:ascii="宋体" w:hAnsi="宋体" w:eastAsia="宋体" w:cs="宋体"/>
          <w:sz w:val="24"/>
          <w:szCs w:val="24"/>
        </w:rPr>
        <w:t>2.招标文件的澄清</w:t>
      </w:r>
      <w:bookmarkEnd w:id="29"/>
      <w:bookmarkEnd w:id="30"/>
      <w:bookmarkEnd w:id="31"/>
      <w:bookmarkEnd w:id="32"/>
    </w:p>
    <w:p w14:paraId="121C03FF">
      <w:pPr>
        <w:adjustRightInd w:val="0"/>
        <w:snapToGrid w:val="0"/>
        <w:spacing w:line="42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任何要求对招标文件进行澄清的投标人，应在投标截止期十日前按招标公告中的通讯地址，以书面形式通知招标人。招标人有权对发出的招标文件进行必要的澄清或修改</w:t>
      </w:r>
    </w:p>
    <w:p w14:paraId="086C10C6">
      <w:pPr>
        <w:adjustRightInd w:val="0"/>
        <w:snapToGrid w:val="0"/>
        <w:spacing w:line="420" w:lineRule="exact"/>
        <w:ind w:firstLine="480" w:firstLineChars="200"/>
        <w:rPr>
          <w:rFonts w:ascii="宋体" w:hAnsi="宋体" w:cs="宋体"/>
          <w:sz w:val="24"/>
        </w:rPr>
      </w:pPr>
      <w:r>
        <w:rPr>
          <w:rFonts w:hint="eastAsia" w:ascii="宋体" w:hAnsi="宋体" w:cs="宋体"/>
          <w:sz w:val="24"/>
        </w:rPr>
        <w:t>2.2招标人视情组织答疑会</w:t>
      </w:r>
    </w:p>
    <w:p w14:paraId="6834E481">
      <w:pPr>
        <w:pStyle w:val="5"/>
        <w:adjustRightInd w:val="0"/>
        <w:snapToGrid w:val="0"/>
        <w:spacing w:line="420" w:lineRule="exact"/>
        <w:ind w:firstLine="480" w:firstLineChars="200"/>
        <w:jc w:val="both"/>
        <w:rPr>
          <w:rFonts w:ascii="宋体" w:hAnsi="宋体" w:eastAsia="宋体" w:cs="宋体"/>
          <w:b/>
          <w:bCs/>
          <w:sz w:val="24"/>
          <w:szCs w:val="24"/>
        </w:rPr>
      </w:pPr>
      <w:bookmarkStart w:id="33" w:name="_Toc513029212"/>
      <w:bookmarkStart w:id="34" w:name="_Toc462564071"/>
      <w:bookmarkStart w:id="35" w:name="_Toc16938528"/>
      <w:bookmarkStart w:id="36" w:name="_Toc20823284"/>
      <w:r>
        <w:rPr>
          <w:rFonts w:hint="eastAsia" w:ascii="宋体" w:hAnsi="宋体" w:eastAsia="宋体" w:cs="宋体"/>
          <w:sz w:val="24"/>
          <w:szCs w:val="24"/>
        </w:rPr>
        <w:t>3.招标文件的修改</w:t>
      </w:r>
      <w:bookmarkEnd w:id="33"/>
      <w:bookmarkEnd w:id="34"/>
      <w:bookmarkEnd w:id="35"/>
      <w:bookmarkEnd w:id="36"/>
    </w:p>
    <w:p w14:paraId="607825D8">
      <w:pPr>
        <w:adjustRightInd w:val="0"/>
        <w:snapToGrid w:val="0"/>
        <w:spacing w:line="420" w:lineRule="exact"/>
        <w:ind w:firstLine="480" w:firstLineChars="200"/>
        <w:rPr>
          <w:rFonts w:ascii="宋体" w:hAnsi="宋体" w:cs="宋体"/>
          <w:sz w:val="24"/>
        </w:rPr>
      </w:pPr>
      <w:r>
        <w:rPr>
          <w:rFonts w:hint="eastAsia" w:ascii="宋体" w:hAnsi="宋体" w:cs="宋体"/>
          <w:bCs/>
          <w:sz w:val="24"/>
        </w:rPr>
        <w:t>3.1</w:t>
      </w:r>
      <w:r>
        <w:rPr>
          <w:rFonts w:hint="eastAsia" w:ascii="宋体" w:hAnsi="宋体" w:cs="宋体"/>
          <w:sz w:val="24"/>
        </w:rPr>
        <w:t xml:space="preserve"> 在投标截止时间前，代理机构可以对招标文件进行修改。</w:t>
      </w:r>
    </w:p>
    <w:p w14:paraId="5524DB94">
      <w:pPr>
        <w:adjustRightInd w:val="0"/>
        <w:snapToGrid w:val="0"/>
        <w:spacing w:line="420" w:lineRule="exact"/>
        <w:ind w:firstLine="480" w:firstLineChars="200"/>
        <w:rPr>
          <w:rFonts w:ascii="宋体" w:hAnsi="宋体" w:cs="宋体"/>
          <w:sz w:val="24"/>
        </w:rPr>
      </w:pPr>
      <w:r>
        <w:rPr>
          <w:rFonts w:hint="eastAsia" w:ascii="宋体" w:hAnsi="宋体" w:cs="宋体"/>
          <w:bCs/>
          <w:sz w:val="24"/>
        </w:rPr>
        <w:t xml:space="preserve">3.2 </w:t>
      </w:r>
      <w:r>
        <w:rPr>
          <w:rFonts w:hint="eastAsia" w:ascii="宋体" w:hAnsi="宋体" w:cs="宋体"/>
          <w:sz w:val="24"/>
        </w:rPr>
        <w:t>代理机构有权按照法定的要求推迟投标截止日期和开标日期。</w:t>
      </w:r>
    </w:p>
    <w:p w14:paraId="0E323ED3">
      <w:pPr>
        <w:adjustRightInd w:val="0"/>
        <w:snapToGrid w:val="0"/>
        <w:spacing w:line="420" w:lineRule="exact"/>
        <w:ind w:firstLine="480" w:firstLineChars="200"/>
        <w:rPr>
          <w:rFonts w:ascii="宋体" w:hAnsi="宋体" w:cs="宋体"/>
          <w:sz w:val="24"/>
        </w:rPr>
      </w:pPr>
      <w:r>
        <w:rPr>
          <w:rFonts w:hint="eastAsia" w:ascii="宋体" w:hAnsi="宋体" w:cs="宋体"/>
          <w:bCs/>
          <w:sz w:val="24"/>
        </w:rPr>
        <w:t xml:space="preserve">3.3 </w:t>
      </w:r>
      <w:r>
        <w:rPr>
          <w:rFonts w:hint="eastAsia" w:ascii="宋体" w:hAnsi="宋体" w:cs="宋体"/>
          <w:sz w:val="24"/>
        </w:rPr>
        <w:t>招标文件的修改将在南通市崇川区人民政府网公布，补充文件将作为招标文件的组成部分，并对投标人具有约束力。</w:t>
      </w:r>
    </w:p>
    <w:p w14:paraId="49720AEB">
      <w:pPr>
        <w:pStyle w:val="4"/>
        <w:adjustRightInd w:val="0"/>
        <w:snapToGrid w:val="0"/>
        <w:spacing w:before="0" w:after="0" w:line="420" w:lineRule="exact"/>
        <w:ind w:firstLine="482" w:firstLineChars="200"/>
        <w:rPr>
          <w:rFonts w:ascii="宋体" w:hAnsi="宋体" w:cs="宋体"/>
          <w:sz w:val="24"/>
          <w:szCs w:val="24"/>
        </w:rPr>
      </w:pPr>
      <w:bookmarkStart w:id="37" w:name="_Toc20823285"/>
      <w:bookmarkStart w:id="38" w:name="_Toc513029213"/>
      <w:bookmarkStart w:id="39" w:name="_Toc120614216"/>
      <w:bookmarkStart w:id="40" w:name="_Toc462564072"/>
      <w:bookmarkStart w:id="41" w:name="_Toc16938529"/>
      <w:r>
        <w:rPr>
          <w:rFonts w:hint="eastAsia" w:ascii="宋体" w:hAnsi="宋体" w:cs="宋体"/>
          <w:sz w:val="24"/>
          <w:szCs w:val="24"/>
        </w:rPr>
        <w:t>三、投标文件的编制</w:t>
      </w:r>
      <w:bookmarkEnd w:id="37"/>
      <w:bookmarkEnd w:id="38"/>
      <w:bookmarkEnd w:id="39"/>
      <w:bookmarkEnd w:id="40"/>
      <w:bookmarkEnd w:id="41"/>
    </w:p>
    <w:p w14:paraId="03AF6E23">
      <w:pPr>
        <w:pStyle w:val="5"/>
        <w:adjustRightInd w:val="0"/>
        <w:snapToGrid w:val="0"/>
        <w:spacing w:line="420" w:lineRule="exact"/>
        <w:ind w:firstLine="480" w:firstLineChars="200"/>
        <w:jc w:val="both"/>
        <w:rPr>
          <w:rFonts w:ascii="宋体" w:hAnsi="宋体" w:eastAsia="宋体" w:cs="宋体"/>
          <w:bCs/>
          <w:sz w:val="24"/>
          <w:szCs w:val="24"/>
        </w:rPr>
      </w:pPr>
      <w:bookmarkStart w:id="42" w:name="_Toc513029214"/>
      <w:bookmarkStart w:id="43" w:name="_Toc20823286"/>
      <w:bookmarkStart w:id="44" w:name="_Toc462564073"/>
      <w:bookmarkStart w:id="45" w:name="_Toc16938530"/>
      <w:r>
        <w:rPr>
          <w:rFonts w:hint="eastAsia" w:ascii="宋体" w:hAnsi="宋体" w:eastAsia="宋体" w:cs="宋体"/>
          <w:sz w:val="24"/>
          <w:szCs w:val="24"/>
        </w:rPr>
        <w:t>1.投标文件的语言及度量衡单位</w:t>
      </w:r>
      <w:bookmarkEnd w:id="42"/>
      <w:bookmarkEnd w:id="43"/>
      <w:bookmarkEnd w:id="44"/>
      <w:bookmarkEnd w:id="45"/>
    </w:p>
    <w:p w14:paraId="18152A9B">
      <w:pPr>
        <w:adjustRightInd w:val="0"/>
        <w:snapToGrid w:val="0"/>
        <w:spacing w:line="42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投标人提交的投标文件以及投标人与代理机构就有关投标的所有来往通知、函件和文件均应使用</w:t>
      </w:r>
      <w:r>
        <w:rPr>
          <w:rFonts w:hint="eastAsia" w:ascii="宋体" w:hAnsi="宋体" w:cs="宋体"/>
          <w:bCs/>
          <w:sz w:val="24"/>
        </w:rPr>
        <w:t>简体中文</w:t>
      </w:r>
      <w:r>
        <w:rPr>
          <w:rFonts w:hint="eastAsia" w:ascii="宋体" w:hAnsi="宋体" w:cs="宋体"/>
          <w:sz w:val="24"/>
        </w:rPr>
        <w:t>。</w:t>
      </w:r>
    </w:p>
    <w:p w14:paraId="62CDE99A">
      <w:pPr>
        <w:adjustRightInd w:val="0"/>
        <w:snapToGrid w:val="0"/>
        <w:spacing w:line="42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除技术性能另有规定外，投标文件所使用的度量衡单位，均须采用国家法定计量单位。</w:t>
      </w:r>
    </w:p>
    <w:p w14:paraId="706ACED6">
      <w:pPr>
        <w:pStyle w:val="5"/>
        <w:adjustRightInd w:val="0"/>
        <w:snapToGrid w:val="0"/>
        <w:spacing w:line="420" w:lineRule="exact"/>
        <w:ind w:firstLine="480" w:firstLineChars="200"/>
        <w:jc w:val="both"/>
        <w:rPr>
          <w:rFonts w:ascii="宋体" w:hAnsi="宋体" w:eastAsia="宋体" w:cs="宋体"/>
          <w:b/>
          <w:bCs/>
          <w:sz w:val="24"/>
          <w:szCs w:val="24"/>
        </w:rPr>
      </w:pPr>
      <w:bookmarkStart w:id="46" w:name="_Toc513029215"/>
      <w:bookmarkStart w:id="47" w:name="_Toc462564074"/>
      <w:bookmarkStart w:id="48" w:name="_Toc20823287"/>
      <w:bookmarkStart w:id="49" w:name="_Toc16938531"/>
      <w:r>
        <w:rPr>
          <w:rFonts w:hint="eastAsia" w:ascii="宋体" w:hAnsi="宋体" w:eastAsia="宋体" w:cs="宋体"/>
          <w:sz w:val="24"/>
          <w:szCs w:val="24"/>
        </w:rPr>
        <w:t>2.投标文件构成</w:t>
      </w:r>
      <w:bookmarkEnd w:id="46"/>
      <w:bookmarkEnd w:id="47"/>
      <w:bookmarkEnd w:id="48"/>
      <w:bookmarkEnd w:id="49"/>
    </w:p>
    <w:p w14:paraId="0DC5C536">
      <w:pPr>
        <w:adjustRightInd w:val="0"/>
        <w:snapToGrid w:val="0"/>
        <w:spacing w:line="42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投标人编写的投标文件应包括资格审查文件、商务标文件。投标人按“第五部分 投标文件组成”要求编写投标文件</w:t>
      </w:r>
    </w:p>
    <w:p w14:paraId="790388B0">
      <w:pPr>
        <w:pStyle w:val="5"/>
        <w:adjustRightInd w:val="0"/>
        <w:snapToGrid w:val="0"/>
        <w:spacing w:line="420" w:lineRule="exact"/>
        <w:ind w:firstLine="480" w:firstLineChars="200"/>
        <w:jc w:val="both"/>
        <w:rPr>
          <w:rFonts w:ascii="宋体" w:hAnsi="宋体" w:eastAsia="宋体" w:cs="宋体"/>
          <w:b/>
          <w:bCs/>
          <w:sz w:val="24"/>
          <w:szCs w:val="24"/>
        </w:rPr>
      </w:pPr>
      <w:bookmarkStart w:id="50" w:name="_Hlt26954838"/>
      <w:bookmarkEnd w:id="50"/>
      <w:bookmarkStart w:id="51" w:name="_Hlt26670360"/>
      <w:bookmarkEnd w:id="51"/>
      <w:bookmarkStart w:id="52" w:name="_Hlt26668975"/>
      <w:bookmarkEnd w:id="52"/>
      <w:bookmarkStart w:id="53" w:name="_Toc14577360"/>
      <w:bookmarkStart w:id="54" w:name="_Toc49090511"/>
      <w:r>
        <w:rPr>
          <w:rFonts w:hint="eastAsia" w:ascii="宋体" w:hAnsi="宋体" w:eastAsia="宋体" w:cs="宋体"/>
          <w:sz w:val="24"/>
          <w:szCs w:val="24"/>
        </w:rPr>
        <w:t>3.投标有效期</w:t>
      </w:r>
      <w:bookmarkEnd w:id="53"/>
      <w:bookmarkEnd w:id="54"/>
    </w:p>
    <w:p w14:paraId="2978094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3.1投标有效期为代理机构规定的开标之日后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14:paraId="5C7FC0ED">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4.投标有效期的延长</w:t>
      </w:r>
    </w:p>
    <w:p w14:paraId="25C12E7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cs="宋体"/>
          <w:sz w:val="24"/>
        </w:rPr>
        <w:t>受投标有效期约束的所有权利与义务均延长至新的有效期</w:t>
      </w:r>
      <w:r>
        <w:rPr>
          <w:rFonts w:hint="eastAsia" w:ascii="宋体" w:hAnsi="宋体" w:cs="宋体"/>
          <w:bCs/>
          <w:sz w:val="24"/>
        </w:rPr>
        <w:t>。</w:t>
      </w:r>
    </w:p>
    <w:p w14:paraId="6042BA63">
      <w:pPr>
        <w:pStyle w:val="5"/>
        <w:adjustRightInd w:val="0"/>
        <w:snapToGrid w:val="0"/>
        <w:spacing w:line="42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5.投标人资格要求</w:t>
      </w:r>
    </w:p>
    <w:p w14:paraId="3737B72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5.1投标人应具备承担本项目的资格要求。</w:t>
      </w:r>
    </w:p>
    <w:p w14:paraId="45639D95">
      <w:pPr>
        <w:pStyle w:val="4"/>
        <w:adjustRightInd w:val="0"/>
        <w:snapToGrid w:val="0"/>
        <w:spacing w:before="0" w:after="0" w:line="420" w:lineRule="exact"/>
        <w:ind w:firstLine="482" w:firstLineChars="200"/>
        <w:rPr>
          <w:rFonts w:ascii="宋体" w:hAnsi="宋体" w:cs="宋体"/>
          <w:sz w:val="24"/>
          <w:szCs w:val="24"/>
        </w:rPr>
      </w:pPr>
      <w:bookmarkStart w:id="55" w:name="_Hlt26954739"/>
      <w:bookmarkEnd w:id="55"/>
      <w:bookmarkStart w:id="56" w:name="_Hlt26954852"/>
      <w:bookmarkEnd w:id="56"/>
      <w:bookmarkStart w:id="57" w:name="_Toc16938540"/>
      <w:bookmarkStart w:id="58" w:name="_Toc513029224"/>
      <w:bookmarkStart w:id="59" w:name="_Toc20823296"/>
      <w:bookmarkStart w:id="60" w:name="_Toc120614217"/>
      <w:r>
        <w:rPr>
          <w:rFonts w:hint="eastAsia" w:ascii="宋体" w:hAnsi="宋体" w:cs="宋体"/>
          <w:sz w:val="24"/>
          <w:szCs w:val="24"/>
        </w:rPr>
        <w:t>四、投标文件的递交</w:t>
      </w:r>
      <w:bookmarkEnd w:id="57"/>
      <w:bookmarkEnd w:id="58"/>
      <w:bookmarkEnd w:id="59"/>
      <w:bookmarkEnd w:id="60"/>
    </w:p>
    <w:p w14:paraId="77EE2B70">
      <w:pPr>
        <w:keepNext/>
        <w:adjustRightInd w:val="0"/>
        <w:snapToGrid w:val="0"/>
        <w:spacing w:line="420" w:lineRule="exact"/>
        <w:ind w:firstLine="480" w:firstLineChars="200"/>
        <w:outlineLvl w:val="3"/>
        <w:rPr>
          <w:rFonts w:ascii="宋体" w:hAnsi="宋体" w:cs="宋体"/>
          <w:b/>
          <w:bCs/>
          <w:kern w:val="0"/>
          <w:sz w:val="24"/>
        </w:rPr>
      </w:pPr>
      <w:bookmarkStart w:id="61" w:name="_Toc16938541"/>
      <w:bookmarkStart w:id="62" w:name="_Toc513029225"/>
      <w:bookmarkStart w:id="63" w:name="_Toc20823297"/>
      <w:bookmarkStart w:id="64" w:name="_Toc462564084"/>
      <w:bookmarkStart w:id="65" w:name="_Toc16938542"/>
      <w:bookmarkStart w:id="66" w:name="_Toc513029226"/>
      <w:bookmarkStart w:id="67" w:name="_Toc20823298"/>
      <w:r>
        <w:rPr>
          <w:rFonts w:hint="eastAsia" w:ascii="宋体" w:hAnsi="宋体" w:cs="宋体"/>
          <w:kern w:val="0"/>
          <w:sz w:val="24"/>
        </w:rPr>
        <w:t>1.响应文件</w:t>
      </w:r>
      <w:bookmarkEnd w:id="61"/>
      <w:bookmarkEnd w:id="62"/>
      <w:bookmarkEnd w:id="63"/>
      <w:bookmarkEnd w:id="64"/>
      <w:r>
        <w:rPr>
          <w:rFonts w:hint="eastAsia" w:ascii="宋体" w:hAnsi="宋体" w:cs="宋体"/>
          <w:kern w:val="0"/>
          <w:sz w:val="24"/>
        </w:rPr>
        <w:t>的提交</w:t>
      </w:r>
    </w:p>
    <w:p w14:paraId="72B3A1D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1.1纸质响应文件两部分内容（资格审查文件、商务标文件）须分别单独密封，</w:t>
      </w:r>
      <w:r>
        <w:rPr>
          <w:rFonts w:hint="eastAsia" w:ascii="宋体" w:hAnsi="宋体" w:cs="宋体"/>
          <w:bCs/>
          <w:sz w:val="24"/>
          <w:lang w:val="zh-CN"/>
        </w:rPr>
        <w:t>并牢</w:t>
      </w:r>
      <w:r>
        <w:rPr>
          <w:rFonts w:hint="eastAsia" w:ascii="宋体" w:hAnsi="宋体" w:cs="宋体"/>
          <w:bCs/>
          <w:sz w:val="24"/>
        </w:rPr>
        <w:t>固装订成册，不得相互混淆。商务标文件不得出现于其他响应文件中。</w:t>
      </w:r>
    </w:p>
    <w:p w14:paraId="179195C5">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1.2</w:t>
      </w:r>
      <w:r>
        <w:rPr>
          <w:rFonts w:hint="eastAsia" w:ascii="宋体" w:hAnsi="宋体" w:cs="宋体"/>
          <w:kern w:val="0"/>
          <w:sz w:val="24"/>
        </w:rPr>
        <w:t>纸质响应文件每一部分内容均须提供“正本一份、副本一份”纸质响应文件，并将每一部分内容的正本、副本及图纸类等（如需提供图纸等其他资料的话）合并密封，分别装在两个密封袋或密封箱内（如有A3大小的图纸类，可单独密封），密封完好以不泄露投标文件内容为主要判断依据（是否严格按照招标文件装袋提交不作为无效标判定依据）。</w:t>
      </w:r>
    </w:p>
    <w:p w14:paraId="00EC8156">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1.3纸质响应文件须</w:t>
      </w:r>
      <w:r>
        <w:rPr>
          <w:rFonts w:hint="eastAsia" w:ascii="宋体" w:hAnsi="宋体" w:cs="宋体"/>
          <w:bCs/>
          <w:sz w:val="24"/>
          <w:lang w:val="zh-CN"/>
        </w:rPr>
        <w:t>采用A4纸（</w:t>
      </w:r>
      <w:r>
        <w:rPr>
          <w:rFonts w:hint="eastAsia" w:ascii="宋体" w:hAnsi="宋体" w:cs="宋体"/>
          <w:bCs/>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67D8336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1.4递交时间：</w:t>
      </w:r>
      <w:r>
        <w:rPr>
          <w:rFonts w:hint="eastAsia" w:ascii="宋体" w:hAnsi="宋体" w:cs="宋体"/>
          <w:sz w:val="24"/>
        </w:rPr>
        <w:t>投标人</w:t>
      </w:r>
      <w:r>
        <w:rPr>
          <w:rFonts w:hint="eastAsia" w:ascii="宋体" w:hAnsi="宋体" w:cs="宋体"/>
          <w:bCs/>
          <w:sz w:val="24"/>
        </w:rPr>
        <w:t>须在规定的响应文件接收截止时间前送达指定地点。</w:t>
      </w:r>
      <w:r>
        <w:rPr>
          <w:rFonts w:hint="eastAsia" w:ascii="宋体" w:hAnsi="宋体" w:cs="宋体"/>
          <w:sz w:val="24"/>
        </w:rPr>
        <w:t>投标人</w:t>
      </w:r>
      <w:r>
        <w:rPr>
          <w:rFonts w:hint="eastAsia" w:ascii="宋体" w:hAnsi="宋体" w:cs="宋体"/>
          <w:bCs/>
          <w:sz w:val="24"/>
        </w:rPr>
        <w:t>提交投标文件，即视为已响应参加政府招标活动。</w:t>
      </w:r>
    </w:p>
    <w:p w14:paraId="6FBEB509">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友情提醒：代理机构将拒绝接收在响应文件接收截止时间后递交的响应文件。</w:t>
      </w:r>
    </w:p>
    <w:p w14:paraId="02F7D437">
      <w:pPr>
        <w:adjustRightInd w:val="0"/>
        <w:snapToGrid w:val="0"/>
        <w:spacing w:line="420" w:lineRule="exact"/>
        <w:ind w:firstLine="480" w:firstLineChars="200"/>
        <w:rPr>
          <w:rFonts w:ascii="宋体" w:hAnsi="宋体" w:cs="宋体"/>
          <w:b/>
          <w:sz w:val="24"/>
        </w:rPr>
      </w:pPr>
      <w:r>
        <w:rPr>
          <w:rFonts w:hint="eastAsia" w:ascii="宋体" w:hAnsi="宋体" w:cs="宋体"/>
          <w:sz w:val="24"/>
        </w:rPr>
        <w:t>2.投标截止日期</w:t>
      </w:r>
      <w:bookmarkEnd w:id="65"/>
      <w:bookmarkEnd w:id="66"/>
      <w:bookmarkEnd w:id="67"/>
    </w:p>
    <w:p w14:paraId="717CAC3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2.1 </w:t>
      </w:r>
      <w:r>
        <w:rPr>
          <w:rFonts w:hint="eastAsia" w:ascii="宋体" w:hAnsi="宋体" w:cs="宋体"/>
          <w:sz w:val="24"/>
        </w:rPr>
        <w:t>投标人</w:t>
      </w:r>
      <w:r>
        <w:rPr>
          <w:rFonts w:hint="eastAsia" w:ascii="宋体" w:hAnsi="宋体" w:cs="宋体"/>
          <w:bCs/>
          <w:sz w:val="24"/>
        </w:rPr>
        <w:t>提交响应文件的时间不得迟于招标公告中规定的响应文件提交截止时间。</w:t>
      </w:r>
    </w:p>
    <w:p w14:paraId="3FFF6C15">
      <w:pPr>
        <w:adjustRightInd w:val="0"/>
        <w:snapToGrid w:val="0"/>
        <w:spacing w:line="420" w:lineRule="exact"/>
        <w:ind w:firstLine="480" w:firstLineChars="200"/>
        <w:rPr>
          <w:rFonts w:ascii="宋体" w:hAnsi="宋体" w:cs="宋体"/>
          <w:bCs/>
          <w:sz w:val="24"/>
        </w:rPr>
      </w:pPr>
      <w:r>
        <w:rPr>
          <w:rFonts w:hint="eastAsia" w:ascii="宋体" w:hAnsi="宋体" w:cs="宋体"/>
          <w:sz w:val="24"/>
        </w:rPr>
        <w:t>投标人</w:t>
      </w:r>
      <w:r>
        <w:rPr>
          <w:rFonts w:hint="eastAsia" w:ascii="宋体" w:hAnsi="宋体" w:cs="宋体"/>
          <w:bCs/>
          <w:sz w:val="24"/>
        </w:rPr>
        <w:t>应充分考虑到交通路况、停车、疫情管控等风险因素，如因</w:t>
      </w:r>
      <w:r>
        <w:rPr>
          <w:rFonts w:hint="eastAsia" w:ascii="宋体" w:hAnsi="宋体" w:cs="宋体"/>
          <w:sz w:val="24"/>
        </w:rPr>
        <w:t>投标人</w:t>
      </w:r>
      <w:r>
        <w:rPr>
          <w:rFonts w:hint="eastAsia" w:ascii="宋体" w:hAnsi="宋体" w:cs="宋体"/>
          <w:bCs/>
          <w:sz w:val="24"/>
        </w:rPr>
        <w:t>自身原因造成的投标响应文件提交不成功由</w:t>
      </w:r>
      <w:r>
        <w:rPr>
          <w:rFonts w:hint="eastAsia" w:ascii="宋体" w:hAnsi="宋体" w:cs="宋体"/>
          <w:sz w:val="24"/>
        </w:rPr>
        <w:t>投标人</w:t>
      </w:r>
      <w:r>
        <w:rPr>
          <w:rFonts w:hint="eastAsia" w:ascii="宋体" w:hAnsi="宋体" w:cs="宋体"/>
          <w:bCs/>
          <w:sz w:val="24"/>
        </w:rPr>
        <w:t>自行承担全部责任。</w:t>
      </w:r>
    </w:p>
    <w:p w14:paraId="37FE8C1F">
      <w:pPr>
        <w:adjustRightInd w:val="0"/>
        <w:snapToGrid w:val="0"/>
        <w:spacing w:line="420" w:lineRule="exact"/>
        <w:ind w:firstLine="480" w:firstLineChars="200"/>
        <w:rPr>
          <w:rFonts w:ascii="宋体" w:hAnsi="宋体" w:cs="宋体"/>
          <w:bCs/>
          <w:sz w:val="24"/>
        </w:rPr>
      </w:pPr>
      <w:r>
        <w:rPr>
          <w:rFonts w:hint="eastAsia" w:ascii="宋体" w:hAnsi="宋体" w:cs="宋体"/>
          <w:sz w:val="24"/>
        </w:rPr>
        <w:t>2.2</w:t>
      </w:r>
      <w:r>
        <w:rPr>
          <w:rFonts w:hint="eastAsia" w:ascii="宋体" w:hAnsi="宋体" w:cs="宋体"/>
          <w:bCs/>
          <w:sz w:val="24"/>
        </w:rPr>
        <w:t>代理机构可以按照规定，通过修改招标文件酌情延长投标截止日期，在此情况下，投标人的所有权利和义务以及投标人受制的截止日期均应以延长后新的截止日期为准。</w:t>
      </w:r>
    </w:p>
    <w:p w14:paraId="5CC9CE8C">
      <w:pPr>
        <w:pStyle w:val="5"/>
        <w:adjustRightInd w:val="0"/>
        <w:snapToGrid w:val="0"/>
        <w:spacing w:line="420" w:lineRule="exact"/>
        <w:ind w:firstLine="480" w:firstLineChars="200"/>
        <w:jc w:val="both"/>
        <w:rPr>
          <w:rFonts w:ascii="宋体" w:hAnsi="宋体" w:eastAsia="宋体" w:cs="宋体"/>
          <w:b/>
          <w:bCs/>
          <w:sz w:val="24"/>
          <w:szCs w:val="24"/>
        </w:rPr>
      </w:pPr>
      <w:bookmarkStart w:id="68" w:name="_Toc513029227"/>
      <w:bookmarkStart w:id="69" w:name="_Toc20823299"/>
      <w:bookmarkStart w:id="70" w:name="_Toc16938543"/>
      <w:r>
        <w:rPr>
          <w:rFonts w:hint="eastAsia" w:ascii="宋体" w:hAnsi="宋体" w:eastAsia="宋体" w:cs="宋体"/>
          <w:sz w:val="24"/>
          <w:szCs w:val="24"/>
        </w:rPr>
        <w:t>3.投标文件</w:t>
      </w:r>
      <w:bookmarkEnd w:id="68"/>
      <w:bookmarkEnd w:id="69"/>
      <w:bookmarkEnd w:id="70"/>
      <w:r>
        <w:rPr>
          <w:rFonts w:hint="eastAsia" w:ascii="宋体" w:hAnsi="宋体" w:eastAsia="宋体" w:cs="宋体"/>
          <w:sz w:val="24"/>
          <w:szCs w:val="24"/>
        </w:rPr>
        <w:t>的拒收</w:t>
      </w:r>
    </w:p>
    <w:p w14:paraId="22B75805">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3.1 代理机构拒绝接收在其规定的投标截止时间后提交的任何投标文件。</w:t>
      </w:r>
    </w:p>
    <w:p w14:paraId="7B7E85AC">
      <w:pPr>
        <w:pStyle w:val="5"/>
        <w:adjustRightInd w:val="0"/>
        <w:snapToGrid w:val="0"/>
        <w:spacing w:line="420" w:lineRule="exact"/>
        <w:ind w:firstLine="480" w:firstLineChars="200"/>
        <w:jc w:val="both"/>
        <w:rPr>
          <w:rFonts w:ascii="宋体" w:hAnsi="宋体" w:eastAsia="宋体" w:cs="宋体"/>
          <w:b/>
          <w:bCs/>
          <w:sz w:val="24"/>
          <w:szCs w:val="24"/>
        </w:rPr>
      </w:pPr>
      <w:bookmarkStart w:id="71" w:name="_Toc513029228"/>
      <w:bookmarkStart w:id="72" w:name="_Toc20823300"/>
      <w:bookmarkStart w:id="73" w:name="_Toc16938544"/>
      <w:r>
        <w:rPr>
          <w:rFonts w:hint="eastAsia" w:ascii="宋体" w:hAnsi="宋体" w:eastAsia="宋体" w:cs="宋体"/>
          <w:sz w:val="24"/>
          <w:szCs w:val="24"/>
        </w:rPr>
        <w:t>4.投标文件的撤回和修改</w:t>
      </w:r>
      <w:bookmarkEnd w:id="71"/>
      <w:bookmarkEnd w:id="72"/>
      <w:bookmarkEnd w:id="73"/>
    </w:p>
    <w:p w14:paraId="257E140D">
      <w:pPr>
        <w:adjustRightInd w:val="0"/>
        <w:snapToGrid w:val="0"/>
        <w:spacing w:line="420" w:lineRule="exact"/>
        <w:ind w:firstLine="480" w:firstLineChars="200"/>
        <w:rPr>
          <w:rFonts w:ascii="宋体" w:hAnsi="宋体" w:cs="宋体"/>
          <w:sz w:val="24"/>
        </w:rPr>
      </w:pPr>
      <w:r>
        <w:rPr>
          <w:rFonts w:hint="eastAsia" w:ascii="宋体" w:hAnsi="宋体" w:cs="宋体"/>
          <w:sz w:val="24"/>
        </w:rPr>
        <w:t>4.1 响应文件的撤回</w:t>
      </w:r>
    </w:p>
    <w:p w14:paraId="6BA6915C">
      <w:pPr>
        <w:adjustRightInd w:val="0"/>
        <w:snapToGrid w:val="0"/>
        <w:spacing w:line="42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03386AFF">
      <w:pPr>
        <w:adjustRightInd w:val="0"/>
        <w:snapToGrid w:val="0"/>
        <w:spacing w:line="42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4C4362B9">
      <w:pPr>
        <w:adjustRightInd w:val="0"/>
        <w:snapToGrid w:val="0"/>
        <w:spacing w:line="420" w:lineRule="exact"/>
        <w:ind w:firstLine="480" w:firstLineChars="200"/>
        <w:rPr>
          <w:rFonts w:ascii="宋体" w:hAnsi="宋体" w:cs="宋体"/>
          <w:sz w:val="24"/>
        </w:rPr>
      </w:pPr>
      <w:r>
        <w:rPr>
          <w:rFonts w:hint="eastAsia" w:ascii="宋体" w:hAnsi="宋体" w:cs="宋体"/>
          <w:sz w:val="24"/>
        </w:rPr>
        <w:t>4.2 投标文件的修改</w:t>
      </w:r>
    </w:p>
    <w:p w14:paraId="1588F87E">
      <w:pPr>
        <w:adjustRightInd w:val="0"/>
        <w:snapToGrid w:val="0"/>
        <w:spacing w:line="420" w:lineRule="exact"/>
        <w:ind w:firstLine="480" w:firstLineChars="200"/>
        <w:rPr>
          <w:rFonts w:ascii="宋体" w:hAnsi="宋体" w:cs="宋体"/>
          <w:sz w:val="24"/>
        </w:rPr>
      </w:pPr>
      <w:bookmarkStart w:id="74" w:name="_Toc16938545"/>
      <w:bookmarkStart w:id="75" w:name="_Toc120614218"/>
      <w:bookmarkStart w:id="76" w:name="_Toc513029229"/>
      <w:bookmarkStart w:id="77" w:name="_Toc20823301"/>
      <w:r>
        <w:rPr>
          <w:rFonts w:hint="eastAsia" w:ascii="宋体" w:hAnsi="宋体" w:cs="宋体"/>
          <w:sz w:val="24"/>
        </w:rPr>
        <w:t>在响应文件提交截止时间之后，投标人不得再对其提交的响应文件进行修改。</w:t>
      </w:r>
    </w:p>
    <w:p w14:paraId="15D8FE5F">
      <w:pPr>
        <w:pStyle w:val="4"/>
        <w:adjustRightInd w:val="0"/>
        <w:snapToGrid w:val="0"/>
        <w:spacing w:before="0" w:after="0" w:line="420" w:lineRule="exact"/>
        <w:ind w:firstLine="482" w:firstLineChars="200"/>
        <w:rPr>
          <w:rFonts w:ascii="宋体" w:hAnsi="宋体" w:cs="宋体"/>
          <w:sz w:val="24"/>
          <w:szCs w:val="24"/>
        </w:rPr>
      </w:pPr>
      <w:r>
        <w:rPr>
          <w:rFonts w:hint="eastAsia" w:ascii="宋体" w:hAnsi="宋体" w:cs="宋体"/>
          <w:sz w:val="24"/>
          <w:szCs w:val="24"/>
        </w:rPr>
        <w:t>五、开标与评标</w:t>
      </w:r>
      <w:bookmarkEnd w:id="74"/>
      <w:bookmarkEnd w:id="75"/>
      <w:bookmarkEnd w:id="76"/>
      <w:bookmarkEnd w:id="77"/>
    </w:p>
    <w:p w14:paraId="50EE4BA1">
      <w:pPr>
        <w:pStyle w:val="5"/>
        <w:adjustRightInd w:val="0"/>
        <w:snapToGrid w:val="0"/>
        <w:spacing w:line="420" w:lineRule="exact"/>
        <w:ind w:firstLine="480" w:firstLineChars="200"/>
        <w:jc w:val="both"/>
        <w:rPr>
          <w:rFonts w:ascii="宋体" w:hAnsi="宋体" w:eastAsia="宋体" w:cs="宋体"/>
          <w:b/>
          <w:bCs/>
          <w:sz w:val="24"/>
          <w:szCs w:val="24"/>
        </w:rPr>
      </w:pPr>
      <w:bookmarkStart w:id="78" w:name="_Toc20823302"/>
      <w:bookmarkStart w:id="79" w:name="_Toc513029230"/>
      <w:bookmarkStart w:id="80" w:name="_Toc16938546"/>
      <w:r>
        <w:rPr>
          <w:rFonts w:hint="eastAsia" w:ascii="宋体" w:hAnsi="宋体" w:eastAsia="宋体" w:cs="宋体"/>
          <w:sz w:val="24"/>
          <w:szCs w:val="24"/>
        </w:rPr>
        <w:t>1开标</w:t>
      </w:r>
      <w:bookmarkEnd w:id="78"/>
      <w:bookmarkEnd w:id="79"/>
      <w:bookmarkEnd w:id="80"/>
    </w:p>
    <w:p w14:paraId="5129C924">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1.1 代理机构将在招标公告中规定的时间和地点组织公开开标。投标人应当按时在指定地点参加开标活动。</w:t>
      </w:r>
    </w:p>
    <w:p w14:paraId="06F7FDAE">
      <w:pPr>
        <w:adjustRightInd w:val="0"/>
        <w:snapToGrid w:val="0"/>
        <w:spacing w:line="420" w:lineRule="exact"/>
        <w:ind w:firstLine="480" w:firstLineChars="200"/>
        <w:rPr>
          <w:rFonts w:ascii="宋体" w:hAnsi="宋体" w:cs="宋体"/>
          <w:sz w:val="24"/>
        </w:rPr>
      </w:pPr>
      <w:r>
        <w:rPr>
          <w:rFonts w:hint="eastAsia" w:ascii="宋体" w:hAnsi="宋体" w:cs="宋体"/>
          <w:bCs/>
          <w:sz w:val="24"/>
        </w:rPr>
        <w:t>1.2开标仪</w:t>
      </w:r>
      <w:r>
        <w:rPr>
          <w:rFonts w:hint="eastAsia" w:ascii="宋体" w:hAnsi="宋体" w:cs="宋体"/>
          <w:sz w:val="24"/>
        </w:rPr>
        <w:t>式由代理机构组织。</w:t>
      </w:r>
    </w:p>
    <w:p w14:paraId="56BC446E">
      <w:pPr>
        <w:pStyle w:val="5"/>
        <w:adjustRightInd w:val="0"/>
        <w:snapToGrid w:val="0"/>
        <w:spacing w:line="420" w:lineRule="exact"/>
        <w:ind w:firstLine="480" w:firstLineChars="200"/>
        <w:jc w:val="both"/>
        <w:rPr>
          <w:rFonts w:ascii="宋体" w:hAnsi="宋体" w:eastAsia="宋体" w:cs="宋体"/>
          <w:b/>
          <w:bCs/>
          <w:sz w:val="24"/>
          <w:szCs w:val="24"/>
        </w:rPr>
      </w:pPr>
      <w:bookmarkStart w:id="81" w:name="_Toc16938547"/>
      <w:bookmarkStart w:id="82" w:name="_Toc513029231"/>
      <w:bookmarkStart w:id="83" w:name="_Toc20823303"/>
      <w:r>
        <w:rPr>
          <w:rFonts w:hint="eastAsia" w:ascii="宋体" w:hAnsi="宋体" w:eastAsia="宋体" w:cs="宋体"/>
          <w:sz w:val="24"/>
          <w:szCs w:val="24"/>
        </w:rPr>
        <w:t>2评标委员会</w:t>
      </w:r>
    </w:p>
    <w:p w14:paraId="3DF18505">
      <w:pPr>
        <w:adjustRightInd w:val="0"/>
        <w:snapToGrid w:val="0"/>
        <w:spacing w:line="420" w:lineRule="exact"/>
        <w:ind w:firstLine="480" w:firstLineChars="200"/>
        <w:rPr>
          <w:rFonts w:ascii="宋体" w:hAnsi="宋体" w:cs="宋体"/>
          <w:b/>
          <w:sz w:val="24"/>
        </w:rPr>
      </w:pPr>
      <w:r>
        <w:rPr>
          <w:rFonts w:hint="eastAsia" w:ascii="宋体" w:hAnsi="宋体" w:cs="宋体"/>
          <w:sz w:val="24"/>
        </w:rPr>
        <w:t>2.1开标后，代理机构将立即组织评标委员会（以下简称评委会）进行评标。</w:t>
      </w:r>
    </w:p>
    <w:p w14:paraId="060BE4F8">
      <w:pPr>
        <w:adjustRightInd w:val="0"/>
        <w:snapToGrid w:val="0"/>
        <w:spacing w:line="42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评委会由招标人代表和有关技术、经济等方面的专家组成，且人员构成符合政府招标有关规定。</w:t>
      </w:r>
    </w:p>
    <w:p w14:paraId="7ACF1F96">
      <w:pPr>
        <w:adjustRightInd w:val="0"/>
        <w:snapToGrid w:val="0"/>
        <w:spacing w:line="42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4FB0BD80">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3.评标过程的保密与公正</w:t>
      </w:r>
    </w:p>
    <w:bookmarkEnd w:id="81"/>
    <w:bookmarkEnd w:id="82"/>
    <w:bookmarkEnd w:id="83"/>
    <w:p w14:paraId="13C0735F">
      <w:pPr>
        <w:adjustRightInd w:val="0"/>
        <w:snapToGrid w:val="0"/>
        <w:spacing w:line="420" w:lineRule="exact"/>
        <w:ind w:firstLine="480" w:firstLineChars="200"/>
        <w:rPr>
          <w:rFonts w:ascii="宋体" w:hAnsi="宋体" w:cs="宋体"/>
          <w:bCs/>
          <w:sz w:val="24"/>
        </w:rPr>
      </w:pPr>
      <w:r>
        <w:rPr>
          <w:rFonts w:hint="eastAsia" w:ascii="宋体" w:hAnsi="宋体" w:cs="宋体"/>
          <w:sz w:val="24"/>
        </w:rPr>
        <w:t>3.1</w:t>
      </w:r>
      <w:r>
        <w:rPr>
          <w:rFonts w:hint="eastAsia" w:ascii="宋体" w:hAnsi="宋体" w:cs="宋体"/>
          <w:bCs/>
          <w:sz w:val="24"/>
        </w:rPr>
        <w:t>公开开标后，直至向中标的投标人授予合同时止，凡是与审查、澄清、评价和比较投标的有关资料以及授标建议等，招标人、评委、代理机构均不得向投标人或与评标无关的其他人员透露。</w:t>
      </w:r>
    </w:p>
    <w:p w14:paraId="5FA7D9F0">
      <w:pPr>
        <w:adjustRightInd w:val="0"/>
        <w:snapToGrid w:val="0"/>
        <w:spacing w:line="42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4C7F5D38">
      <w:pPr>
        <w:adjustRightInd w:val="0"/>
        <w:snapToGrid w:val="0"/>
        <w:spacing w:line="42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F17E397">
      <w:pPr>
        <w:adjustRightInd w:val="0"/>
        <w:snapToGrid w:val="0"/>
        <w:spacing w:line="42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F9FDD7D">
      <w:pPr>
        <w:adjustRightInd w:val="0"/>
        <w:snapToGrid w:val="0"/>
        <w:spacing w:line="420" w:lineRule="exact"/>
        <w:ind w:firstLine="480" w:firstLineChars="200"/>
        <w:rPr>
          <w:rFonts w:ascii="宋体" w:hAnsi="宋体" w:cs="宋体"/>
          <w:sz w:val="24"/>
        </w:rPr>
      </w:pPr>
      <w:r>
        <w:rPr>
          <w:rFonts w:hint="eastAsia" w:ascii="宋体" w:hAnsi="宋体" w:cs="宋体"/>
          <w:sz w:val="24"/>
        </w:rPr>
        <w:t>3.5 采用综合评分法的项目，公布评标结果时一并公布所有投标人的评审得分及排序情况。</w:t>
      </w:r>
    </w:p>
    <w:p w14:paraId="79307FBC">
      <w:pPr>
        <w:pStyle w:val="5"/>
        <w:adjustRightInd w:val="0"/>
        <w:snapToGrid w:val="0"/>
        <w:spacing w:line="420" w:lineRule="exact"/>
        <w:ind w:firstLine="480" w:firstLineChars="200"/>
        <w:jc w:val="both"/>
        <w:rPr>
          <w:rFonts w:ascii="宋体" w:hAnsi="宋体" w:eastAsia="宋体" w:cs="宋体"/>
          <w:b/>
          <w:bCs/>
          <w:sz w:val="24"/>
          <w:szCs w:val="24"/>
        </w:rPr>
      </w:pPr>
      <w:bookmarkStart w:id="84" w:name="_Toc513029232"/>
      <w:bookmarkStart w:id="85" w:name="_Toc20823304"/>
      <w:bookmarkStart w:id="86" w:name="_Toc16938548"/>
      <w:r>
        <w:rPr>
          <w:rFonts w:hint="eastAsia" w:ascii="宋体" w:hAnsi="宋体" w:eastAsia="宋体" w:cs="宋体"/>
          <w:sz w:val="24"/>
          <w:szCs w:val="24"/>
        </w:rPr>
        <w:t>4.投标的澄清</w:t>
      </w:r>
      <w:bookmarkEnd w:id="84"/>
      <w:bookmarkEnd w:id="85"/>
      <w:bookmarkEnd w:id="86"/>
    </w:p>
    <w:p w14:paraId="6507C1C7">
      <w:pPr>
        <w:adjustRightInd w:val="0"/>
        <w:snapToGrid w:val="0"/>
        <w:spacing w:line="420" w:lineRule="exact"/>
        <w:ind w:firstLine="480" w:firstLineChars="200"/>
        <w:rPr>
          <w:rFonts w:ascii="宋体" w:hAnsi="宋体" w:cs="宋体"/>
          <w:sz w:val="24"/>
        </w:rPr>
      </w:pPr>
      <w:r>
        <w:rPr>
          <w:rFonts w:hint="eastAsia" w:ascii="宋体" w:hAnsi="宋体" w:cs="宋体"/>
          <w:sz w:val="24"/>
        </w:rPr>
        <w:t>4.1评标期间，为有助于投标文件的审查、评价和比较，评委会有权要求投标人对其投标文件进行澄清，但并非对每个投标人都作澄清要求。</w:t>
      </w:r>
    </w:p>
    <w:p w14:paraId="5436BE74">
      <w:pPr>
        <w:adjustRightInd w:val="0"/>
        <w:snapToGrid w:val="0"/>
        <w:spacing w:line="42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1E29D68">
      <w:pPr>
        <w:adjustRightInd w:val="0"/>
        <w:snapToGrid w:val="0"/>
        <w:spacing w:line="420" w:lineRule="exact"/>
        <w:ind w:firstLine="480" w:firstLineChars="200"/>
        <w:rPr>
          <w:rFonts w:ascii="宋体" w:hAnsi="宋体" w:cs="宋体"/>
          <w:sz w:val="24"/>
        </w:rPr>
      </w:pPr>
      <w:r>
        <w:rPr>
          <w:rFonts w:hint="eastAsia" w:ascii="宋体" w:hAnsi="宋体" w:cs="宋体"/>
          <w:sz w:val="24"/>
        </w:rPr>
        <w:t>4.3 接到评委会澄清要求的投标人如未按规定作出澄清，其风险由投标人自行承担。</w:t>
      </w:r>
    </w:p>
    <w:p w14:paraId="6EB7421A">
      <w:pPr>
        <w:pStyle w:val="5"/>
        <w:adjustRightInd w:val="0"/>
        <w:snapToGrid w:val="0"/>
        <w:spacing w:line="420" w:lineRule="exact"/>
        <w:ind w:firstLine="480" w:firstLineChars="200"/>
        <w:jc w:val="both"/>
        <w:rPr>
          <w:rFonts w:ascii="宋体" w:hAnsi="宋体" w:eastAsia="宋体" w:cs="宋体"/>
          <w:b/>
          <w:bCs/>
          <w:sz w:val="24"/>
          <w:szCs w:val="24"/>
        </w:rPr>
      </w:pPr>
      <w:bookmarkStart w:id="87" w:name="_Toc16938549"/>
      <w:bookmarkStart w:id="88" w:name="_Toc513029233"/>
      <w:bookmarkStart w:id="89" w:name="_Toc20823305"/>
      <w:r>
        <w:rPr>
          <w:rFonts w:hint="eastAsia" w:ascii="宋体" w:hAnsi="宋体" w:eastAsia="宋体" w:cs="宋体"/>
          <w:sz w:val="24"/>
          <w:szCs w:val="24"/>
        </w:rPr>
        <w:t>5对投标文件的初审</w:t>
      </w:r>
      <w:bookmarkEnd w:id="87"/>
      <w:bookmarkEnd w:id="88"/>
      <w:bookmarkEnd w:id="89"/>
    </w:p>
    <w:p w14:paraId="50A47B32">
      <w:pPr>
        <w:adjustRightInd w:val="0"/>
        <w:snapToGrid w:val="0"/>
        <w:spacing w:line="420" w:lineRule="exact"/>
        <w:ind w:firstLine="480" w:firstLineChars="200"/>
        <w:rPr>
          <w:rFonts w:ascii="宋体" w:hAnsi="宋体" w:cs="宋体"/>
          <w:bCs/>
          <w:sz w:val="24"/>
        </w:rPr>
      </w:pPr>
      <w:r>
        <w:rPr>
          <w:rFonts w:hint="eastAsia" w:ascii="宋体" w:hAnsi="宋体" w:cs="宋体"/>
          <w:sz w:val="24"/>
        </w:rPr>
        <w:t>5.1</w:t>
      </w:r>
      <w:r>
        <w:rPr>
          <w:rFonts w:hint="eastAsia" w:ascii="宋体" w:hAnsi="宋体" w:cs="宋体"/>
          <w:bCs/>
          <w:sz w:val="24"/>
        </w:rPr>
        <w:t>投标文件初审分为资格审查和符合性审查。</w:t>
      </w:r>
    </w:p>
    <w:p w14:paraId="649E18F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5.1.1 资格审查：依据法律法规和招标文件的规定，由招标人对投标文件中的资格证明文件进行审查。</w:t>
      </w:r>
    </w:p>
    <w:p w14:paraId="3AA25626">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5.1.2 符合性审查：依据招标文件的规定，由评委会从投标文件的有效性、完整性和对招标文件的响应程度进行审查，以确定是否对招标文件的实质性要求作出响应。</w:t>
      </w:r>
    </w:p>
    <w:p w14:paraId="69690C74">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5.1.3 未通过资格审查或符合性审查的投标人，代理机构将告知未通过资格审查或符合性审查的原因。</w:t>
      </w:r>
    </w:p>
    <w:p w14:paraId="2EC1C859">
      <w:pPr>
        <w:adjustRightInd w:val="0"/>
        <w:snapToGrid w:val="0"/>
        <w:spacing w:line="42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E8CE508">
      <w:pPr>
        <w:adjustRightInd w:val="0"/>
        <w:snapToGrid w:val="0"/>
        <w:spacing w:line="420" w:lineRule="exact"/>
        <w:ind w:firstLine="480" w:firstLineChars="200"/>
        <w:rPr>
          <w:rFonts w:ascii="宋体" w:hAnsi="宋体" w:cs="宋体"/>
          <w:bCs/>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14:paraId="70F1E349">
      <w:pPr>
        <w:adjustRightInd w:val="0"/>
        <w:snapToGrid w:val="0"/>
        <w:spacing w:line="420" w:lineRule="exact"/>
        <w:ind w:firstLine="480" w:firstLineChars="200"/>
        <w:rPr>
          <w:rFonts w:ascii="宋体" w:hAnsi="宋体" w:cs="宋体"/>
          <w:bCs/>
          <w:sz w:val="24"/>
        </w:rPr>
      </w:pPr>
      <w:r>
        <w:rPr>
          <w:rFonts w:hint="eastAsia" w:ascii="宋体" w:hAnsi="宋体" w:cs="宋体"/>
          <w:sz w:val="24"/>
        </w:rPr>
        <w:t>5.3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14:paraId="5660747F">
      <w:pPr>
        <w:adjustRightInd w:val="0"/>
        <w:snapToGrid w:val="0"/>
        <w:spacing w:line="420" w:lineRule="exact"/>
        <w:ind w:firstLine="480" w:firstLineChars="200"/>
        <w:rPr>
          <w:rFonts w:ascii="宋体" w:hAnsi="宋体" w:cs="宋体"/>
          <w:bCs/>
          <w:sz w:val="24"/>
        </w:rPr>
      </w:pPr>
      <w:r>
        <w:rPr>
          <w:rFonts w:hint="eastAsia" w:ascii="宋体" w:hAnsi="宋体" w:cs="宋体"/>
          <w:sz w:val="24"/>
        </w:rPr>
        <w:t>5.4</w:t>
      </w:r>
      <w:r>
        <w:rPr>
          <w:rFonts w:hint="eastAsia" w:ascii="宋体" w:hAnsi="宋体" w:cs="宋体"/>
          <w:bCs/>
          <w:sz w:val="24"/>
        </w:rPr>
        <w:t>评委会将对确定为实质性响应的投标进行进一步审核，看其是否有计算上或累加上的算术错误，修正错误的原则如下：</w:t>
      </w:r>
    </w:p>
    <w:p w14:paraId="7BC518C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（1）投标文件中开标一览表内容与投标文件中相应内容不一致的，以开标一览表为准。</w:t>
      </w:r>
    </w:p>
    <w:p w14:paraId="1A01CDA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00B2ECB4">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（3）单价金额小数点或者百分比有明显错位的，以开标一览表的总价为准，并修改单价。</w:t>
      </w:r>
    </w:p>
    <w:p w14:paraId="3E0D8EB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40985EC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同时出现两种以上错误的，按照前款规定的顺序修正。</w:t>
      </w:r>
    </w:p>
    <w:p w14:paraId="438CC93F">
      <w:pPr>
        <w:adjustRightInd w:val="0"/>
        <w:snapToGrid w:val="0"/>
        <w:spacing w:line="420" w:lineRule="exact"/>
        <w:ind w:firstLine="480" w:firstLineChars="200"/>
        <w:rPr>
          <w:rFonts w:ascii="宋体" w:hAnsi="宋体" w:cs="宋体"/>
          <w:bCs/>
          <w:sz w:val="24"/>
        </w:rPr>
      </w:pPr>
      <w:r>
        <w:rPr>
          <w:rFonts w:hint="eastAsia" w:ascii="宋体" w:hAnsi="宋体" w:cs="宋体"/>
          <w:sz w:val="24"/>
        </w:rPr>
        <w:t>5.5</w:t>
      </w:r>
      <w:r>
        <w:rPr>
          <w:rFonts w:hint="eastAsia" w:ascii="宋体" w:hAnsi="宋体" w:cs="宋体"/>
          <w:bCs/>
          <w:sz w:val="24"/>
        </w:rPr>
        <w:t>评委会将按上述修正错误的方法调整投标文件中的投标报价，并告知投标人，调整后的价格应对投标人具有约束力。如果投标人不接受修正后的价格，则其投标将被拒绝。</w:t>
      </w:r>
    </w:p>
    <w:p w14:paraId="4C632D87">
      <w:pPr>
        <w:adjustRightInd w:val="0"/>
        <w:snapToGrid w:val="0"/>
        <w:spacing w:line="420" w:lineRule="exact"/>
        <w:ind w:firstLine="480" w:firstLineChars="200"/>
        <w:rPr>
          <w:rFonts w:ascii="宋体" w:hAnsi="宋体" w:cs="宋体"/>
          <w:bCs/>
          <w:sz w:val="24"/>
        </w:rPr>
      </w:pPr>
      <w:r>
        <w:rPr>
          <w:rFonts w:hint="eastAsia" w:ascii="宋体" w:hAnsi="宋体" w:cs="宋体"/>
          <w:sz w:val="24"/>
        </w:rPr>
        <w:t>5.6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14:paraId="46B8A03E">
      <w:pPr>
        <w:adjustRightInd w:val="0"/>
        <w:snapToGrid w:val="0"/>
        <w:spacing w:line="420" w:lineRule="exact"/>
        <w:ind w:firstLine="480" w:firstLineChars="200"/>
        <w:rPr>
          <w:rFonts w:ascii="宋体" w:hAnsi="宋体" w:cs="宋体"/>
          <w:sz w:val="24"/>
        </w:rPr>
      </w:pPr>
      <w:bookmarkStart w:id="90" w:name="_Toc513029234"/>
      <w:bookmarkStart w:id="91" w:name="_Toc20823306"/>
      <w:bookmarkStart w:id="92" w:name="_Toc16938550"/>
      <w:r>
        <w:rPr>
          <w:rFonts w:hint="eastAsia" w:ascii="宋体" w:hAnsi="宋体" w:cs="宋体"/>
          <w:sz w:val="24"/>
        </w:rPr>
        <w:t>5.7投标人在开、评标全过程中应保持通讯畅通，并安排专人与代理机构及评标委员会联系。</w:t>
      </w:r>
    </w:p>
    <w:bookmarkEnd w:id="90"/>
    <w:bookmarkEnd w:id="91"/>
    <w:bookmarkEnd w:id="92"/>
    <w:p w14:paraId="147D1B32">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6.无效投标条款和废标条款</w:t>
      </w:r>
    </w:p>
    <w:p w14:paraId="53B424B7">
      <w:pPr>
        <w:tabs>
          <w:tab w:val="left" w:pos="6555"/>
          <w:tab w:val="right" w:pos="8306"/>
        </w:tabs>
        <w:adjustRightInd w:val="0"/>
        <w:snapToGrid w:val="0"/>
        <w:spacing w:line="420" w:lineRule="exact"/>
        <w:ind w:firstLine="480" w:firstLineChars="200"/>
        <w:rPr>
          <w:rFonts w:ascii="宋体" w:hAnsi="宋体" w:cs="宋体"/>
          <w:b/>
          <w:sz w:val="24"/>
        </w:rPr>
      </w:pPr>
      <w:bookmarkStart w:id="93" w:name="_Toc20823307"/>
      <w:bookmarkStart w:id="94" w:name="_Toc16938551"/>
      <w:bookmarkStart w:id="95" w:name="_Toc513029235"/>
      <w:r>
        <w:rPr>
          <w:rFonts w:hint="eastAsia" w:ascii="宋体" w:hAnsi="宋体" w:cs="宋体"/>
          <w:bCs/>
          <w:sz w:val="24"/>
        </w:rPr>
        <w:t>6.1出现下列情形之一的，作无效响应处理。</w:t>
      </w:r>
      <w:r>
        <w:rPr>
          <w:rFonts w:hint="eastAsia" w:ascii="宋体" w:hAnsi="宋体" w:cs="宋体"/>
          <w:bCs/>
          <w:sz w:val="24"/>
        </w:rPr>
        <w:tab/>
      </w:r>
      <w:r>
        <w:rPr>
          <w:rFonts w:hint="eastAsia" w:ascii="宋体" w:hAnsi="宋体" w:cs="宋体"/>
          <w:b/>
          <w:sz w:val="24"/>
        </w:rPr>
        <w:tab/>
      </w:r>
    </w:p>
    <w:p w14:paraId="2E55F25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w:t>
      </w:r>
      <w:r>
        <w:rPr>
          <w:rFonts w:hint="eastAsia" w:ascii="宋体" w:hAnsi="宋体" w:cs="宋体"/>
          <w:sz w:val="24"/>
        </w:rPr>
        <w:t>投标人</w:t>
      </w:r>
      <w:r>
        <w:rPr>
          <w:rFonts w:hint="eastAsia" w:ascii="宋体" w:hAnsi="宋体" w:cs="宋体"/>
          <w:bCs/>
          <w:sz w:val="24"/>
        </w:rPr>
        <w:t>在规定的时间内未成功提交响应文件的。</w:t>
      </w:r>
    </w:p>
    <w:p w14:paraId="6B1EA72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6.1.2未完整提交响应文件的。</w:t>
      </w:r>
    </w:p>
    <w:p w14:paraId="4702F397">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6.1.3同一投标人提交两个（含两个）以上不同的响应报价的。</w:t>
      </w:r>
    </w:p>
    <w:p w14:paraId="2083CC6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6.1.4未在投标截止时间前按招标文件要求缴纳投标保证金的。</w:t>
      </w:r>
    </w:p>
    <w:p w14:paraId="495CC82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6.1.5不具备招标文件中规定的资格要求的。 </w:t>
      </w:r>
    </w:p>
    <w:p w14:paraId="4D95E55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6.1.6未通过符合性检查的。</w:t>
      </w:r>
    </w:p>
    <w:p w14:paraId="63B7520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6.1.7不符合法律法规和招标文件中规定的其他实质性要求的。</w:t>
      </w:r>
    </w:p>
    <w:p w14:paraId="059EE2EA">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6.1.8</w:t>
      </w:r>
      <w:r>
        <w:rPr>
          <w:rFonts w:hint="eastAsia" w:ascii="宋体" w:hAnsi="宋体" w:cs="宋体"/>
          <w:sz w:val="24"/>
        </w:rPr>
        <w:t>投标人</w:t>
      </w:r>
      <w:r>
        <w:rPr>
          <w:rFonts w:hint="eastAsia" w:ascii="宋体" w:hAnsi="宋体" w:cs="宋体"/>
          <w:bCs/>
          <w:sz w:val="24"/>
        </w:rPr>
        <w:t>被 “信用中国”网站（www.creditchina.gov.cn）列入失信被执行人或重大税收违法案件当事人名单或招标严重失信行为记录名单，或查询“信用中国”网站后发现</w:t>
      </w:r>
      <w:r>
        <w:rPr>
          <w:rFonts w:hint="eastAsia" w:ascii="宋体" w:hAnsi="宋体" w:cs="宋体"/>
          <w:sz w:val="24"/>
        </w:rPr>
        <w:t>投标人</w:t>
      </w:r>
      <w:r>
        <w:rPr>
          <w:rFonts w:hint="eastAsia" w:ascii="宋体" w:hAnsi="宋体" w:cs="宋体"/>
          <w:bCs/>
          <w:sz w:val="24"/>
        </w:rPr>
        <w:t>存在其他不符合合格投标人资格条件的信用记录。</w:t>
      </w:r>
    </w:p>
    <w:p w14:paraId="7D7EF3B2">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6.1.9 响应文件含有招标人不能接受的附加条件的。</w:t>
      </w:r>
    </w:p>
    <w:p w14:paraId="632CE7D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6.1.10评标小组认为投标人的报价明显低于其他通过符合性审查的</w:t>
      </w:r>
      <w:r>
        <w:rPr>
          <w:rFonts w:hint="eastAsia" w:ascii="宋体" w:hAnsi="宋体" w:cs="宋体"/>
          <w:sz w:val="24"/>
        </w:rPr>
        <w:t>投标人</w:t>
      </w:r>
      <w:r>
        <w:rPr>
          <w:rFonts w:hint="eastAsia" w:ascii="宋体" w:hAnsi="宋体" w:cs="宋体"/>
          <w:bCs/>
          <w:sz w:val="24"/>
        </w:rPr>
        <w:t>的报价，有可能影响产品质量或者不能诚信履约的，将要求其在合理的时间内提供说明，必要时提交相关证明材料；投标人不能证明其报价合理性的，评标小组应当将其作为无效响应处理。</w:t>
      </w:r>
    </w:p>
    <w:p w14:paraId="57359A6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6.1.11响应文件未按照招标文件要求盖章、密封的。</w:t>
      </w:r>
    </w:p>
    <w:p w14:paraId="4FE8A63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6.1.12其他法律法规及本招标文件规定的属无效响应的情形。</w:t>
      </w:r>
    </w:p>
    <w:p w14:paraId="5F3AFE27">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6.2废标条款：</w:t>
      </w:r>
    </w:p>
    <w:p w14:paraId="66B1DE9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6.2.1符合专业条件的</w:t>
      </w:r>
      <w:r>
        <w:rPr>
          <w:rFonts w:hint="eastAsia" w:ascii="宋体" w:hAnsi="宋体" w:cs="宋体"/>
          <w:sz w:val="24"/>
        </w:rPr>
        <w:t>投标人</w:t>
      </w:r>
      <w:r>
        <w:rPr>
          <w:rFonts w:hint="eastAsia" w:ascii="宋体" w:hAnsi="宋体" w:cs="宋体"/>
          <w:bCs/>
          <w:sz w:val="24"/>
        </w:rPr>
        <w:t>或者对招标文件作实质响应的</w:t>
      </w:r>
      <w:r>
        <w:rPr>
          <w:rFonts w:hint="eastAsia" w:ascii="宋体" w:hAnsi="宋体" w:cs="宋体"/>
          <w:sz w:val="24"/>
        </w:rPr>
        <w:t>投标人</w:t>
      </w:r>
      <w:r>
        <w:rPr>
          <w:rFonts w:hint="eastAsia" w:ascii="宋体" w:hAnsi="宋体" w:cs="宋体"/>
          <w:bCs/>
          <w:sz w:val="24"/>
        </w:rPr>
        <w:t>不足三家的。</w:t>
      </w:r>
    </w:p>
    <w:p w14:paraId="004E305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6.2.2出现影响招标公正的违法、违规行为的。</w:t>
      </w:r>
    </w:p>
    <w:p w14:paraId="6C497CD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6.2.3因重大变故，招标任务取消的。</w:t>
      </w:r>
    </w:p>
    <w:p w14:paraId="2650C7F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6.2.4评标委员会认定招标文件存在歧义、重大缺陷导致评审工作无法进行。</w:t>
      </w:r>
    </w:p>
    <w:p w14:paraId="6283301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6.2.5 因系统故障原因造成开评标无法继续进行的（适用于不见面开标模式）。</w:t>
      </w:r>
    </w:p>
    <w:p w14:paraId="446C95C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6.3 投标截止时间结束后参加投标的</w:t>
      </w:r>
      <w:r>
        <w:rPr>
          <w:rFonts w:hint="eastAsia" w:ascii="宋体" w:hAnsi="宋体" w:cs="宋体"/>
          <w:sz w:val="24"/>
        </w:rPr>
        <w:t>投标人</w:t>
      </w:r>
      <w:r>
        <w:rPr>
          <w:rFonts w:hint="eastAsia" w:ascii="宋体" w:hAnsi="宋体" w:cs="宋体"/>
          <w:bCs/>
          <w:sz w:val="24"/>
        </w:rPr>
        <w:t>不足三家的处理：</w:t>
      </w:r>
    </w:p>
    <w:p w14:paraId="19DC83F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6.3.1如出现投标截止时间结束后参加投标的</w:t>
      </w:r>
      <w:r>
        <w:rPr>
          <w:rFonts w:hint="eastAsia" w:ascii="宋体" w:hAnsi="宋体" w:cs="宋体"/>
          <w:sz w:val="24"/>
        </w:rPr>
        <w:t>投标人</w:t>
      </w:r>
      <w:r>
        <w:rPr>
          <w:rFonts w:hint="eastAsia" w:ascii="宋体" w:hAnsi="宋体" w:cs="宋体"/>
          <w:bCs/>
          <w:sz w:val="24"/>
        </w:rPr>
        <w:t>或者在评标期间对招标文件做出实质响应的</w:t>
      </w:r>
      <w:r>
        <w:rPr>
          <w:rFonts w:hint="eastAsia" w:ascii="宋体" w:hAnsi="宋体" w:cs="宋体"/>
          <w:sz w:val="24"/>
        </w:rPr>
        <w:t>投标人</w:t>
      </w:r>
      <w:r>
        <w:rPr>
          <w:rFonts w:hint="eastAsia" w:ascii="宋体" w:hAnsi="宋体" w:cs="宋体"/>
          <w:bCs/>
          <w:sz w:val="24"/>
        </w:rPr>
        <w:t>不足三家情况，按政府招标相关规定执行。</w:t>
      </w:r>
    </w:p>
    <w:bookmarkEnd w:id="93"/>
    <w:bookmarkEnd w:id="94"/>
    <w:bookmarkEnd w:id="95"/>
    <w:p w14:paraId="75E8BDE1">
      <w:pPr>
        <w:pStyle w:val="4"/>
        <w:adjustRightInd w:val="0"/>
        <w:snapToGrid w:val="0"/>
        <w:spacing w:before="0" w:after="0" w:line="420" w:lineRule="exact"/>
        <w:ind w:firstLine="482" w:firstLineChars="200"/>
        <w:rPr>
          <w:rFonts w:ascii="宋体" w:hAnsi="宋体" w:cs="宋体"/>
          <w:sz w:val="24"/>
          <w:szCs w:val="24"/>
        </w:rPr>
      </w:pPr>
      <w:bookmarkStart w:id="96" w:name="_Toc120614219"/>
      <w:r>
        <w:rPr>
          <w:rFonts w:hint="eastAsia" w:ascii="宋体" w:hAnsi="宋体" w:cs="宋体"/>
          <w:sz w:val="24"/>
          <w:szCs w:val="24"/>
        </w:rPr>
        <w:t>六、定标</w:t>
      </w:r>
      <w:bookmarkEnd w:id="96"/>
    </w:p>
    <w:p w14:paraId="62C97BFD">
      <w:pPr>
        <w:pStyle w:val="5"/>
        <w:adjustRightInd w:val="0"/>
        <w:snapToGrid w:val="0"/>
        <w:spacing w:line="420" w:lineRule="exact"/>
        <w:ind w:firstLine="480" w:firstLineChars="200"/>
        <w:jc w:val="both"/>
        <w:rPr>
          <w:rFonts w:ascii="宋体" w:hAnsi="宋体" w:eastAsia="宋体" w:cs="宋体"/>
          <w:b/>
          <w:sz w:val="24"/>
          <w:szCs w:val="24"/>
        </w:rPr>
      </w:pPr>
      <w:bookmarkStart w:id="97" w:name="_Toc20823310"/>
      <w:bookmarkStart w:id="98" w:name="_Toc16938554"/>
      <w:r>
        <w:rPr>
          <w:rFonts w:hint="eastAsia" w:ascii="宋体" w:hAnsi="宋体" w:eastAsia="宋体" w:cs="宋体"/>
          <w:sz w:val="24"/>
          <w:szCs w:val="24"/>
        </w:rPr>
        <w:t>1.确定</w:t>
      </w:r>
      <w:bookmarkEnd w:id="97"/>
      <w:bookmarkEnd w:id="98"/>
      <w:r>
        <w:rPr>
          <w:rFonts w:hint="eastAsia" w:ascii="宋体" w:hAnsi="宋体" w:eastAsia="宋体" w:cs="宋体"/>
          <w:sz w:val="24"/>
          <w:szCs w:val="24"/>
        </w:rPr>
        <w:t>中标单位</w:t>
      </w:r>
    </w:p>
    <w:p w14:paraId="09C7EE7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1.1中标候选人的选取原则和数量见招标文件第四部分规定。 </w:t>
      </w:r>
    </w:p>
    <w:p w14:paraId="17435B9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1.2招标人授权评委会在中标候选人中直接确定中标人。</w:t>
      </w:r>
    </w:p>
    <w:p w14:paraId="30E9EE62">
      <w:pPr>
        <w:adjustRightInd w:val="0"/>
        <w:snapToGrid w:val="0"/>
        <w:spacing w:line="420" w:lineRule="exact"/>
        <w:ind w:firstLine="480" w:firstLineChars="200"/>
        <w:rPr>
          <w:rFonts w:ascii="宋体" w:hAnsi="宋体" w:cs="宋体"/>
          <w:sz w:val="24"/>
        </w:rPr>
      </w:pPr>
      <w:r>
        <w:rPr>
          <w:rFonts w:hint="eastAsia" w:ascii="宋体" w:hAnsi="宋体" w:cs="宋体"/>
          <w:bCs/>
          <w:sz w:val="24"/>
        </w:rPr>
        <w:t>1.3</w:t>
      </w:r>
      <w:r>
        <w:rPr>
          <w:rFonts w:hint="eastAsia" w:ascii="宋体" w:hAnsi="宋体" w:cs="宋体"/>
          <w:sz w:val="24"/>
        </w:rPr>
        <w:t>代理机构将在“南通市崇川区人民政府网”发布中标公告，公告期限为1个工作日。</w:t>
      </w:r>
    </w:p>
    <w:p w14:paraId="5011649A">
      <w:pPr>
        <w:adjustRightInd w:val="0"/>
        <w:snapToGrid w:val="0"/>
        <w:spacing w:line="42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50B35EAC">
      <w:pPr>
        <w:adjustRightInd w:val="0"/>
        <w:snapToGrid w:val="0"/>
        <w:spacing w:line="420" w:lineRule="exact"/>
        <w:ind w:firstLine="480" w:firstLineChars="200"/>
        <w:rPr>
          <w:rFonts w:ascii="宋体" w:hAnsi="宋体" w:cs="宋体"/>
          <w:sz w:val="24"/>
        </w:rPr>
      </w:pPr>
      <w:r>
        <w:rPr>
          <w:rFonts w:hint="eastAsia" w:ascii="宋体" w:hAnsi="宋体" w:cs="宋体"/>
          <w:sz w:val="24"/>
        </w:rPr>
        <w:t>1.4.1提供虚假材料谋取中标的。</w:t>
      </w:r>
    </w:p>
    <w:p w14:paraId="3617105F">
      <w:pPr>
        <w:adjustRightInd w:val="0"/>
        <w:snapToGrid w:val="0"/>
        <w:spacing w:line="42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CD2C054">
      <w:pPr>
        <w:adjustRightInd w:val="0"/>
        <w:snapToGrid w:val="0"/>
        <w:spacing w:line="42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39156865">
      <w:pPr>
        <w:adjustRightInd w:val="0"/>
        <w:snapToGrid w:val="0"/>
        <w:spacing w:line="42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276A016B">
      <w:pPr>
        <w:adjustRightInd w:val="0"/>
        <w:snapToGrid w:val="0"/>
        <w:spacing w:line="420" w:lineRule="exact"/>
        <w:ind w:firstLine="480" w:firstLineChars="200"/>
        <w:rPr>
          <w:rFonts w:ascii="宋体" w:hAnsi="宋体" w:cs="宋体"/>
          <w:sz w:val="24"/>
        </w:rPr>
      </w:pPr>
      <w:r>
        <w:rPr>
          <w:rFonts w:hint="eastAsia" w:ascii="宋体" w:hAnsi="宋体" w:cs="宋体"/>
          <w:sz w:val="24"/>
        </w:rPr>
        <w:t>1.4.5与招标人或者其他投标人恶意串通的。</w:t>
      </w:r>
    </w:p>
    <w:p w14:paraId="6A6F1408">
      <w:pPr>
        <w:adjustRightInd w:val="0"/>
        <w:snapToGrid w:val="0"/>
        <w:spacing w:line="420" w:lineRule="exact"/>
        <w:ind w:firstLine="480" w:firstLineChars="200"/>
        <w:rPr>
          <w:rFonts w:ascii="宋体" w:hAnsi="宋体" w:cs="宋体"/>
          <w:sz w:val="24"/>
        </w:rPr>
      </w:pPr>
      <w:r>
        <w:rPr>
          <w:rFonts w:hint="eastAsia" w:ascii="宋体" w:hAnsi="宋体" w:cs="宋体"/>
          <w:sz w:val="24"/>
        </w:rPr>
        <w:t>1.4.6采取不正当手段诋毁、排挤其他投标人的。</w:t>
      </w:r>
    </w:p>
    <w:p w14:paraId="6CDF1F13">
      <w:pPr>
        <w:adjustRightInd w:val="0"/>
        <w:snapToGrid w:val="0"/>
        <w:spacing w:line="420" w:lineRule="exact"/>
        <w:ind w:firstLine="480" w:firstLineChars="200"/>
        <w:rPr>
          <w:rFonts w:ascii="宋体" w:hAnsi="宋体" w:cs="宋体"/>
          <w:sz w:val="24"/>
        </w:rPr>
      </w:pPr>
      <w:bookmarkStart w:id="99" w:name="_Toc200451960"/>
      <w:r>
        <w:rPr>
          <w:rFonts w:hint="eastAsia" w:ascii="宋体" w:hAnsi="宋体" w:cs="宋体"/>
          <w:sz w:val="24"/>
        </w:rPr>
        <w:t>1.5.</w:t>
      </w:r>
      <w:r>
        <w:rPr>
          <w:rFonts w:hint="eastAsia" w:ascii="宋体" w:hAnsi="宋体" w:cs="宋体"/>
          <w:kern w:val="0"/>
          <w:sz w:val="24"/>
        </w:rPr>
        <w:t>有下列情形之一的，视为投标人串通投标，投标无效：</w:t>
      </w:r>
    </w:p>
    <w:p w14:paraId="473BEC72">
      <w:pPr>
        <w:adjustRightInd w:val="0"/>
        <w:snapToGrid w:val="0"/>
        <w:spacing w:line="42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751863E6">
      <w:pPr>
        <w:adjustRightInd w:val="0"/>
        <w:snapToGrid w:val="0"/>
        <w:spacing w:line="42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2EDFB06B">
      <w:pPr>
        <w:adjustRightInd w:val="0"/>
        <w:snapToGrid w:val="0"/>
        <w:spacing w:line="42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E8B9F4C">
      <w:pPr>
        <w:adjustRightInd w:val="0"/>
        <w:snapToGrid w:val="0"/>
        <w:spacing w:line="42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48ECEAC3">
      <w:pPr>
        <w:adjustRightInd w:val="0"/>
        <w:snapToGrid w:val="0"/>
        <w:spacing w:line="420" w:lineRule="exact"/>
        <w:ind w:firstLine="480" w:firstLineChars="200"/>
        <w:rPr>
          <w:rFonts w:ascii="宋体" w:hAnsi="宋体" w:cs="宋体"/>
          <w:sz w:val="24"/>
        </w:rPr>
      </w:pPr>
      <w:r>
        <w:rPr>
          <w:rFonts w:hint="eastAsia" w:ascii="宋体" w:hAnsi="宋体" w:cs="宋体"/>
          <w:sz w:val="24"/>
        </w:rPr>
        <w:t>1.5.5不同投标人的投标文件相互混装；</w:t>
      </w:r>
    </w:p>
    <w:p w14:paraId="68A2A371">
      <w:pPr>
        <w:adjustRightInd w:val="0"/>
        <w:snapToGrid w:val="0"/>
        <w:spacing w:line="420" w:lineRule="exact"/>
        <w:ind w:firstLine="480" w:firstLineChars="200"/>
        <w:rPr>
          <w:rFonts w:ascii="宋体" w:hAnsi="宋体" w:cs="宋体"/>
          <w:sz w:val="24"/>
        </w:rPr>
      </w:pPr>
      <w:r>
        <w:rPr>
          <w:rFonts w:hint="eastAsia" w:ascii="宋体" w:hAnsi="宋体" w:cs="宋体"/>
          <w:sz w:val="24"/>
        </w:rPr>
        <w:t>2.质疑事项</w:t>
      </w:r>
    </w:p>
    <w:bookmarkEnd w:id="99"/>
    <w:p w14:paraId="07390E7D">
      <w:pPr>
        <w:adjustRightInd w:val="0"/>
        <w:snapToGrid w:val="0"/>
        <w:spacing w:line="420" w:lineRule="exact"/>
        <w:ind w:firstLine="480" w:firstLineChars="200"/>
        <w:rPr>
          <w:rFonts w:ascii="宋体" w:hAnsi="宋体" w:cs="宋体"/>
          <w:sz w:val="24"/>
        </w:rPr>
      </w:pPr>
      <w:bookmarkStart w:id="100" w:name="_Toc120614220"/>
      <w:bookmarkStart w:id="101" w:name="_Toc16938552"/>
      <w:bookmarkStart w:id="102" w:name="_Toc20823308"/>
      <w:bookmarkStart w:id="103" w:name="_Toc513029236"/>
      <w:r>
        <w:rPr>
          <w:rFonts w:hint="eastAsia" w:ascii="宋体" w:hAnsi="宋体" w:cs="宋体"/>
          <w:sz w:val="24"/>
        </w:rPr>
        <w:t>2.1 提出质疑的供应商应当是参与所质疑项目招标活动的供应商。潜在供应商依法获取其可质疑的招标文件的，可以对招标文件提出质疑。</w:t>
      </w:r>
    </w:p>
    <w:p w14:paraId="17E48952">
      <w:pPr>
        <w:adjustRightInd w:val="0"/>
        <w:snapToGrid w:val="0"/>
        <w:spacing w:line="420" w:lineRule="exact"/>
        <w:ind w:firstLine="480" w:firstLineChars="200"/>
        <w:rPr>
          <w:rFonts w:ascii="宋体" w:hAnsi="宋体" w:cs="宋体"/>
          <w:sz w:val="24"/>
        </w:rPr>
      </w:pPr>
      <w:r>
        <w:rPr>
          <w:rFonts w:hint="eastAsia" w:ascii="宋体" w:hAnsi="宋体" w:cs="宋体"/>
          <w:sz w:val="24"/>
        </w:rPr>
        <w:t>2.2供应商认为招标文件、招标过程和招标结果使自己的权益受到损害的，可以在知道或应知其权益受到损害之日起七个工作日内，以书面形式向代理机构或招标人提出质疑。上述应知其权益受到损害之日，是指：</w:t>
      </w:r>
    </w:p>
    <w:p w14:paraId="7C6C2AEE">
      <w:pPr>
        <w:pStyle w:val="5"/>
        <w:adjustRightInd w:val="0"/>
        <w:snapToGrid w:val="0"/>
        <w:spacing w:line="420" w:lineRule="exact"/>
        <w:ind w:firstLine="480" w:firstLineChars="200"/>
        <w:jc w:val="left"/>
        <w:rPr>
          <w:rFonts w:ascii="宋体" w:hAnsi="宋体" w:cs="宋体"/>
          <w:sz w:val="24"/>
          <w:szCs w:val="24"/>
        </w:rPr>
      </w:pPr>
      <w:r>
        <w:rPr>
          <w:rFonts w:hint="eastAsia" w:ascii="宋体" w:hAnsi="宋体" w:cs="宋体"/>
          <w:sz w:val="24"/>
          <w:szCs w:val="24"/>
        </w:rPr>
        <w:t>2.2.1对可以质疑的招标文件提出质疑的，为收到招标文件之日或者招标文件公告期限届满之日；</w:t>
      </w:r>
      <w:r>
        <w:rPr>
          <w:rFonts w:hint="eastAsia" w:ascii="宋体" w:hAnsi="宋体" w:eastAsia="宋体" w:cs="宋体"/>
          <w:sz w:val="24"/>
          <w:szCs w:val="24"/>
        </w:rPr>
        <w:t>招标项目开标后，不再接受供应商对招标文件（含更正公告等）内容的异议或质询（质疑）。</w:t>
      </w:r>
    </w:p>
    <w:p w14:paraId="129F73C3">
      <w:pPr>
        <w:adjustRightInd w:val="0"/>
        <w:snapToGrid w:val="0"/>
        <w:spacing w:line="420" w:lineRule="exact"/>
        <w:ind w:firstLine="482" w:firstLineChars="200"/>
        <w:rPr>
          <w:rFonts w:ascii="宋体" w:hAnsi="宋体" w:cs="宋体"/>
          <w:b/>
          <w:bCs/>
          <w:kern w:val="0"/>
          <w:sz w:val="24"/>
        </w:rPr>
      </w:pPr>
      <w:r>
        <w:rPr>
          <w:rFonts w:hint="eastAsia" w:ascii="宋体" w:hAnsi="宋体" w:cs="宋体"/>
          <w:b/>
          <w:bCs/>
          <w:sz w:val="24"/>
        </w:rPr>
        <w:t>2.2.2</w:t>
      </w:r>
      <w:r>
        <w:rPr>
          <w:rFonts w:hint="eastAsia" w:ascii="宋体" w:hAnsi="宋体" w:cs="宋体"/>
          <w:b/>
          <w:bCs/>
          <w:kern w:val="0"/>
          <w:sz w:val="24"/>
        </w:rPr>
        <w:t>对招标过程提出质疑的，为各招标程序环节结束之日；</w:t>
      </w:r>
    </w:p>
    <w:p w14:paraId="74B517B0">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其中：对评审过程中涉及的密封检查、身份核对、澄清等程序性事项，供应商如有异议的，必须当场提出。否则，均视为供应商无异议。无论是否成交，供应商事后不得再就前述事项提出任何异议或质疑投诉。</w:t>
      </w:r>
    </w:p>
    <w:p w14:paraId="1365E896">
      <w:pPr>
        <w:adjustRightInd w:val="0"/>
        <w:snapToGrid w:val="0"/>
        <w:spacing w:line="420" w:lineRule="exact"/>
        <w:ind w:firstLine="480" w:firstLineChars="200"/>
        <w:rPr>
          <w:rFonts w:ascii="宋体" w:hAnsi="宋体" w:cs="宋体"/>
          <w:kern w:val="0"/>
          <w:sz w:val="24"/>
        </w:rPr>
      </w:pPr>
      <w:r>
        <w:rPr>
          <w:rFonts w:hint="eastAsia" w:ascii="宋体" w:hAnsi="宋体" w:cs="宋体"/>
          <w:sz w:val="24"/>
        </w:rPr>
        <w:t>2.2.3</w:t>
      </w:r>
      <w:r>
        <w:rPr>
          <w:rFonts w:hint="eastAsia" w:ascii="宋体" w:hAnsi="宋体" w:cs="宋体"/>
          <w:kern w:val="0"/>
          <w:sz w:val="24"/>
        </w:rPr>
        <w:t>对中标或者成交结果提出质疑的，为中标或者成交结果公告期限届满之日。</w:t>
      </w:r>
    </w:p>
    <w:p w14:paraId="335013D0">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供应商应当在法定质疑期内一次性提出针对同一招标程序环节的质疑。</w:t>
      </w:r>
    </w:p>
    <w:p w14:paraId="306093E2">
      <w:pPr>
        <w:adjustRightInd w:val="0"/>
        <w:snapToGrid w:val="0"/>
        <w:spacing w:line="42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w:t>
      </w:r>
    </w:p>
    <w:p w14:paraId="4E3034CC">
      <w:pPr>
        <w:adjustRightInd w:val="0"/>
        <w:snapToGrid w:val="0"/>
        <w:spacing w:line="420" w:lineRule="exact"/>
        <w:ind w:firstLine="480" w:firstLineChars="200"/>
        <w:rPr>
          <w:rFonts w:ascii="宋体" w:hAnsi="宋体" w:cs="宋体"/>
          <w:b/>
          <w:sz w:val="24"/>
        </w:rPr>
      </w:pPr>
      <w:r>
        <w:rPr>
          <w:rFonts w:hint="eastAsia" w:ascii="宋体" w:hAnsi="宋体" w:cs="宋体"/>
          <w:sz w:val="24"/>
        </w:rPr>
        <w:t>2.4对招标方式、招标文件中项目需求、供应商资格条件、评审方法和评审标准、资格审查结果等应当由招标人答复的质疑，请向招标人提出，由招标人负责答复。投标人对其他事项的质疑，请向招标代理机构提出，由招标人或招标代理机构负责答复。</w:t>
      </w:r>
    </w:p>
    <w:p w14:paraId="548200AE">
      <w:pPr>
        <w:adjustRightInd w:val="0"/>
        <w:snapToGrid w:val="0"/>
        <w:spacing w:line="42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07518898">
      <w:pPr>
        <w:adjustRightInd w:val="0"/>
        <w:snapToGrid w:val="0"/>
        <w:spacing w:line="420" w:lineRule="exact"/>
        <w:ind w:firstLine="480" w:firstLineChars="200"/>
        <w:rPr>
          <w:rFonts w:ascii="宋体" w:hAnsi="宋体" w:cs="宋体"/>
          <w:sz w:val="24"/>
        </w:rPr>
      </w:pPr>
      <w:r>
        <w:rPr>
          <w:rFonts w:hint="eastAsia" w:ascii="宋体" w:hAnsi="宋体" w:cs="宋体"/>
          <w:sz w:val="24"/>
        </w:rPr>
        <w:t>招标人及招标代理机构质疑接收人及联系方式，见招标文件第一部分。</w:t>
      </w:r>
    </w:p>
    <w:p w14:paraId="5BABA8AA">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2.5供应商提出质疑应当提交质疑函和必要的证明材料，否则不予受理。质疑函应当包括下列内容：</w:t>
      </w:r>
    </w:p>
    <w:p w14:paraId="5B951137">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供应商的姓名或者名称、地址、邮编、联系人及联系电话；</w:t>
      </w:r>
    </w:p>
    <w:p w14:paraId="460C9BDD">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质疑项目的名称、编号；</w:t>
      </w:r>
    </w:p>
    <w:p w14:paraId="7063EC6D">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具体、明确的质疑事项和与质疑事项相关的请求；</w:t>
      </w:r>
    </w:p>
    <w:p w14:paraId="0907C157">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事实依据；</w:t>
      </w:r>
    </w:p>
    <w:p w14:paraId="259B2347">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必要的法律依据；</w:t>
      </w:r>
    </w:p>
    <w:p w14:paraId="7510C36A">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提出质疑的日期。</w:t>
      </w:r>
    </w:p>
    <w:p w14:paraId="76FE390A">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供应商为自然人的，应当由本人签字；供应商为法人或者其他组织的，应当由法定代表人、主要负责人，或者其授权代表签字或者盖章，并加盖公章。</w:t>
      </w:r>
    </w:p>
    <w:p w14:paraId="702874AD">
      <w:pPr>
        <w:adjustRightInd w:val="0"/>
        <w:snapToGrid w:val="0"/>
        <w:spacing w:line="420" w:lineRule="exact"/>
        <w:ind w:firstLine="480" w:firstLineChars="200"/>
        <w:rPr>
          <w:rFonts w:ascii="宋体" w:hAnsi="宋体" w:cs="宋体"/>
          <w:sz w:val="24"/>
        </w:rPr>
      </w:pPr>
      <w:r>
        <w:rPr>
          <w:rFonts w:hint="eastAsia" w:ascii="宋体" w:hAnsi="宋体" w:cs="宋体"/>
          <w:sz w:val="24"/>
        </w:rPr>
        <w:t>2.5 以下情形的质疑不予受理</w:t>
      </w:r>
    </w:p>
    <w:p w14:paraId="3795DC14">
      <w:pPr>
        <w:adjustRightInd w:val="0"/>
        <w:snapToGrid w:val="0"/>
        <w:spacing w:line="420" w:lineRule="exact"/>
        <w:ind w:firstLine="480" w:firstLineChars="200"/>
        <w:rPr>
          <w:rFonts w:ascii="宋体" w:hAnsi="宋体" w:cs="宋体"/>
          <w:sz w:val="24"/>
        </w:rPr>
      </w:pPr>
      <w:r>
        <w:rPr>
          <w:rFonts w:hint="eastAsia" w:ascii="宋体" w:hAnsi="宋体" w:cs="宋体"/>
          <w:sz w:val="24"/>
        </w:rPr>
        <w:t>2.5.1 内容不符合上述规定的质疑。</w:t>
      </w:r>
    </w:p>
    <w:p w14:paraId="78BDF923">
      <w:pPr>
        <w:adjustRightInd w:val="0"/>
        <w:snapToGrid w:val="0"/>
        <w:spacing w:line="420" w:lineRule="exact"/>
        <w:ind w:firstLine="480" w:firstLineChars="200"/>
        <w:rPr>
          <w:rFonts w:ascii="宋体" w:hAnsi="宋体" w:cs="宋体"/>
          <w:sz w:val="24"/>
        </w:rPr>
      </w:pPr>
      <w:r>
        <w:rPr>
          <w:rFonts w:hint="eastAsia" w:ascii="宋体" w:hAnsi="宋体" w:cs="宋体"/>
          <w:sz w:val="24"/>
        </w:rPr>
        <w:t>2.5.2 超出招标法定期限的质疑。</w:t>
      </w:r>
    </w:p>
    <w:p w14:paraId="76A90E62">
      <w:pPr>
        <w:adjustRightInd w:val="0"/>
        <w:snapToGrid w:val="0"/>
        <w:spacing w:line="420" w:lineRule="exact"/>
        <w:ind w:firstLine="480" w:firstLineChars="200"/>
        <w:rPr>
          <w:rFonts w:ascii="宋体" w:hAnsi="宋体" w:cs="宋体"/>
          <w:sz w:val="24"/>
        </w:rPr>
      </w:pPr>
      <w:r>
        <w:rPr>
          <w:rFonts w:hint="eastAsia" w:ascii="宋体" w:hAnsi="宋体" w:cs="宋体"/>
          <w:sz w:val="24"/>
        </w:rPr>
        <w:t>2.5.3 未参加招标活动的供应商或在招标活动中自身权益未受到损害的供应商所提出的质疑。</w:t>
      </w:r>
    </w:p>
    <w:p w14:paraId="4EECB991">
      <w:pPr>
        <w:adjustRightInd w:val="0"/>
        <w:snapToGrid w:val="0"/>
        <w:spacing w:line="420" w:lineRule="exact"/>
        <w:ind w:firstLine="480" w:firstLineChars="200"/>
        <w:rPr>
          <w:rFonts w:ascii="宋体" w:hAnsi="宋体" w:cs="宋体"/>
          <w:sz w:val="24"/>
        </w:rPr>
      </w:pPr>
      <w:r>
        <w:rPr>
          <w:rFonts w:hint="eastAsia" w:ascii="宋体" w:hAnsi="宋体" w:cs="宋体"/>
          <w:sz w:val="24"/>
        </w:rPr>
        <w:t>2.6 投标人提出书面质疑必须有理、有据，不得捏造事实、提供虚假材料进行恶意质疑。否则，一经查实，招标代理机构有权依据招标的有关规定，报请招标监管部门对该供应商进行相应的行政处罚和记录该供应商的失信信息。</w:t>
      </w:r>
    </w:p>
    <w:p w14:paraId="4F9BC544">
      <w:pPr>
        <w:pStyle w:val="5"/>
        <w:adjustRightInd w:val="0"/>
        <w:snapToGrid w:val="0"/>
        <w:spacing w:line="420" w:lineRule="exact"/>
        <w:ind w:firstLine="480" w:firstLineChars="200"/>
        <w:jc w:val="both"/>
        <w:rPr>
          <w:rFonts w:ascii="宋体" w:hAnsi="宋体" w:eastAsia="宋体" w:cs="宋体"/>
          <w:b/>
          <w:sz w:val="24"/>
          <w:szCs w:val="24"/>
        </w:rPr>
      </w:pPr>
      <w:r>
        <w:rPr>
          <w:rFonts w:hint="eastAsia" w:ascii="宋体" w:hAnsi="宋体" w:eastAsia="宋体" w:cs="宋体"/>
          <w:sz w:val="24"/>
          <w:szCs w:val="24"/>
        </w:rPr>
        <w:t>3.中标通知书</w:t>
      </w:r>
    </w:p>
    <w:p w14:paraId="607A0FDB">
      <w:pPr>
        <w:adjustRightInd w:val="0"/>
        <w:snapToGrid w:val="0"/>
        <w:spacing w:line="420" w:lineRule="exact"/>
        <w:ind w:firstLine="480" w:firstLineChars="200"/>
        <w:rPr>
          <w:rFonts w:ascii="宋体" w:hAnsi="宋体" w:cs="宋体"/>
          <w:sz w:val="24"/>
        </w:rPr>
      </w:pPr>
      <w:r>
        <w:rPr>
          <w:rFonts w:hint="eastAsia" w:ascii="宋体" w:hAnsi="宋体" w:cs="宋体"/>
          <w:sz w:val="24"/>
        </w:rPr>
        <w:t>3.l中标结果确定后，招标人将向中标人发出中标通知书。中标人应在成交结果公告期满后5个工作日内到招标代理机构办理领取中标通知书手续，否则，由此产生的后果供应商自负。</w:t>
      </w:r>
    </w:p>
    <w:p w14:paraId="200BACC4">
      <w:pPr>
        <w:adjustRightInd w:val="0"/>
        <w:snapToGrid w:val="0"/>
        <w:spacing w:line="42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4590736C">
      <w:pPr>
        <w:snapToGrid w:val="0"/>
        <w:spacing w:line="420" w:lineRule="exact"/>
        <w:ind w:firstLine="482" w:firstLineChars="200"/>
        <w:outlineLvl w:val="1"/>
        <w:rPr>
          <w:rFonts w:hint="eastAsia" w:ascii="宋体" w:hAnsi="宋体" w:eastAsia="宋体"/>
          <w:b/>
          <w:bCs/>
          <w:color w:val="FF0000"/>
          <w:sz w:val="24"/>
          <w:highlight w:val="none"/>
          <w:lang w:val="en-US" w:eastAsia="zh-CN"/>
        </w:rPr>
      </w:pPr>
      <w:r>
        <w:rPr>
          <w:rFonts w:hint="eastAsia" w:ascii="宋体" w:hAnsi="宋体" w:eastAsia="宋体" w:cs="宋体"/>
          <w:b/>
          <w:bCs/>
          <w:kern w:val="0"/>
          <w:sz w:val="24"/>
          <w:szCs w:val="24"/>
          <w:highlight w:val="none"/>
          <w:lang w:val="en-US" w:eastAsia="zh-CN"/>
        </w:rPr>
        <w:t>七、改变开、评标方式</w:t>
      </w:r>
      <w:r>
        <w:rPr>
          <w:rFonts w:hint="eastAsia" w:ascii="宋体" w:hAnsi="宋体" w:eastAsia="宋体"/>
          <w:b/>
          <w:bCs/>
          <w:color w:val="FF0000"/>
          <w:sz w:val="24"/>
          <w:highlight w:val="none"/>
          <w:lang w:val="en-US" w:eastAsia="zh-CN"/>
        </w:rPr>
        <w:t>：本项目若本次投标单位不足3家（或资格审查通过的单位不足3家或有效的投标单位不足3家)，按以下规定处理：</w:t>
      </w:r>
    </w:p>
    <w:p w14:paraId="5E90B93A">
      <w:pPr>
        <w:snapToGrid w:val="0"/>
        <w:spacing w:line="420" w:lineRule="exact"/>
        <w:ind w:firstLine="482" w:firstLineChars="200"/>
        <w:outlineLvl w:val="1"/>
        <w:rPr>
          <w:rFonts w:hint="eastAsia" w:ascii="宋体" w:hAnsi="宋体" w:eastAsia="宋体"/>
          <w:b/>
          <w:bCs/>
          <w:color w:val="FF0000"/>
          <w:sz w:val="24"/>
          <w:highlight w:val="none"/>
          <w:lang w:val="en-US" w:eastAsia="zh-CN"/>
        </w:rPr>
      </w:pPr>
      <w:r>
        <w:rPr>
          <w:rFonts w:hint="eastAsia" w:ascii="宋体" w:hAnsi="宋体" w:eastAsia="宋体"/>
          <w:b/>
          <w:bCs/>
          <w:color w:val="FF0000"/>
          <w:sz w:val="24"/>
          <w:highlight w:val="none"/>
          <w:lang w:val="en-US" w:eastAsia="zh-CN"/>
        </w:rPr>
        <w:t>①如最终仅有2家投标单位（或仅有2家资格审查通过或仅有2家有效的投标单位），则直接进行竞争性谈判：</w:t>
      </w:r>
    </w:p>
    <w:p w14:paraId="1E50520E">
      <w:pPr>
        <w:snapToGrid w:val="0"/>
        <w:spacing w:line="420" w:lineRule="exact"/>
        <w:ind w:firstLine="482" w:firstLineChars="200"/>
        <w:outlineLvl w:val="1"/>
        <w:rPr>
          <w:rFonts w:hint="eastAsia" w:ascii="宋体" w:hAnsi="宋体" w:eastAsia="宋体"/>
          <w:b/>
          <w:bCs/>
          <w:color w:val="FF0000"/>
          <w:sz w:val="24"/>
          <w:highlight w:val="none"/>
          <w:lang w:val="en-US" w:eastAsia="zh-CN"/>
        </w:rPr>
      </w:pPr>
      <w:r>
        <w:rPr>
          <w:rFonts w:hint="eastAsia" w:ascii="宋体" w:hAnsi="宋体" w:eastAsia="宋体"/>
          <w:b/>
          <w:bCs/>
          <w:color w:val="FF0000"/>
          <w:sz w:val="24"/>
          <w:highlight w:val="none"/>
          <w:lang w:val="en-US" w:eastAsia="zh-CN"/>
        </w:rPr>
        <w:t>（1）资格审查通过后，开启商务标（作为各单位第一次报价，在第一次报价环节，不公布各单位第一次报价）；</w:t>
      </w:r>
    </w:p>
    <w:p w14:paraId="4DBED234">
      <w:pPr>
        <w:snapToGrid w:val="0"/>
        <w:spacing w:line="420" w:lineRule="exact"/>
        <w:ind w:firstLine="482" w:firstLineChars="200"/>
        <w:outlineLvl w:val="1"/>
        <w:rPr>
          <w:rFonts w:hint="eastAsia" w:ascii="宋体" w:hAnsi="宋体" w:eastAsia="宋体"/>
          <w:b/>
          <w:bCs/>
          <w:color w:val="FF0000"/>
          <w:sz w:val="24"/>
          <w:highlight w:val="none"/>
          <w:lang w:val="en-US" w:eastAsia="zh-CN"/>
        </w:rPr>
      </w:pPr>
      <w:r>
        <w:rPr>
          <w:rFonts w:hint="eastAsia" w:ascii="宋体" w:hAnsi="宋体" w:eastAsia="宋体"/>
          <w:b/>
          <w:bCs/>
          <w:color w:val="FF0000"/>
          <w:sz w:val="24"/>
          <w:highlight w:val="none"/>
          <w:lang w:val="en-US" w:eastAsia="zh-CN"/>
        </w:rPr>
        <w:t>（2）由评标委员会与两家投标单位分别进行谈判，投标单位现场再进行一次报价，各投标单位第二次报价不得高于第一次报价(否则作无效标处理）；</w:t>
      </w:r>
    </w:p>
    <w:p w14:paraId="11708310">
      <w:pPr>
        <w:snapToGrid w:val="0"/>
        <w:spacing w:line="420" w:lineRule="exact"/>
        <w:ind w:firstLine="482" w:firstLineChars="200"/>
        <w:outlineLvl w:val="1"/>
        <w:rPr>
          <w:rFonts w:hint="eastAsia" w:ascii="宋体" w:hAnsi="宋体" w:eastAsia="宋体"/>
          <w:b/>
          <w:bCs/>
          <w:color w:val="FF0000"/>
          <w:sz w:val="24"/>
          <w:highlight w:val="none"/>
          <w:lang w:val="en-US" w:eastAsia="zh-CN"/>
        </w:rPr>
      </w:pPr>
      <w:r>
        <w:rPr>
          <w:rFonts w:hint="eastAsia" w:ascii="宋体" w:hAnsi="宋体" w:eastAsia="宋体"/>
          <w:b/>
          <w:bCs/>
          <w:color w:val="FF0000"/>
          <w:sz w:val="24"/>
          <w:highlight w:val="none"/>
          <w:lang w:val="en-US" w:eastAsia="zh-CN"/>
        </w:rPr>
        <w:t>（3）经评标委员会评审，有效报价由低到高排名，推荐排名1、2的为中标候选人，同时由评标委员会确定第一中标候选人为本项目的中标人；若两家投标单位投标报价相同的，则采取现场抽签的方式确定（投标单位的抽签顺序分别为各投标单位递交投标文件签到顺序号）；</w:t>
      </w:r>
    </w:p>
    <w:p w14:paraId="2EC92BD8">
      <w:pPr>
        <w:snapToGrid w:val="0"/>
        <w:spacing w:line="420" w:lineRule="exact"/>
        <w:ind w:firstLine="482" w:firstLineChars="200"/>
        <w:outlineLvl w:val="1"/>
        <w:rPr>
          <w:rFonts w:hint="eastAsia" w:ascii="宋体" w:hAnsi="宋体" w:eastAsia="宋体"/>
          <w:b/>
          <w:bCs/>
          <w:color w:val="FF0000"/>
          <w:sz w:val="24"/>
          <w:highlight w:val="none"/>
          <w:lang w:val="en-US" w:eastAsia="zh-CN"/>
        </w:rPr>
      </w:pPr>
      <w:r>
        <w:rPr>
          <w:rFonts w:hint="eastAsia" w:ascii="宋体" w:hAnsi="宋体" w:eastAsia="宋体"/>
          <w:b/>
          <w:bCs/>
          <w:color w:val="FF0000"/>
          <w:sz w:val="24"/>
          <w:highlight w:val="none"/>
          <w:lang w:val="en-US" w:eastAsia="zh-CN"/>
        </w:rPr>
        <w:t>②无论何种原因，如导致最终仅有1家投标单位（或仅有1家资格审查通过或仅有1家有效的投标单位，则采取评标委员会与投标人进行价格谈判的方式确定中标人:</w:t>
      </w:r>
    </w:p>
    <w:p w14:paraId="7F7552AD">
      <w:pPr>
        <w:pStyle w:val="4"/>
        <w:adjustRightInd w:val="0"/>
        <w:snapToGrid w:val="0"/>
        <w:spacing w:before="0" w:after="0" w:line="420" w:lineRule="exact"/>
        <w:ind w:firstLine="482" w:firstLineChars="200"/>
        <w:rPr>
          <w:rFonts w:hint="eastAsia" w:ascii="宋体" w:hAnsi="宋体" w:cs="宋体"/>
          <w:sz w:val="24"/>
          <w:szCs w:val="24"/>
        </w:rPr>
      </w:pPr>
      <w:r>
        <w:rPr>
          <w:rFonts w:hint="eastAsia" w:ascii="宋体" w:hAnsi="宋体" w:eastAsia="宋体"/>
          <w:b/>
          <w:bCs/>
          <w:color w:val="FF0000"/>
          <w:sz w:val="24"/>
          <w:szCs w:val="24"/>
          <w:highlight w:val="none"/>
          <w:lang w:val="en-US" w:eastAsia="zh-CN"/>
        </w:rPr>
        <w:t>资格审查通过后，开启商务标，并与投标单位进行谈判，直至招标人接受最终报价，否则作招标失败处理，招标人重新开展招标活动。</w:t>
      </w:r>
    </w:p>
    <w:p w14:paraId="34E7FB8B">
      <w:pPr>
        <w:pStyle w:val="4"/>
        <w:adjustRightInd w:val="0"/>
        <w:snapToGrid w:val="0"/>
        <w:spacing w:before="0" w:after="0" w:line="420" w:lineRule="exact"/>
        <w:ind w:firstLine="482" w:firstLineChars="200"/>
        <w:rPr>
          <w:rFonts w:ascii="宋体" w:hAns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、授予合同</w:t>
      </w:r>
      <w:bookmarkEnd w:id="100"/>
    </w:p>
    <w:bookmarkEnd w:id="101"/>
    <w:bookmarkEnd w:id="102"/>
    <w:bookmarkEnd w:id="103"/>
    <w:p w14:paraId="5D7667D3">
      <w:pPr>
        <w:adjustRightInd w:val="0"/>
        <w:snapToGrid w:val="0"/>
        <w:spacing w:line="420" w:lineRule="exact"/>
        <w:ind w:firstLine="480" w:firstLineChars="200"/>
        <w:rPr>
          <w:rFonts w:ascii="宋体" w:hAnsi="宋体" w:cs="宋体"/>
          <w:sz w:val="24"/>
        </w:rPr>
      </w:pPr>
      <w:bookmarkStart w:id="104" w:name="_Toc16938553"/>
      <w:bookmarkStart w:id="105" w:name="_Toc20823309"/>
      <w:bookmarkStart w:id="106" w:name="_Toc513029237"/>
      <w:r>
        <w:rPr>
          <w:rFonts w:hint="eastAsia" w:ascii="宋体" w:hAnsi="宋体" w:cs="宋体"/>
          <w:sz w:val="24"/>
        </w:rPr>
        <w:t>1.签订合同</w:t>
      </w:r>
    </w:p>
    <w:p w14:paraId="6B3256DC">
      <w:pPr>
        <w:adjustRightInd w:val="0"/>
        <w:snapToGrid w:val="0"/>
        <w:spacing w:line="420" w:lineRule="exact"/>
        <w:ind w:firstLine="480" w:firstLineChars="200"/>
        <w:rPr>
          <w:rFonts w:ascii="宋体" w:hAnsi="宋体" w:cs="宋体"/>
          <w:sz w:val="24"/>
        </w:rPr>
      </w:pPr>
      <w:r>
        <w:rPr>
          <w:rFonts w:hint="eastAsia" w:ascii="宋体" w:hAnsi="宋体" w:cs="宋体"/>
          <w:sz w:val="24"/>
        </w:rPr>
        <w:t>1.l招标人和中标人应当在投标有效期内以及中标通知书发出之日起30天内，根据招标文件和中标人的投标文件订立书面合同。中标人无正当理由拒签合同的，招标人取消其中标资格，其投标保证金不予退还；该金额不足以弥补给招标人造成的直接和间接损失的（包括但不限于二次招标发生的招标费用、中标差价、招标代理服务费等），中标人应予补足。对依法必须进行招标的项目的中标人，由有关行政监督部门责令改正。</w:t>
      </w:r>
    </w:p>
    <w:p w14:paraId="15601AA0">
      <w:pPr>
        <w:adjustRightInd w:val="0"/>
        <w:snapToGrid w:val="0"/>
        <w:spacing w:line="42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032ED8C7">
      <w:pPr>
        <w:adjustRightInd w:val="0"/>
        <w:snapToGrid w:val="0"/>
        <w:spacing w:line="420" w:lineRule="exact"/>
        <w:ind w:firstLine="480" w:firstLineChars="200"/>
        <w:rPr>
          <w:rFonts w:ascii="宋体" w:hAnsi="宋体" w:cs="宋体"/>
          <w:sz w:val="24"/>
        </w:rPr>
      </w:pPr>
      <w:r>
        <w:rPr>
          <w:rFonts w:hint="eastAsia" w:ascii="宋体" w:hAnsi="宋体" w:cs="宋体"/>
          <w:sz w:val="24"/>
        </w:rPr>
        <w:t>1.3签订合同后，中标人不得将服务进行转包。未经招标人同意，中标人也不得采用分包的形式履行合同，否则招标人有权终止合同。政府招标合同分包履行的，中标人就招标项目和分包项目向招标人负责，分包中标人就分包项目承担责任。转包或分包造成招标人损失的，中标人应承担相应赔偿责任。</w:t>
      </w:r>
    </w:p>
    <w:p w14:paraId="37B5E16E">
      <w:pPr>
        <w:pStyle w:val="5"/>
        <w:adjustRightInd w:val="0"/>
        <w:snapToGrid w:val="0"/>
        <w:spacing w:line="420" w:lineRule="exact"/>
        <w:ind w:firstLine="480" w:firstLineChars="200"/>
        <w:jc w:val="both"/>
        <w:rPr>
          <w:rFonts w:ascii="宋体" w:hAnsi="宋体" w:eastAsia="宋体" w:cs="宋体"/>
          <w:b/>
          <w:sz w:val="24"/>
          <w:szCs w:val="24"/>
        </w:rPr>
      </w:pPr>
      <w:r>
        <w:rPr>
          <w:rFonts w:hint="eastAsia" w:ascii="宋体" w:hAnsi="宋体" w:eastAsia="宋体" w:cs="宋体"/>
          <w:sz w:val="24"/>
          <w:szCs w:val="24"/>
        </w:rPr>
        <w:t>2.服务的追加、减少和添购。</w:t>
      </w:r>
    </w:p>
    <w:p w14:paraId="449D541E">
      <w:pPr>
        <w:adjustRightInd w:val="0"/>
        <w:snapToGrid w:val="0"/>
        <w:spacing w:line="420" w:lineRule="exact"/>
        <w:ind w:firstLine="480" w:firstLineChars="200"/>
        <w:rPr>
          <w:rFonts w:ascii="宋体" w:hAnsi="宋体" w:cs="宋体"/>
          <w:sz w:val="24"/>
        </w:rPr>
      </w:pPr>
      <w:r>
        <w:rPr>
          <w:rFonts w:hint="eastAsia" w:ascii="宋体" w:hAnsi="宋体" w:cs="宋体"/>
          <w:sz w:val="24"/>
        </w:rPr>
        <w:t>2.1招标合同履行中，招标人需追加与合同标的相同的服务的，在不改变合同其他条款的前提下，可以与中标人协商签订补充合同，但所有补充合同的招标金额不超过原合同金额的10%。</w:t>
      </w:r>
    </w:p>
    <w:p w14:paraId="42BCD6F8">
      <w:pPr>
        <w:adjustRightInd w:val="0"/>
        <w:snapToGrid w:val="0"/>
        <w:spacing w:line="420" w:lineRule="exact"/>
        <w:ind w:firstLine="480" w:firstLineChars="200"/>
        <w:rPr>
          <w:rFonts w:ascii="宋体" w:hAnsi="宋体" w:cs="宋体"/>
          <w:bCs/>
          <w:sz w:val="36"/>
          <w:szCs w:val="36"/>
        </w:rPr>
      </w:pPr>
      <w:r>
        <w:rPr>
          <w:rFonts w:hint="eastAsia" w:ascii="宋体" w:hAnsi="宋体" w:cs="宋体"/>
          <w:sz w:val="24"/>
        </w:rPr>
        <w:t>2.2招标结束后，招标人若由于各种客观原因，必须对招标项目所牵涉的服务进行适当地减少时，在双方协商一致的前提下，可以按照招标招标时的价格水平做相应的调减，并据此签订补充合同。</w:t>
      </w:r>
      <w:bookmarkEnd w:id="104"/>
      <w:bookmarkEnd w:id="105"/>
      <w:bookmarkEnd w:id="106"/>
    </w:p>
    <w:p w14:paraId="44E78BF4">
      <w:pPr>
        <w:adjustRightInd w:val="0"/>
        <w:snapToGrid w:val="0"/>
        <w:spacing w:line="500" w:lineRule="exact"/>
        <w:jc w:val="center"/>
        <w:outlineLvl w:val="0"/>
        <w:rPr>
          <w:rFonts w:ascii="宋体" w:hAnsi="宋体" w:cs="宋体"/>
          <w:bCs/>
          <w:sz w:val="36"/>
          <w:szCs w:val="36"/>
        </w:rPr>
      </w:pPr>
    </w:p>
    <w:p w14:paraId="5327034D">
      <w:pPr>
        <w:jc w:val="center"/>
        <w:rPr>
          <w:rFonts w:ascii="宋体" w:hAnsi="宋体" w:cs="宋体"/>
          <w:bCs/>
          <w:sz w:val="36"/>
          <w:szCs w:val="36"/>
        </w:rPr>
      </w:pPr>
      <w:r>
        <w:rPr>
          <w:rFonts w:hint="eastAsia" w:ascii="宋体" w:hAnsi="宋体" w:cs="宋体"/>
          <w:bCs/>
          <w:sz w:val="36"/>
          <w:szCs w:val="36"/>
        </w:rPr>
        <w:br w:type="page"/>
      </w:r>
      <w:r>
        <w:rPr>
          <w:rFonts w:hint="eastAsia" w:ascii="宋体" w:hAnsi="宋体" w:cs="宋体"/>
          <w:b/>
          <w:sz w:val="36"/>
          <w:szCs w:val="36"/>
        </w:rPr>
        <w:t>第三部分  项目需求</w:t>
      </w:r>
    </w:p>
    <w:p w14:paraId="02FCEC3E">
      <w:pPr>
        <w:spacing w:line="420" w:lineRule="exact"/>
        <w:ind w:firstLine="482" w:firstLineChars="200"/>
        <w:rPr>
          <w:rFonts w:ascii="宋体" w:hAnsi="宋体" w:cs="宋体"/>
          <w:b/>
          <w:bCs/>
          <w:sz w:val="24"/>
        </w:rPr>
      </w:pPr>
      <w:r>
        <w:rPr>
          <w:rFonts w:hint="eastAsia" w:ascii="宋体" w:hAnsi="宋体" w:cs="宋体"/>
          <w:b/>
          <w:bCs/>
          <w:sz w:val="24"/>
        </w:rPr>
        <w:t>投标人在制作投标文件时仔细研究项目需求说明。项目需求包括技术要求和商务要求：技术要求是指对招标标的功能和质量要求，包括性能、材料、结构、外观、安全，或者服务内容和标准等；商务要求是指取得招标标的的时间、地点、财务和服务要求，包括交付（实施）的时间（期限）和地点（范围），付款条件（进度和方法），包装和运输，售后服务，保险等。</w:t>
      </w:r>
    </w:p>
    <w:p w14:paraId="0A1654D0">
      <w:pPr>
        <w:spacing w:line="420" w:lineRule="exact"/>
        <w:ind w:firstLine="482" w:firstLineChars="200"/>
        <w:rPr>
          <w:rFonts w:ascii="宋体" w:hAnsi="宋体" w:cs="宋体"/>
          <w:sz w:val="24"/>
        </w:rPr>
      </w:pPr>
      <w:r>
        <w:rPr>
          <w:rFonts w:hint="eastAsia" w:ascii="宋体" w:hAnsi="宋体" w:cs="宋体"/>
          <w:b/>
          <w:bCs/>
          <w:sz w:val="24"/>
        </w:rPr>
        <w:t>一、运输车辆要求</w:t>
      </w:r>
    </w:p>
    <w:p w14:paraId="7D66039B">
      <w:pPr>
        <w:spacing w:line="420" w:lineRule="exact"/>
        <w:ind w:firstLine="480" w:firstLineChars="200"/>
        <w:rPr>
          <w:rFonts w:ascii="宋体" w:hAnsi="宋体" w:cs="宋体"/>
          <w:sz w:val="24"/>
        </w:rPr>
      </w:pPr>
      <w:r>
        <w:rPr>
          <w:rFonts w:hint="eastAsia" w:ascii="宋体" w:hAnsi="宋体" w:cs="宋体"/>
          <w:sz w:val="24"/>
        </w:rPr>
        <w:t>1.为确保本项目燃料运输的持续稳定供应，拟投入本项目的运输车辆，核定载重量须达到10吨及以上，且车辆技术状况良好、符合国家及地方相关安全运输标准（含尾气排放、车辆年检等要求），能满足项目不间断运输服务需求（本项目不涉及燃料储存环节，车辆仅承担运输功能）。</w:t>
      </w:r>
    </w:p>
    <w:p w14:paraId="7F3377A8">
      <w:pPr>
        <w:spacing w:line="420" w:lineRule="exact"/>
        <w:ind w:firstLine="480" w:firstLineChars="200"/>
        <w:rPr>
          <w:rFonts w:ascii="宋体" w:hAnsi="宋体" w:cs="宋体"/>
          <w:sz w:val="24"/>
        </w:rPr>
      </w:pPr>
      <w:r>
        <w:rPr>
          <w:rFonts w:hint="eastAsia" w:ascii="宋体" w:hAnsi="宋体" w:cs="宋体"/>
          <w:sz w:val="24"/>
        </w:rPr>
        <w:t>2.所有投入车辆须由南通兴环环境卫生服务有限公司统一加装GPS定位设备，GPS定位设备需确保运行正常、定位精准，能实时反馈车辆行驶轨迹、停靠位置等信息，便于南通兴环环境卫生服务有限公司、南通好通能源有限公司进行全程监督管理，相关加装费用及设备维护费用由中标人承担。</w:t>
      </w:r>
    </w:p>
    <w:p w14:paraId="4C54F502">
      <w:pPr>
        <w:spacing w:line="420" w:lineRule="exact"/>
        <w:ind w:firstLine="480" w:firstLineChars="200"/>
        <w:rPr>
          <w:rFonts w:ascii="宋体" w:hAnsi="宋体" w:cs="宋体"/>
          <w:sz w:val="24"/>
        </w:rPr>
      </w:pPr>
      <w:r>
        <w:rPr>
          <w:rFonts w:hint="eastAsia" w:ascii="宋体" w:hAnsi="宋体" w:cs="宋体"/>
          <w:sz w:val="24"/>
        </w:rPr>
        <w:t>3.所有投入车辆实行固定化管理，一经中标确认，未经南通兴环环境卫生服务有限公司书面同意，中标人不得擅自更换车辆。若因车辆故障等特殊情况需临时调整，中标人须提前3个工作日向南通兴环环境卫生服务有限公司提交书面申请及替代车辆完整资质材料，经南通兴环环境卫生服务有限公司审核通过后方可更换，且替代车辆各项标准不得低于原指定车辆，同时替代车辆须按要求完成GPS定位设备加装并接入指定监管系统。</w:t>
      </w:r>
    </w:p>
    <w:p w14:paraId="77DF7EF1">
      <w:pPr>
        <w:spacing w:line="420" w:lineRule="exact"/>
        <w:ind w:firstLine="480" w:firstLineChars="200"/>
        <w:rPr>
          <w:rFonts w:ascii="宋体" w:hAnsi="宋体" w:cs="宋体"/>
          <w:sz w:val="24"/>
        </w:rPr>
      </w:pPr>
      <w:r>
        <w:rPr>
          <w:rFonts w:hint="eastAsia" w:ascii="宋体" w:hAnsi="宋体" w:cs="宋体"/>
          <w:sz w:val="24"/>
        </w:rPr>
        <w:t>4.车辆每日始发及完成运输任务后的返回停靠地，须严格限定在崇川区范围内（具体停靠点位由南通兴环环境卫生服务有限公司指定），中标人不得擅自超出该区域或变更指定停靠位置。南通兴环环境卫生服务有限公司、</w:t>
      </w:r>
      <w:r>
        <w:rPr>
          <w:rFonts w:ascii="宋体" w:hAnsi="宋体" w:cs="宋体"/>
          <w:sz w:val="24"/>
        </w:rPr>
        <w:t>南通好通能源有限公司</w:t>
      </w:r>
      <w:r>
        <w:rPr>
          <w:rFonts w:hint="eastAsia" w:ascii="宋体" w:hAnsi="宋体" w:cs="宋体"/>
          <w:sz w:val="24"/>
        </w:rPr>
        <w:t>有权通过现场核查、GPS定位追踪等方式，对车辆停靠情况进行抽查核实，中标人须配合提供必要的佐证材料（停靠地仅作为运输中转停放使用，不涉及燃料储存）。</w:t>
      </w:r>
    </w:p>
    <w:p w14:paraId="6D759758">
      <w:pPr>
        <w:spacing w:line="420" w:lineRule="exact"/>
        <w:ind w:firstLine="480" w:firstLineChars="200"/>
        <w:rPr>
          <w:rFonts w:ascii="宋体" w:hAnsi="宋体" w:cs="宋体"/>
          <w:bCs/>
          <w:sz w:val="24"/>
        </w:rPr>
      </w:pPr>
      <w:r>
        <w:rPr>
          <w:rFonts w:hint="eastAsia" w:ascii="宋体" w:hAnsi="宋体" w:cs="宋体"/>
          <w:sz w:val="24"/>
        </w:rPr>
        <w:t>5.</w:t>
      </w:r>
      <w:r>
        <w:rPr>
          <w:rFonts w:hint="eastAsia" w:ascii="宋体" w:hAnsi="宋体" w:cs="宋体"/>
          <w:bCs/>
          <w:sz w:val="24"/>
        </w:rPr>
        <w:t>操作要求：中标人须委派具备相应操作资质的专业人员，配合南通兴环环境卫生服务有限公司、南通好通能源有限公司按照国家成品油装卸安全规范、现场作业指引及容器使用要求，完成燃料从运输车辆到指定容器的辅助装卸作业，全程确保操作规范、安全有序，避免出现滴漏、洒溅、混装等问题</w:t>
      </w:r>
      <w:r>
        <w:rPr>
          <w:rFonts w:hint="eastAsia" w:ascii="宋体" w:hAnsi="宋体" w:cs="宋体"/>
          <w:sz w:val="24"/>
        </w:rPr>
        <w:t>（装卸作业仅为运输环节配套服务，不涉及燃料储存相关操作）。</w:t>
      </w:r>
    </w:p>
    <w:p w14:paraId="10236D20">
      <w:pPr>
        <w:spacing w:line="420" w:lineRule="exact"/>
        <w:ind w:firstLine="480" w:firstLineChars="200"/>
        <w:rPr>
          <w:rFonts w:ascii="宋体" w:hAnsi="宋体" w:cs="宋体"/>
          <w:bCs/>
          <w:sz w:val="24"/>
        </w:rPr>
      </w:pPr>
      <w:r>
        <w:rPr>
          <w:rFonts w:hint="eastAsia" w:ascii="宋体" w:hAnsi="宋体" w:cs="宋体"/>
          <w:bCs/>
          <w:sz w:val="24"/>
        </w:rPr>
        <w:t>6.设备与防护：中标人应配备符合安全标准的装卸辅助工具（如防爆接头、密封软管、防溢装置等）及个人防护用品（如防静电服、防护手套、护目镜等），并确保工具设备完好有效、防护用品合规适配，满足装卸作业安全要求。</w:t>
      </w:r>
    </w:p>
    <w:p w14:paraId="5469CBD0">
      <w:pPr>
        <w:spacing w:line="420" w:lineRule="exact"/>
        <w:ind w:firstLine="480" w:firstLineChars="200"/>
        <w:rPr>
          <w:rFonts w:ascii="宋体" w:hAnsi="宋体" w:cs="宋体"/>
          <w:bCs/>
          <w:sz w:val="24"/>
        </w:rPr>
      </w:pPr>
      <w:r>
        <w:rPr>
          <w:rFonts w:hint="eastAsia" w:ascii="宋体" w:hAnsi="宋体" w:cs="宋体"/>
          <w:bCs/>
          <w:sz w:val="24"/>
        </w:rPr>
        <w:t>7.数量核对与确认：装卸过程中，中标人须配合南通兴环环境卫生服务有限公司核对燃料装卸数量，确保实际装卸量与《月度运输数据确认单》中载明的对应批次运输量一致；装卸完成后，中标人人员应与南通兴环环境卫生服务有限公司共同在装卸作业确认记录上签字确认，作为后续结算的辅助依据。</w:t>
      </w:r>
    </w:p>
    <w:p w14:paraId="0DF6BCB2">
      <w:pPr>
        <w:spacing w:line="420" w:lineRule="exact"/>
        <w:ind w:firstLine="480" w:firstLineChars="200"/>
        <w:rPr>
          <w:rFonts w:ascii="宋体" w:hAnsi="宋体" w:cs="宋体"/>
          <w:bCs/>
          <w:sz w:val="24"/>
        </w:rPr>
      </w:pPr>
      <w:r>
        <w:rPr>
          <w:rFonts w:hint="eastAsia" w:ascii="宋体" w:hAnsi="宋体" w:cs="宋体"/>
          <w:bCs/>
          <w:sz w:val="24"/>
        </w:rPr>
        <w:t>8.安全与清洁责任：中标人需严格遵守装卸现场安全管理规定，严禁违规操作引发安全事故；作业结束后，中标人应及时清理装卸现场残留燃料及杂物，保持现场环境整洁，避免造成环境污染或安全隐患。若因中标人操作不当导致燃料损耗、容器损坏、安全事故或环境污染的，由中标人承担全部责任及相应损失。</w:t>
      </w:r>
    </w:p>
    <w:p w14:paraId="18CF4060">
      <w:pPr>
        <w:spacing w:line="420" w:lineRule="exact"/>
        <w:ind w:firstLine="480" w:firstLineChars="200"/>
        <w:rPr>
          <w:rFonts w:ascii="宋体" w:hAnsi="宋体" w:cs="宋体"/>
          <w:bCs/>
          <w:sz w:val="24"/>
        </w:rPr>
      </w:pPr>
      <w:r>
        <w:rPr>
          <w:rFonts w:hint="eastAsia" w:ascii="宋体" w:hAnsi="宋体" w:cs="宋体"/>
          <w:bCs/>
          <w:sz w:val="24"/>
        </w:rPr>
        <w:t>9.配合要求：中标人人员应服从南通兴环环境卫生服务有限公司现场调度与合理指令，主动配合完成装卸前的设备检查、装卸中的过程监督及装卸后的收尾工作，确保装卸作业高效衔接运输环节，不影响整体服务进度。</w:t>
      </w:r>
    </w:p>
    <w:p w14:paraId="3B53E8DA">
      <w:pPr>
        <w:spacing w:line="420" w:lineRule="exact"/>
        <w:ind w:firstLine="482" w:firstLineChars="200"/>
        <w:rPr>
          <w:rFonts w:ascii="宋体" w:hAnsi="宋体" w:cs="宋体"/>
          <w:sz w:val="24"/>
        </w:rPr>
      </w:pPr>
      <w:r>
        <w:rPr>
          <w:rFonts w:hint="eastAsia" w:ascii="宋体" w:hAnsi="宋体" w:cs="宋体"/>
          <w:b/>
          <w:bCs/>
          <w:sz w:val="24"/>
        </w:rPr>
        <w:t>二、运输调度与执行要求</w:t>
      </w:r>
    </w:p>
    <w:p w14:paraId="514E72EC">
      <w:pPr>
        <w:spacing w:line="460" w:lineRule="exact"/>
        <w:ind w:firstLine="480" w:firstLineChars="200"/>
        <w:rPr>
          <w:rFonts w:ascii="宋体" w:hAnsi="宋体" w:cs="宋体"/>
          <w:sz w:val="24"/>
        </w:rPr>
      </w:pPr>
      <w:r>
        <w:rPr>
          <w:rFonts w:hint="eastAsia" w:ascii="宋体" w:hAnsi="宋体" w:cs="宋体"/>
          <w:sz w:val="24"/>
        </w:rPr>
        <w:t>1.装货相关安排：装货地点由南通兴环环境卫生服务有限公司根据项目实际需求统一指定，南通兴环环境卫生服务有限公司负责指定每日装货时间，装货过程由南通兴环环境卫生服务有限公司全程监督，中标人须配合南通兴环环境卫生服务有限公司完成装货数量核对、车辆检查等工作；</w:t>
      </w:r>
    </w:p>
    <w:p w14:paraId="051A0B71">
      <w:pPr>
        <w:spacing w:line="420" w:lineRule="exact"/>
        <w:ind w:firstLine="480" w:firstLineChars="200"/>
        <w:rPr>
          <w:rFonts w:ascii="宋体" w:hAnsi="宋体" w:cs="宋体"/>
          <w:sz w:val="24"/>
        </w:rPr>
      </w:pPr>
      <w:r>
        <w:rPr>
          <w:rFonts w:hint="eastAsia" w:ascii="宋体" w:hAnsi="宋体" w:cs="宋体"/>
          <w:sz w:val="24"/>
        </w:rPr>
        <w:t>2.样品留存要求：每日装货完毕后，中标人须按</w:t>
      </w:r>
      <w:r>
        <w:rPr>
          <w:rFonts w:hint="eastAsia" w:ascii="宋体" w:hAnsi="宋体" w:cs="宋体"/>
          <w:bCs/>
          <w:sz w:val="24"/>
        </w:rPr>
        <w:t>南通兴环环境卫生服务有限公司</w:t>
      </w:r>
      <w:r>
        <w:rPr>
          <w:rFonts w:hint="eastAsia" w:ascii="宋体" w:hAnsi="宋体" w:cs="宋体"/>
          <w:sz w:val="24"/>
        </w:rPr>
        <w:t>指定标准及流程，对当次运输燃料留存样品，样品需标注日期、装货地点、燃料类型等关键信息，由</w:t>
      </w:r>
      <w:r>
        <w:rPr>
          <w:rFonts w:hint="eastAsia" w:ascii="宋体" w:hAnsi="宋体" w:cs="宋体"/>
          <w:bCs/>
          <w:sz w:val="24"/>
        </w:rPr>
        <w:t>南通兴环环境卫生服务有限公司</w:t>
      </w:r>
      <w:r>
        <w:rPr>
          <w:rFonts w:hint="eastAsia" w:ascii="宋体" w:hAnsi="宋体" w:cs="宋体"/>
          <w:sz w:val="24"/>
        </w:rPr>
        <w:t>与中标人共同封存保管，留存期限不少于项目对应批次运输任务完成后30日（样品留存仅为运输质量追溯使用，不涉及燃料储存）；</w:t>
      </w:r>
    </w:p>
    <w:p w14:paraId="5A7E7FBE">
      <w:pPr>
        <w:spacing w:line="420" w:lineRule="exact"/>
        <w:ind w:firstLine="480" w:firstLineChars="200"/>
        <w:rPr>
          <w:rFonts w:ascii="宋体" w:hAnsi="宋体" w:cs="宋体"/>
          <w:sz w:val="24"/>
        </w:rPr>
      </w:pPr>
      <w:r>
        <w:rPr>
          <w:rFonts w:hint="eastAsia" w:ascii="宋体" w:hAnsi="宋体" w:cs="宋体"/>
          <w:sz w:val="24"/>
        </w:rPr>
        <w:t>3.运输计划确认：中标人须在每日18:00前，与</w:t>
      </w:r>
      <w:r>
        <w:rPr>
          <w:rFonts w:hint="eastAsia" w:ascii="宋体" w:hAnsi="宋体" w:cs="宋体"/>
          <w:bCs/>
          <w:sz w:val="24"/>
        </w:rPr>
        <w:t>南通兴环环境卫生服务有限公司</w:t>
      </w:r>
      <w:r>
        <w:rPr>
          <w:rFonts w:hint="eastAsia" w:ascii="宋体" w:hAnsi="宋体" w:cs="宋体"/>
          <w:sz w:val="24"/>
        </w:rPr>
        <w:t>指定对接人确认次日装货数量、装货具体时间等核心信息，并签署确认单（可采用电子签章或书面签章形式），确保信息一致；</w:t>
      </w:r>
    </w:p>
    <w:p w14:paraId="298B8185">
      <w:pPr>
        <w:spacing w:line="420" w:lineRule="exact"/>
        <w:ind w:firstLine="480" w:firstLineChars="200"/>
        <w:rPr>
          <w:rFonts w:ascii="宋体" w:hAnsi="宋体" w:cs="宋体"/>
          <w:sz w:val="24"/>
        </w:rPr>
      </w:pPr>
      <w:r>
        <w:rPr>
          <w:rFonts w:hint="eastAsia" w:ascii="宋体" w:hAnsi="宋体" w:cs="宋体"/>
          <w:sz w:val="24"/>
        </w:rPr>
        <w:t>4.送货及通行证办理：</w:t>
      </w:r>
    </w:p>
    <w:p w14:paraId="0AA3BE22">
      <w:pPr>
        <w:spacing w:line="420" w:lineRule="exact"/>
        <w:ind w:firstLine="480" w:firstLineChars="200"/>
        <w:rPr>
          <w:rFonts w:ascii="宋体" w:hAnsi="宋体" w:cs="宋体"/>
          <w:sz w:val="24"/>
        </w:rPr>
      </w:pPr>
      <w:r>
        <w:rPr>
          <w:rFonts w:hint="eastAsia" w:ascii="宋体" w:hAnsi="宋体" w:cs="宋体"/>
          <w:sz w:val="24"/>
        </w:rPr>
        <w:t>（1）送货地点由</w:t>
      </w:r>
      <w:r>
        <w:rPr>
          <w:rFonts w:hint="eastAsia" w:ascii="宋体" w:hAnsi="宋体" w:cs="宋体"/>
          <w:bCs/>
          <w:sz w:val="24"/>
        </w:rPr>
        <w:t>南通兴环环境卫生服务有限公司</w:t>
      </w:r>
      <w:r>
        <w:rPr>
          <w:rFonts w:hint="eastAsia" w:ascii="宋体" w:hAnsi="宋体" w:cs="宋体"/>
          <w:sz w:val="24"/>
        </w:rPr>
        <w:t>提前1个工作日告知中标人，送货地点可能存在动态调整，中标人须无条件配合；</w:t>
      </w:r>
    </w:p>
    <w:p w14:paraId="5D276B69">
      <w:pPr>
        <w:spacing w:line="420" w:lineRule="exact"/>
        <w:ind w:firstLine="480" w:firstLineChars="200"/>
        <w:rPr>
          <w:rFonts w:ascii="宋体" w:hAnsi="宋体" w:cs="宋体"/>
          <w:sz w:val="24"/>
        </w:rPr>
      </w:pPr>
      <w:r>
        <w:rPr>
          <w:rFonts w:hint="eastAsia" w:ascii="宋体" w:hAnsi="宋体" w:cs="宋体"/>
          <w:sz w:val="24"/>
        </w:rPr>
        <w:t>（2）若次日送货地点涉及城市禁区、限行区域，中标人须根据</w:t>
      </w:r>
      <w:r>
        <w:rPr>
          <w:rFonts w:hint="eastAsia" w:ascii="宋体" w:hAnsi="宋体" w:cs="宋体"/>
          <w:bCs/>
          <w:sz w:val="24"/>
        </w:rPr>
        <w:t>南通兴环环境卫生服务有限公司</w:t>
      </w:r>
      <w:r>
        <w:rPr>
          <w:rFonts w:hint="eastAsia" w:ascii="宋体" w:hAnsi="宋体" w:cs="宋体"/>
          <w:sz w:val="24"/>
        </w:rPr>
        <w:t>告知的送货地点，提前1个工作日自行负责办理有效禁区通行证（含临时通行证），相关办理费用由中标人承担；</w:t>
      </w:r>
    </w:p>
    <w:p w14:paraId="4C39D1DC">
      <w:pPr>
        <w:spacing w:line="420" w:lineRule="exact"/>
        <w:ind w:firstLine="480" w:firstLineChars="200"/>
        <w:rPr>
          <w:rFonts w:ascii="宋体" w:hAnsi="宋体" w:cs="宋体"/>
          <w:b/>
          <w:bCs/>
          <w:sz w:val="24"/>
        </w:rPr>
      </w:pPr>
      <w:r>
        <w:rPr>
          <w:rFonts w:hint="eastAsia" w:ascii="宋体" w:hAnsi="宋体" w:cs="宋体"/>
          <w:sz w:val="24"/>
        </w:rPr>
        <w:t>（3）中标人应充分预判不同送货地点的运输路线、通行限制等情况，确保按时、安全送达，因未及时办理通行证导致无法按时送货的，由中标人承担全部责任。</w:t>
      </w:r>
    </w:p>
    <w:p w14:paraId="412C7DD0">
      <w:pPr>
        <w:spacing w:line="460" w:lineRule="exact"/>
        <w:ind w:firstLine="482" w:firstLineChars="200"/>
        <w:rPr>
          <w:sz w:val="24"/>
        </w:rPr>
      </w:pPr>
      <w:r>
        <w:rPr>
          <w:rFonts w:hint="eastAsia" w:ascii="宋体" w:hAnsi="宋体" w:cs="宋体"/>
          <w:b/>
          <w:bCs/>
          <w:sz w:val="24"/>
        </w:rPr>
        <w:t>三、付款方式</w:t>
      </w:r>
    </w:p>
    <w:p w14:paraId="00904257">
      <w:pPr>
        <w:spacing w:line="420" w:lineRule="exact"/>
        <w:ind w:firstLine="480" w:firstLineChars="200"/>
        <w:rPr>
          <w:rFonts w:ascii="宋体" w:hAnsi="宋体" w:cs="宋体"/>
          <w:sz w:val="24"/>
        </w:rPr>
      </w:pPr>
      <w:r>
        <w:rPr>
          <w:rFonts w:ascii="宋体" w:hAnsi="宋体" w:cs="宋体"/>
          <w:sz w:val="24"/>
        </w:rPr>
        <w:t>（一）结算依据</w:t>
      </w:r>
    </w:p>
    <w:p w14:paraId="675EFC52">
      <w:pPr>
        <w:spacing w:line="420" w:lineRule="exact"/>
        <w:ind w:firstLine="480" w:firstLineChars="200"/>
        <w:rPr>
          <w:rFonts w:ascii="宋体" w:hAnsi="宋体" w:cs="宋体"/>
          <w:sz w:val="24"/>
        </w:rPr>
      </w:pPr>
      <w:r>
        <w:rPr>
          <w:rFonts w:ascii="宋体" w:hAnsi="宋体" w:cs="宋体"/>
          <w:sz w:val="24"/>
        </w:rPr>
        <w:t>本项目结算核心依据为实际运输里程及实际消耗燃料量，该两项数据须经南通兴环环境卫生服务有限公司</w:t>
      </w:r>
      <w:r>
        <w:rPr>
          <w:rFonts w:hint="eastAsia" w:ascii="宋体" w:hAnsi="宋体" w:cs="宋体"/>
          <w:sz w:val="24"/>
        </w:rPr>
        <w:t>、</w:t>
      </w:r>
      <w:r>
        <w:rPr>
          <w:rFonts w:ascii="宋体" w:hAnsi="宋体" w:cs="宋体"/>
          <w:sz w:val="24"/>
        </w:rPr>
        <w:t>南通好通能源有限公司与中标人共同核对确认，形成《月度运输数据确认单》，经</w:t>
      </w:r>
      <w:r>
        <w:rPr>
          <w:rFonts w:hint="eastAsia" w:ascii="宋体" w:hAnsi="宋体" w:cs="宋体"/>
          <w:sz w:val="24"/>
        </w:rPr>
        <w:t>三方</w:t>
      </w:r>
      <w:r>
        <w:rPr>
          <w:rFonts w:ascii="宋体" w:hAnsi="宋体" w:cs="宋体"/>
          <w:sz w:val="24"/>
        </w:rPr>
        <w:t>授权代表签字并加盖公章（或合同专用章）后生效，作为后续开票及付款的基础凭证</w:t>
      </w:r>
      <w:r>
        <w:rPr>
          <w:rFonts w:hint="eastAsia" w:ascii="宋体" w:hAnsi="宋体" w:cs="宋体"/>
          <w:sz w:val="24"/>
        </w:rPr>
        <w:t>。</w:t>
      </w:r>
    </w:p>
    <w:p w14:paraId="706C329D">
      <w:pPr>
        <w:spacing w:line="420" w:lineRule="exact"/>
        <w:ind w:firstLine="480" w:firstLineChars="200"/>
        <w:rPr>
          <w:rFonts w:ascii="宋体" w:hAnsi="宋体" w:cs="宋体"/>
          <w:sz w:val="24"/>
        </w:rPr>
      </w:pPr>
      <w:r>
        <w:rPr>
          <w:rFonts w:ascii="宋体" w:hAnsi="宋体" w:cs="宋体"/>
          <w:sz w:val="24"/>
        </w:rPr>
        <w:t>实际运输里程按南通兴环环境卫生服务有限公司指定运输路线核定，每月集中核对一次（核对周期为自然月，即每月1日至当月月末），</w:t>
      </w:r>
      <w:r>
        <w:rPr>
          <w:rFonts w:hint="eastAsia" w:ascii="宋体" w:hAnsi="宋体" w:cs="宋体"/>
          <w:sz w:val="24"/>
        </w:rPr>
        <w:t>未经甲方书面同意</w:t>
      </w:r>
      <w:r>
        <w:rPr>
          <w:rFonts w:hint="eastAsia" w:ascii="宋体" w:hAnsi="宋体" w:cs="宋体"/>
          <w:sz w:val="24"/>
          <w:lang w:val="en-US" w:eastAsia="zh-CN"/>
        </w:rPr>
        <w:t>中标人</w:t>
      </w:r>
      <w:r>
        <w:rPr>
          <w:rFonts w:hint="eastAsia" w:ascii="宋体" w:hAnsi="宋体" w:cs="宋体"/>
          <w:sz w:val="24"/>
        </w:rPr>
        <w:t>不得擅自变更运输路线，否则甲方有权不予核算该次运输里程。</w:t>
      </w:r>
      <w:r>
        <w:rPr>
          <w:rFonts w:ascii="宋体" w:hAnsi="宋体" w:cs="宋体"/>
          <w:sz w:val="24"/>
        </w:rPr>
        <w:t>中标人须在次月5个工作日内提交当月运输里程、燃料量相关佐证材料（含运输单据、样品留存记录、车辆定位轨迹等），配合南通兴环环境卫生服务有限公司完成数据核对。</w:t>
      </w:r>
    </w:p>
    <w:p w14:paraId="4BD1DF03">
      <w:pPr>
        <w:spacing w:line="420" w:lineRule="exact"/>
        <w:ind w:firstLine="480" w:firstLineChars="200"/>
        <w:rPr>
          <w:rFonts w:ascii="宋体" w:hAnsi="宋体" w:cs="宋体"/>
          <w:sz w:val="24"/>
        </w:rPr>
      </w:pPr>
      <w:r>
        <w:rPr>
          <w:rFonts w:ascii="宋体" w:hAnsi="宋体" w:cs="宋体"/>
          <w:sz w:val="24"/>
        </w:rPr>
        <w:t>（二）开票要求</w:t>
      </w:r>
    </w:p>
    <w:p w14:paraId="4D94EE3D">
      <w:pPr>
        <w:spacing w:line="420" w:lineRule="exact"/>
        <w:ind w:firstLine="480" w:firstLineChars="200"/>
        <w:rPr>
          <w:rFonts w:ascii="宋体" w:hAnsi="宋体" w:cs="宋体"/>
          <w:sz w:val="24"/>
        </w:rPr>
      </w:pPr>
      <w:r>
        <w:rPr>
          <w:rFonts w:ascii="宋体" w:hAnsi="宋体" w:cs="宋体"/>
          <w:sz w:val="24"/>
        </w:rPr>
        <w:t>中标人应在与南通兴环环境卫生服务有限公司</w:t>
      </w:r>
      <w:r>
        <w:rPr>
          <w:rFonts w:hint="eastAsia" w:ascii="宋体" w:hAnsi="宋体" w:cs="宋体"/>
          <w:sz w:val="24"/>
        </w:rPr>
        <w:t>、</w:t>
      </w:r>
      <w:r>
        <w:rPr>
          <w:rFonts w:ascii="宋体" w:hAnsi="宋体" w:cs="宋体"/>
          <w:sz w:val="24"/>
        </w:rPr>
        <w:t>南通好通能源有限公司就结算数据达成一致后，依据确认的《月度运输数据确认单》及本项目合同约定的固定单价，向南通兴环环境卫生服务有限公司开具合法有效、符合国家税务规定的增值税发票（发票类型、税率等按国家最新政策及合同约定执行）。</w:t>
      </w:r>
    </w:p>
    <w:p w14:paraId="39B42BEA">
      <w:pPr>
        <w:spacing w:line="420" w:lineRule="exact"/>
        <w:ind w:firstLine="480" w:firstLineChars="200"/>
        <w:rPr>
          <w:rFonts w:ascii="宋体" w:hAnsi="宋体" w:cs="宋体"/>
          <w:sz w:val="24"/>
        </w:rPr>
      </w:pPr>
      <w:r>
        <w:rPr>
          <w:rFonts w:ascii="宋体" w:hAnsi="宋体" w:cs="宋体"/>
          <w:sz w:val="24"/>
        </w:rPr>
        <w:t>南通好通能源有限公司应在与南通兴环环境卫生服务有限公司就结算数据达成一致</w:t>
      </w:r>
      <w:r>
        <w:rPr>
          <w:rFonts w:hint="eastAsia" w:ascii="宋体" w:hAnsi="宋体" w:cs="宋体"/>
          <w:sz w:val="24"/>
        </w:rPr>
        <w:t>后</w:t>
      </w:r>
      <w:r>
        <w:rPr>
          <w:rFonts w:ascii="宋体" w:hAnsi="宋体" w:cs="宋体"/>
          <w:sz w:val="24"/>
        </w:rPr>
        <w:t>，</w:t>
      </w:r>
      <w:r>
        <w:rPr>
          <w:rFonts w:hint="eastAsia" w:ascii="宋体" w:hAnsi="宋体" w:cs="宋体"/>
          <w:sz w:val="24"/>
        </w:rPr>
        <w:t>结算单价根据撬装加油设施项目建设运营三方协议计取服务费</w:t>
      </w:r>
      <w:r>
        <w:rPr>
          <w:rFonts w:ascii="宋体" w:hAnsi="宋体" w:cs="宋体"/>
          <w:sz w:val="24"/>
        </w:rPr>
        <w:t>，向南通兴环环境卫生服务有限公司开具合法有效、符合国家税务规定的增值税发票（发票类型、税率等按国家最新政策及合同约定执行）。</w:t>
      </w:r>
    </w:p>
    <w:p w14:paraId="217132A9">
      <w:pPr>
        <w:spacing w:line="420" w:lineRule="exact"/>
        <w:ind w:firstLine="480" w:firstLineChars="200"/>
        <w:rPr>
          <w:rFonts w:ascii="宋体" w:hAnsi="宋体" w:cs="宋体"/>
          <w:sz w:val="24"/>
        </w:rPr>
      </w:pPr>
      <w:r>
        <w:rPr>
          <w:rFonts w:ascii="宋体" w:hAnsi="宋体" w:cs="宋体"/>
          <w:sz w:val="24"/>
        </w:rPr>
        <w:t>发票抬头须准确填写“南通兴环环境卫生服务有限公司”</w:t>
      </w:r>
      <w:r>
        <w:rPr>
          <w:rFonts w:hint="eastAsia" w:ascii="宋体" w:hAnsi="宋体" w:cs="宋体"/>
          <w:sz w:val="24"/>
        </w:rPr>
        <w:t>，</w:t>
      </w:r>
      <w:r>
        <w:rPr>
          <w:rFonts w:ascii="宋体" w:hAnsi="宋体" w:cs="宋体"/>
          <w:sz w:val="24"/>
        </w:rPr>
        <w:t>发票内容应与本项目运输服务相关，票面信息（含金额、税额、项目名称等）须与《月度运输数据确认单》一致，否则南通兴环环境卫生服务有限公司有权拒收发票，且不承担逾期付款责任。</w:t>
      </w:r>
    </w:p>
    <w:p w14:paraId="332517D4">
      <w:pPr>
        <w:spacing w:line="420" w:lineRule="exact"/>
        <w:ind w:firstLine="480" w:firstLineChars="200"/>
        <w:rPr>
          <w:rFonts w:ascii="宋体" w:hAnsi="宋体" w:cs="宋体"/>
          <w:sz w:val="24"/>
        </w:rPr>
      </w:pPr>
      <w:r>
        <w:rPr>
          <w:rFonts w:ascii="宋体" w:hAnsi="宋体" w:cs="宋体"/>
          <w:sz w:val="24"/>
        </w:rPr>
        <w:t>（三）付款周期与流程</w:t>
      </w:r>
    </w:p>
    <w:p w14:paraId="2128EDB9">
      <w:pPr>
        <w:spacing w:line="420" w:lineRule="exact"/>
        <w:ind w:firstLine="480" w:firstLineChars="200"/>
        <w:rPr>
          <w:rFonts w:ascii="宋体" w:hAnsi="宋体" w:cs="宋体"/>
          <w:sz w:val="24"/>
        </w:rPr>
      </w:pPr>
      <w:r>
        <w:rPr>
          <w:rFonts w:ascii="宋体" w:hAnsi="宋体" w:cs="宋体"/>
          <w:sz w:val="24"/>
        </w:rPr>
        <w:t>本项目实行半年结算付款制，结算周期为每6个自然月（即1-6月、7-12月）。</w:t>
      </w:r>
    </w:p>
    <w:p w14:paraId="58227B77">
      <w:pPr>
        <w:spacing w:line="420" w:lineRule="exact"/>
        <w:ind w:firstLine="480" w:firstLineChars="200"/>
        <w:rPr>
          <w:rFonts w:ascii="宋体" w:hAnsi="宋体" w:cs="宋体"/>
          <w:sz w:val="24"/>
        </w:rPr>
      </w:pPr>
      <w:r>
        <w:rPr>
          <w:rFonts w:hint="eastAsia" w:ascii="宋体" w:hAnsi="宋体" w:cs="宋体"/>
          <w:sz w:val="24"/>
        </w:rPr>
        <w:t>中标人应在每个结算周期结束后10个工作日内，将该周期内所有《月度运输数据确认单》及对应合规发票提交至南通兴环环境卫生服务有限公司指定对接部门，由南通兴环环境卫生服务有限公司按规定程序报送相关部门进行审核（送审）。</w:t>
      </w:r>
    </w:p>
    <w:p w14:paraId="366096F6">
      <w:pPr>
        <w:spacing w:line="420" w:lineRule="exact"/>
        <w:ind w:firstLine="480" w:firstLineChars="200"/>
        <w:rPr>
          <w:rFonts w:ascii="宋体" w:hAnsi="宋体" w:cs="宋体"/>
          <w:sz w:val="24"/>
        </w:rPr>
      </w:pPr>
      <w:r>
        <w:rPr>
          <w:rFonts w:hint="eastAsia" w:ascii="宋体" w:hAnsi="宋体" w:cs="宋体"/>
          <w:sz w:val="24"/>
        </w:rPr>
        <w:t>南通兴环环境卫生服务有限公司在收到送审部门审核通过的结果后，于20个工作日内按双方确认的结算金额，通过银行转账方式向中标人支付对应款项。</w:t>
      </w:r>
    </w:p>
    <w:p w14:paraId="33DCF136">
      <w:pPr>
        <w:spacing w:line="420" w:lineRule="exact"/>
        <w:ind w:firstLine="480" w:firstLineChars="200"/>
        <w:rPr>
          <w:rFonts w:ascii="宋体" w:hAnsi="宋体" w:cs="宋体"/>
          <w:sz w:val="24"/>
        </w:rPr>
      </w:pPr>
      <w:r>
        <w:rPr>
          <w:rFonts w:hint="eastAsia" w:ascii="宋体" w:hAnsi="宋体" w:cs="宋体"/>
          <w:sz w:val="24"/>
        </w:rPr>
        <w:t>若送审过程中发现结算资料存在异议或问题，中标人须在收到通知后5个工作日内补充完善相关材料，送审、审核及付款周期相应顺延；因中标人提供资料不符合要求导致付款延迟的，南通兴环环境卫生服务有限公司不承担违约责任。</w:t>
      </w:r>
    </w:p>
    <w:p w14:paraId="28DF306C">
      <w:pPr>
        <w:spacing w:line="420" w:lineRule="exact"/>
        <w:ind w:firstLine="480" w:firstLineChars="200"/>
        <w:rPr>
          <w:rFonts w:ascii="宋体" w:hAnsi="宋体" w:cs="宋体"/>
          <w:sz w:val="24"/>
        </w:rPr>
      </w:pPr>
      <w:r>
        <w:rPr>
          <w:rFonts w:ascii="宋体" w:hAnsi="宋体" w:cs="宋体"/>
          <w:sz w:val="24"/>
        </w:rPr>
        <w:t>（四）其他约定</w:t>
      </w:r>
    </w:p>
    <w:p w14:paraId="59A659F5">
      <w:pPr>
        <w:spacing w:line="420" w:lineRule="exact"/>
        <w:ind w:firstLine="480" w:firstLineChars="200"/>
        <w:rPr>
          <w:rFonts w:ascii="宋体" w:hAnsi="宋体" w:cs="宋体"/>
          <w:sz w:val="24"/>
        </w:rPr>
      </w:pPr>
      <w:r>
        <w:rPr>
          <w:rFonts w:ascii="宋体" w:hAnsi="宋体" w:cs="宋体"/>
          <w:sz w:val="24"/>
        </w:rPr>
        <w:t>中标人未按约定时间提交结算资料或开具发票的，南通兴环环境卫生服务有限公司有权顺延付款，且不支付逾期付款利息。</w:t>
      </w:r>
    </w:p>
    <w:p w14:paraId="58D6FEA5">
      <w:pPr>
        <w:spacing w:line="420" w:lineRule="exact"/>
        <w:ind w:firstLine="480" w:firstLineChars="200"/>
        <w:rPr>
          <w:sz w:val="24"/>
        </w:rPr>
      </w:pPr>
      <w:r>
        <w:rPr>
          <w:rFonts w:ascii="宋体" w:hAnsi="宋体" w:cs="宋体"/>
          <w:sz w:val="24"/>
        </w:rPr>
        <w:t>所有结算凭证（含确认单、发票、银行回单等）需留存备查，保存期限不少于项目合同履行完毕后</w:t>
      </w:r>
      <w:r>
        <w:rPr>
          <w:rFonts w:hint="eastAsia" w:ascii="宋体" w:hAnsi="宋体" w:cs="宋体"/>
          <w:sz w:val="24"/>
        </w:rPr>
        <w:t>2</w:t>
      </w:r>
      <w:r>
        <w:rPr>
          <w:rFonts w:ascii="宋体" w:hAnsi="宋体" w:cs="宋体"/>
          <w:sz w:val="24"/>
        </w:rPr>
        <w:t>年，</w:t>
      </w:r>
      <w:r>
        <w:rPr>
          <w:rFonts w:hint="eastAsia" w:ascii="宋体" w:hAnsi="宋体" w:cs="宋体"/>
          <w:sz w:val="24"/>
        </w:rPr>
        <w:t>南通兴环环境卫生服务有限公司</w:t>
      </w:r>
      <w:r>
        <w:rPr>
          <w:rFonts w:ascii="宋体" w:hAnsi="宋体" w:cs="宋体"/>
          <w:sz w:val="24"/>
        </w:rPr>
        <w:t>有权对结算数据进行抽查复核，中标人须配合提供相关原始凭证。</w:t>
      </w:r>
    </w:p>
    <w:p w14:paraId="0B686890">
      <w:pPr>
        <w:spacing w:line="460" w:lineRule="exact"/>
        <w:ind w:firstLine="482" w:firstLineChars="200"/>
        <w:rPr>
          <w:rFonts w:ascii="宋体" w:hAnsi="宋体" w:cs="宋体"/>
          <w:b/>
          <w:bCs/>
          <w:sz w:val="28"/>
          <w:szCs w:val="28"/>
        </w:rPr>
      </w:pPr>
      <w:r>
        <w:rPr>
          <w:rFonts w:hint="eastAsia" w:ascii="宋体" w:hAnsi="宋体" w:cs="宋体"/>
          <w:b/>
          <w:bCs/>
          <w:sz w:val="24"/>
        </w:rPr>
        <w:t>四、合同样本</w:t>
      </w:r>
    </w:p>
    <w:p w14:paraId="2181A623">
      <w:pPr>
        <w:rPr>
          <w:rFonts w:ascii="宋体" w:hAnsi="宋体" w:cs="宋体"/>
          <w:b/>
          <w:bCs/>
          <w:sz w:val="28"/>
          <w:szCs w:val="28"/>
        </w:rPr>
      </w:pPr>
      <w:r>
        <w:rPr>
          <w:rFonts w:hint="eastAsia" w:ascii="宋体" w:hAnsi="宋体" w:cs="宋体"/>
          <w:b/>
          <w:bCs/>
          <w:sz w:val="28"/>
          <w:szCs w:val="28"/>
        </w:rPr>
        <w:br w:type="page"/>
      </w:r>
    </w:p>
    <w:p w14:paraId="5CFA473B">
      <w:pPr>
        <w:spacing w:line="600" w:lineRule="exact"/>
        <w:jc w:val="center"/>
        <w:rPr>
          <w:b/>
          <w:bCs/>
          <w:sz w:val="32"/>
          <w:szCs w:val="32"/>
        </w:rPr>
      </w:pPr>
      <w:r>
        <w:rPr>
          <w:rFonts w:hint="eastAsia"/>
          <w:b/>
          <w:bCs/>
          <w:sz w:val="32"/>
          <w:szCs w:val="32"/>
        </w:rPr>
        <w:t>南通兴环环境卫生服务有限公司</w:t>
      </w:r>
    </w:p>
    <w:p w14:paraId="13F0EED3">
      <w:pPr>
        <w:spacing w:line="600" w:lineRule="exact"/>
        <w:jc w:val="center"/>
        <w:rPr>
          <w:b/>
          <w:bCs/>
          <w:sz w:val="32"/>
          <w:szCs w:val="32"/>
        </w:rPr>
      </w:pPr>
      <w:r>
        <w:rPr>
          <w:rFonts w:hint="eastAsia"/>
          <w:b/>
          <w:bCs/>
          <w:sz w:val="32"/>
          <w:szCs w:val="32"/>
        </w:rPr>
        <w:t>燃料调配项目三方协议</w:t>
      </w:r>
    </w:p>
    <w:p w14:paraId="1E054105"/>
    <w:p w14:paraId="3B82CBE4">
      <w:pPr>
        <w:ind w:firstLine="6000" w:firstLineChars="2500"/>
        <w:rPr>
          <w:rFonts w:ascii="宋体" w:hAnsi="宋体" w:cs="宋体"/>
          <w:sz w:val="24"/>
        </w:rPr>
      </w:pPr>
      <w:r>
        <w:rPr>
          <w:rFonts w:hint="eastAsia" w:ascii="宋体" w:hAnsi="宋体" w:cs="宋体"/>
          <w:sz w:val="24"/>
        </w:rPr>
        <w:t>合同编号：</w:t>
      </w:r>
    </w:p>
    <w:p w14:paraId="7B2B64FF">
      <w:pPr>
        <w:ind w:firstLine="6000" w:firstLineChars="2500"/>
        <w:rPr>
          <w:rFonts w:ascii="宋体" w:hAnsi="宋体" w:cs="宋体"/>
          <w:sz w:val="24"/>
        </w:rPr>
      </w:pPr>
      <w:r>
        <w:rPr>
          <w:rFonts w:hint="eastAsia" w:ascii="宋体" w:hAnsi="宋体" w:cs="宋体"/>
          <w:sz w:val="24"/>
        </w:rPr>
        <w:t>合同签订地点：南通市崇川区</w:t>
      </w:r>
    </w:p>
    <w:p w14:paraId="3A60F6EA">
      <w:pPr>
        <w:ind w:firstLine="6000" w:firstLineChars="2500"/>
        <w:rPr>
          <w:rFonts w:ascii="宋体" w:hAnsi="宋体" w:cs="宋体"/>
          <w:sz w:val="24"/>
        </w:rPr>
      </w:pPr>
      <w:r>
        <w:rPr>
          <w:rFonts w:hint="eastAsia" w:ascii="宋体" w:hAnsi="宋体" w:cs="宋体"/>
          <w:sz w:val="24"/>
        </w:rPr>
        <w:t>签订时间：</w:t>
      </w:r>
    </w:p>
    <w:p w14:paraId="3DC57FA3">
      <w:pPr>
        <w:rPr>
          <w:rFonts w:ascii="宋体" w:hAnsi="宋体" w:cs="宋体"/>
          <w:sz w:val="24"/>
        </w:rPr>
      </w:pPr>
    </w:p>
    <w:p w14:paraId="1126FEFA">
      <w:pPr>
        <w:rPr>
          <w:rFonts w:ascii="宋体" w:hAnsi="宋体" w:cs="宋体"/>
          <w:sz w:val="24"/>
        </w:rPr>
      </w:pPr>
      <w:r>
        <w:rPr>
          <w:rFonts w:hint="eastAsia" w:ascii="宋体" w:hAnsi="宋体" w:cs="宋体"/>
          <w:sz w:val="24"/>
        </w:rPr>
        <w:t>甲方（使用单位）</w:t>
      </w:r>
    </w:p>
    <w:p w14:paraId="750E8A8C">
      <w:pPr>
        <w:rPr>
          <w:rFonts w:ascii="宋体" w:hAnsi="宋体" w:cs="宋体"/>
          <w:sz w:val="24"/>
        </w:rPr>
      </w:pPr>
      <w:r>
        <w:rPr>
          <w:rFonts w:hint="eastAsia" w:ascii="宋体" w:hAnsi="宋体" w:cs="宋体"/>
          <w:sz w:val="24"/>
        </w:rPr>
        <w:t>名称：南通兴环环境卫生服务有限公司</w:t>
      </w:r>
    </w:p>
    <w:p w14:paraId="085D57B4">
      <w:pPr>
        <w:rPr>
          <w:rFonts w:ascii="宋体" w:hAnsi="宋体" w:cs="宋体"/>
          <w:sz w:val="24"/>
        </w:rPr>
      </w:pPr>
      <w:r>
        <w:rPr>
          <w:rFonts w:ascii="宋体" w:hAnsi="宋体" w:cs="宋体"/>
          <w:sz w:val="24"/>
        </w:rPr>
        <w:t>地址：</w:t>
      </w:r>
    </w:p>
    <w:p w14:paraId="601C2151">
      <w:pPr>
        <w:rPr>
          <w:rFonts w:ascii="宋体" w:hAnsi="宋体" w:cs="宋体"/>
          <w:sz w:val="24"/>
        </w:rPr>
      </w:pPr>
      <w:r>
        <w:rPr>
          <w:rFonts w:ascii="宋体" w:hAnsi="宋体" w:cs="宋体"/>
          <w:sz w:val="24"/>
        </w:rPr>
        <w:t>联系人：</w:t>
      </w:r>
    </w:p>
    <w:p w14:paraId="2604416C">
      <w:pPr>
        <w:rPr>
          <w:rFonts w:ascii="宋体" w:hAnsi="宋体" w:cs="宋体"/>
          <w:sz w:val="24"/>
        </w:rPr>
      </w:pPr>
      <w:r>
        <w:rPr>
          <w:rFonts w:ascii="宋体" w:hAnsi="宋体" w:cs="宋体"/>
          <w:sz w:val="24"/>
        </w:rPr>
        <w:t>联系方式：</w:t>
      </w:r>
    </w:p>
    <w:p w14:paraId="71959D7A">
      <w:pPr>
        <w:rPr>
          <w:rFonts w:ascii="宋体" w:hAnsi="宋体" w:cs="宋体"/>
          <w:sz w:val="24"/>
        </w:rPr>
      </w:pPr>
    </w:p>
    <w:p w14:paraId="1E2BD5F7">
      <w:pPr>
        <w:rPr>
          <w:rFonts w:ascii="宋体" w:hAnsi="宋体" w:cs="宋体"/>
          <w:sz w:val="24"/>
        </w:rPr>
      </w:pPr>
      <w:r>
        <w:rPr>
          <w:rFonts w:hint="eastAsia" w:ascii="宋体" w:hAnsi="宋体" w:cs="宋体"/>
          <w:sz w:val="24"/>
        </w:rPr>
        <w:t>乙方（燃料供应单位）</w:t>
      </w:r>
    </w:p>
    <w:p w14:paraId="4EB30A3D">
      <w:pPr>
        <w:rPr>
          <w:rFonts w:ascii="宋体" w:hAnsi="宋体" w:cs="宋体"/>
          <w:sz w:val="24"/>
        </w:rPr>
      </w:pPr>
      <w:r>
        <w:rPr>
          <w:rFonts w:hint="eastAsia" w:ascii="宋体" w:hAnsi="宋体" w:cs="宋体"/>
          <w:sz w:val="24"/>
        </w:rPr>
        <w:t>名称：南通好通能源有限公司</w:t>
      </w:r>
    </w:p>
    <w:p w14:paraId="5C6A6F35">
      <w:pPr>
        <w:rPr>
          <w:rFonts w:ascii="宋体" w:hAnsi="宋体" w:cs="宋体"/>
          <w:sz w:val="24"/>
        </w:rPr>
      </w:pPr>
      <w:r>
        <w:rPr>
          <w:rFonts w:ascii="宋体" w:hAnsi="宋体" w:cs="宋体"/>
          <w:sz w:val="24"/>
        </w:rPr>
        <w:t>地址：</w:t>
      </w:r>
    </w:p>
    <w:p w14:paraId="4C84B246">
      <w:pPr>
        <w:rPr>
          <w:rFonts w:ascii="宋体" w:hAnsi="宋体" w:cs="宋体"/>
          <w:sz w:val="24"/>
        </w:rPr>
      </w:pPr>
      <w:r>
        <w:rPr>
          <w:rFonts w:ascii="宋体" w:hAnsi="宋体" w:cs="宋体"/>
          <w:sz w:val="24"/>
        </w:rPr>
        <w:t>联系人：</w:t>
      </w:r>
    </w:p>
    <w:p w14:paraId="2C0D4A5B">
      <w:pPr>
        <w:rPr>
          <w:rFonts w:ascii="宋体" w:hAnsi="宋体" w:cs="宋体"/>
          <w:sz w:val="24"/>
        </w:rPr>
      </w:pPr>
      <w:r>
        <w:rPr>
          <w:rFonts w:ascii="宋体" w:hAnsi="宋体" w:cs="宋体"/>
          <w:sz w:val="24"/>
        </w:rPr>
        <w:t>联系方式：</w:t>
      </w:r>
    </w:p>
    <w:p w14:paraId="6C9C177E">
      <w:pPr>
        <w:rPr>
          <w:rFonts w:ascii="宋体" w:hAnsi="宋体" w:cs="宋体"/>
          <w:sz w:val="24"/>
        </w:rPr>
      </w:pPr>
    </w:p>
    <w:p w14:paraId="549A0D16">
      <w:pPr>
        <w:rPr>
          <w:rFonts w:ascii="宋体" w:hAnsi="宋体" w:cs="宋体"/>
          <w:sz w:val="24"/>
        </w:rPr>
      </w:pPr>
      <w:r>
        <w:rPr>
          <w:rFonts w:hint="eastAsia" w:ascii="宋体" w:hAnsi="宋体" w:cs="宋体"/>
          <w:sz w:val="24"/>
        </w:rPr>
        <w:t>丙方（承包合作单位）</w:t>
      </w:r>
    </w:p>
    <w:p w14:paraId="08F82239">
      <w:pPr>
        <w:rPr>
          <w:rFonts w:ascii="宋体" w:hAnsi="宋体" w:cs="宋体"/>
          <w:sz w:val="24"/>
        </w:rPr>
      </w:pPr>
      <w:r>
        <w:rPr>
          <w:rFonts w:hint="eastAsia" w:ascii="宋体" w:hAnsi="宋体" w:cs="宋体"/>
          <w:sz w:val="24"/>
        </w:rPr>
        <w:t>名称：</w:t>
      </w:r>
    </w:p>
    <w:p w14:paraId="4AF4733F">
      <w:pPr>
        <w:rPr>
          <w:rFonts w:ascii="宋体" w:hAnsi="宋体" w:cs="宋体"/>
          <w:sz w:val="24"/>
        </w:rPr>
      </w:pPr>
      <w:r>
        <w:rPr>
          <w:rFonts w:ascii="宋体" w:hAnsi="宋体" w:cs="宋体"/>
          <w:sz w:val="24"/>
        </w:rPr>
        <w:t>地址：</w:t>
      </w:r>
    </w:p>
    <w:p w14:paraId="0AD522C1">
      <w:pPr>
        <w:rPr>
          <w:rFonts w:ascii="宋体" w:hAnsi="宋体" w:cs="宋体"/>
          <w:sz w:val="24"/>
        </w:rPr>
      </w:pPr>
      <w:r>
        <w:rPr>
          <w:rFonts w:ascii="宋体" w:hAnsi="宋体" w:cs="宋体"/>
          <w:sz w:val="24"/>
        </w:rPr>
        <w:t>联系人：</w:t>
      </w:r>
    </w:p>
    <w:p w14:paraId="1BB946E1">
      <w:pPr>
        <w:snapToGrid w:val="0"/>
        <w:spacing w:line="400" w:lineRule="exact"/>
        <w:rPr>
          <w:rFonts w:ascii="宋体" w:hAnsi="宋体" w:cs="宋体"/>
          <w:sz w:val="24"/>
        </w:rPr>
      </w:pPr>
      <w:r>
        <w:rPr>
          <w:rFonts w:ascii="宋体" w:hAnsi="宋体" w:cs="宋体"/>
          <w:sz w:val="24"/>
        </w:rPr>
        <w:t>联系方式：</w:t>
      </w:r>
    </w:p>
    <w:p w14:paraId="0CB65AD0">
      <w:pPr>
        <w:snapToGrid w:val="0"/>
        <w:spacing w:line="400" w:lineRule="exact"/>
        <w:ind w:firstLine="480" w:firstLineChars="200"/>
        <w:rPr>
          <w:rFonts w:ascii="宋体" w:hAnsi="宋体" w:cs="宋体"/>
          <w:sz w:val="24"/>
        </w:rPr>
      </w:pPr>
      <w:r>
        <w:rPr>
          <w:rFonts w:hint="eastAsia" w:ascii="宋体" w:hAnsi="宋体" w:cs="宋体"/>
          <w:sz w:val="24"/>
        </w:rPr>
        <w:t>根据《中华人民共和国民法典》和其它法律法规有关规定，在平等自愿、协商一致的基础上，订立本合同。</w:t>
      </w:r>
    </w:p>
    <w:p w14:paraId="50F6F073">
      <w:pPr>
        <w:snapToGrid w:val="0"/>
        <w:spacing w:line="400" w:lineRule="exact"/>
        <w:ind w:firstLine="480" w:firstLineChars="200"/>
        <w:rPr>
          <w:rFonts w:ascii="宋体" w:hAnsi="宋体" w:cs="宋体"/>
          <w:sz w:val="24"/>
        </w:rPr>
      </w:pPr>
      <w:r>
        <w:rPr>
          <w:rFonts w:hint="eastAsia" w:ascii="宋体" w:hAnsi="宋体" w:cs="宋体"/>
          <w:sz w:val="24"/>
        </w:rPr>
        <w:t>履约保证金：本项目履约保证金为84000元，缴纳形式：银行转账（必须从投标人基本账户转出）或现金或保函等形式，具体方式经甲方确认后由丙方进行缴纳。所有项目履约完成后，扣除违约金、损失赔偿金后，履约保证金的剩余金额予以</w:t>
      </w:r>
      <w:r>
        <w:rPr>
          <w:rFonts w:hint="eastAsia" w:ascii="宋体" w:hAnsi="宋体" w:cs="宋体"/>
          <w:sz w:val="24"/>
          <w:lang w:val="en-US" w:eastAsia="zh-CN"/>
        </w:rPr>
        <w:t>无息</w:t>
      </w:r>
      <w:r>
        <w:rPr>
          <w:rFonts w:hint="eastAsia" w:ascii="宋体" w:hAnsi="宋体" w:cs="宋体"/>
          <w:sz w:val="24"/>
        </w:rPr>
        <w:t>退还。</w:t>
      </w:r>
    </w:p>
    <w:p w14:paraId="59B28A1A">
      <w:pPr>
        <w:snapToGrid w:val="0"/>
        <w:spacing w:line="400" w:lineRule="exact"/>
        <w:ind w:firstLine="482" w:firstLineChars="200"/>
        <w:rPr>
          <w:rFonts w:ascii="宋体" w:hAnsi="宋体" w:cs="宋体"/>
          <w:b/>
          <w:bCs/>
          <w:sz w:val="24"/>
        </w:rPr>
      </w:pPr>
      <w:r>
        <w:rPr>
          <w:rFonts w:hint="eastAsia" w:ascii="宋体" w:hAnsi="宋体" w:cs="宋体"/>
          <w:b/>
          <w:bCs/>
          <w:sz w:val="24"/>
        </w:rPr>
        <w:t>第一条 运输车辆要求</w:t>
      </w:r>
    </w:p>
    <w:p w14:paraId="36615909">
      <w:pPr>
        <w:snapToGrid w:val="0"/>
        <w:spacing w:line="400" w:lineRule="exact"/>
        <w:ind w:firstLine="480" w:firstLineChars="200"/>
        <w:rPr>
          <w:rFonts w:ascii="宋体" w:hAnsi="宋体" w:cs="宋体"/>
          <w:sz w:val="24"/>
        </w:rPr>
      </w:pPr>
      <w:r>
        <w:rPr>
          <w:rFonts w:hint="eastAsia" w:ascii="宋体" w:hAnsi="宋体" w:cs="宋体"/>
          <w:sz w:val="24"/>
        </w:rPr>
        <w:t>1.为确保本项目燃料运输的持续稳定供应，丙方拟投入本项目的运输车辆，核定载重量须达到10吨及以上，且车辆技术状况良好、符合国家及地方相关安全运输标准（含尾气排放、车辆年检等要求），能满足项目不间断运输服务需求（本项目不涉及燃料储存环节，车辆仅承担运输功能）。</w:t>
      </w:r>
    </w:p>
    <w:p w14:paraId="6C95C8F4">
      <w:pPr>
        <w:snapToGrid w:val="0"/>
        <w:spacing w:line="400" w:lineRule="exact"/>
        <w:ind w:firstLine="480" w:firstLineChars="200"/>
        <w:rPr>
          <w:rFonts w:ascii="宋体" w:hAnsi="宋体" w:cs="宋体"/>
          <w:sz w:val="24"/>
        </w:rPr>
      </w:pPr>
      <w:r>
        <w:rPr>
          <w:rFonts w:hint="eastAsia" w:ascii="宋体" w:hAnsi="宋体" w:cs="宋体"/>
          <w:sz w:val="24"/>
        </w:rPr>
        <w:t>2.所有投入车辆须由甲方统一加装GPS定位设备，GPS定位设备需确保运行正常、定位精准，能实时反馈车辆行驶轨迹、停靠位置等信息，便于甲乙双方进行全程监督管理，相关加装费用及设备维护费用由丙方承担。</w:t>
      </w:r>
    </w:p>
    <w:p w14:paraId="691B8165">
      <w:pPr>
        <w:snapToGrid w:val="0"/>
        <w:spacing w:line="400" w:lineRule="exact"/>
        <w:ind w:firstLine="480" w:firstLineChars="200"/>
        <w:rPr>
          <w:rFonts w:ascii="宋体" w:hAnsi="宋体" w:cs="宋体"/>
          <w:sz w:val="24"/>
        </w:rPr>
      </w:pPr>
      <w:r>
        <w:rPr>
          <w:rFonts w:hint="eastAsia" w:ascii="宋体" w:hAnsi="宋体" w:cs="宋体"/>
          <w:sz w:val="24"/>
        </w:rPr>
        <w:t>3.所有投入车辆实行固定化管理，一经中标确认，未经甲方书面同意，丙方不得擅自更换车辆。若因车辆故障等特殊情况需临时调整，丙方须提前3个工作日向甲方提交书面申请及替代车辆完整资质材料，经甲方审核通过后方可更换，且替代车辆各项标准不得低于原指定车辆，同时替代车辆须按要求完成GPS定位设备加装并接入指定监管系统。</w:t>
      </w:r>
    </w:p>
    <w:p w14:paraId="3E1F095B">
      <w:pPr>
        <w:spacing w:line="420" w:lineRule="exact"/>
        <w:ind w:firstLine="480" w:firstLineChars="200"/>
        <w:rPr>
          <w:rFonts w:ascii="宋体" w:hAnsi="宋体" w:cs="宋体"/>
          <w:sz w:val="24"/>
        </w:rPr>
      </w:pPr>
      <w:r>
        <w:rPr>
          <w:rFonts w:hint="eastAsia" w:ascii="宋体" w:hAnsi="宋体" w:cs="宋体"/>
          <w:sz w:val="24"/>
        </w:rPr>
        <w:t>4.车辆每日始发及完成运输任务后的返回停靠地，须严格限定在崇川区范围内（具体停靠点位由甲方指定），丙方不得擅自超出该区域或变更指定停靠位置。甲乙双方有权通过现场核查、GPS定位追踪等方式，对车辆停靠情况进行抽查核实，丙方须配合提供必要的佐证材料（停靠地仅作为运输中转停放使用，不涉及燃料储存）。</w:t>
      </w:r>
    </w:p>
    <w:p w14:paraId="3ADF0763">
      <w:pPr>
        <w:spacing w:line="420" w:lineRule="exact"/>
        <w:ind w:firstLine="480" w:firstLineChars="2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操作要求：丙方须委派具备相应操作资质的专业人员，配合甲乙双方及指定接收方，按照国家成品油装卸安全规范、甲方现场作业指引及容器使用要求，完成燃料从运输车辆到指定容器的辅助装卸作业，全程确保操作规范、安全有序，避免出现滴漏、洒溅、混装等问题（装卸作业仅为运输环节配套服务，不涉及燃料储存相关操作）。</w:t>
      </w:r>
    </w:p>
    <w:p w14:paraId="50AF7777">
      <w:pPr>
        <w:spacing w:line="420" w:lineRule="exact"/>
        <w:ind w:firstLine="480" w:firstLineChars="200"/>
        <w:rPr>
          <w:rFonts w:ascii="宋体" w:hAnsi="宋体" w:cs="宋体"/>
          <w:sz w:val="24"/>
        </w:rPr>
      </w:pPr>
      <w:r>
        <w:rPr>
          <w:rFonts w:hint="eastAsia" w:ascii="宋体" w:hAnsi="宋体" w:cs="宋体"/>
          <w:sz w:val="24"/>
        </w:rPr>
        <w:t>6.设备与防护：丙方应配备符合安全标准的装卸辅助工具（如防爆接头、密封软管、防溢装置等）及个人防护用品（如防静电服、防护手套、护目镜等），并确保工具设备完好有效、防护用品合规适配，满足装卸作业安全要求。</w:t>
      </w:r>
    </w:p>
    <w:p w14:paraId="72CE5337">
      <w:pPr>
        <w:spacing w:line="420" w:lineRule="exact"/>
        <w:ind w:firstLine="480" w:firstLineChars="200"/>
        <w:rPr>
          <w:rFonts w:ascii="宋体" w:hAnsi="宋体" w:cs="宋体"/>
          <w:sz w:val="24"/>
        </w:rPr>
      </w:pPr>
      <w:r>
        <w:rPr>
          <w:rFonts w:hint="eastAsia" w:ascii="宋体" w:hAnsi="宋体" w:cs="宋体"/>
          <w:sz w:val="24"/>
        </w:rPr>
        <w:t>7.数量核对与确认：装卸过程中，丙方须配合甲方及接收方核对燃料装卸数量，确保实际装卸量与《月度运输数据确认单》中载明的对应批次运输量一致；装卸完成后，丙方人员应与甲方共同在装卸作业确认记录上签字确认，作为后续结算的辅助依据。</w:t>
      </w:r>
    </w:p>
    <w:p w14:paraId="0DCC2E27">
      <w:pPr>
        <w:spacing w:line="420" w:lineRule="exact"/>
        <w:ind w:firstLine="480" w:firstLineChars="200"/>
        <w:rPr>
          <w:rFonts w:ascii="宋体" w:hAnsi="宋体" w:cs="宋体"/>
          <w:sz w:val="24"/>
        </w:rPr>
      </w:pPr>
      <w:r>
        <w:rPr>
          <w:rFonts w:hint="eastAsia" w:ascii="宋体" w:hAnsi="宋体" w:cs="宋体"/>
          <w:sz w:val="24"/>
        </w:rPr>
        <w:t>8.安全与清洁责任：丙方需严格遵守装卸现场安全管理规定，严禁违规操作引发安全事故；作业结束后，丙方应及时清理装卸现场残留燃料及杂物，保持现场环境整洁，避免造成环境污染或安全隐患。若因丙方操作不当导致燃料损耗、容器损坏、安全事故或环境污染的，由丙方承担全部责任及相应损失。</w:t>
      </w:r>
    </w:p>
    <w:p w14:paraId="70DCF9ED">
      <w:pPr>
        <w:snapToGrid w:val="0"/>
        <w:spacing w:line="400" w:lineRule="exact"/>
        <w:ind w:firstLine="480" w:firstLineChars="200"/>
        <w:rPr>
          <w:rFonts w:ascii="宋体" w:hAnsi="宋体" w:cs="宋体"/>
          <w:b/>
          <w:bCs/>
          <w:sz w:val="24"/>
        </w:rPr>
      </w:pPr>
      <w:r>
        <w:rPr>
          <w:rFonts w:hint="eastAsia" w:ascii="宋体" w:hAnsi="宋体" w:cs="宋体"/>
          <w:sz w:val="24"/>
        </w:rPr>
        <w:t>9.配合要求：丙方人员应服从甲方的现场调度与合理指令，主动配合完成装卸前的设备检查、装卸中的过程监督及装卸后的收尾工作，确保装卸作业高效衔接运输环节，不影响整体服务进度。</w:t>
      </w:r>
    </w:p>
    <w:p w14:paraId="59BED07C">
      <w:pPr>
        <w:snapToGrid w:val="0"/>
        <w:spacing w:line="400" w:lineRule="exact"/>
        <w:ind w:firstLine="482" w:firstLineChars="200"/>
        <w:rPr>
          <w:rFonts w:ascii="宋体" w:hAnsi="宋体" w:cs="宋体"/>
          <w:b/>
          <w:bCs/>
          <w:sz w:val="24"/>
        </w:rPr>
      </w:pPr>
      <w:r>
        <w:rPr>
          <w:rFonts w:hint="eastAsia" w:ascii="宋体" w:hAnsi="宋体" w:cs="宋体"/>
          <w:b/>
          <w:bCs/>
          <w:sz w:val="24"/>
        </w:rPr>
        <w:t>第二条 运输调度与执行要求</w:t>
      </w:r>
    </w:p>
    <w:p w14:paraId="61897119">
      <w:pPr>
        <w:spacing w:line="420" w:lineRule="exact"/>
        <w:ind w:firstLine="480" w:firstLineChars="200"/>
        <w:rPr>
          <w:rFonts w:ascii="宋体" w:hAnsi="宋体" w:cs="宋体"/>
          <w:sz w:val="24"/>
        </w:rPr>
      </w:pPr>
      <w:r>
        <w:rPr>
          <w:rFonts w:hint="eastAsia" w:ascii="宋体" w:hAnsi="宋体" w:cs="宋体"/>
          <w:sz w:val="24"/>
        </w:rPr>
        <w:t>1.装货相关安排：装货地点由甲方根据项目实际需求统一指定，甲方负责指定每日装货时间，装货过程由甲方全程监督，丙方须配合甲方完成装货数量核对、车辆检查等工作；</w:t>
      </w:r>
    </w:p>
    <w:p w14:paraId="4AE10B63">
      <w:pPr>
        <w:snapToGrid w:val="0"/>
        <w:spacing w:line="400" w:lineRule="exact"/>
        <w:ind w:firstLine="480" w:firstLineChars="200"/>
        <w:rPr>
          <w:rFonts w:ascii="宋体" w:hAnsi="宋体" w:cs="宋体"/>
          <w:sz w:val="24"/>
        </w:rPr>
      </w:pPr>
      <w:r>
        <w:rPr>
          <w:rFonts w:hint="eastAsia" w:ascii="宋体" w:hAnsi="宋体" w:cs="宋体"/>
          <w:sz w:val="24"/>
        </w:rPr>
        <w:t>2.样品留存要求：每日装货完毕后，丙方须按甲方指定标准及流程，对当次运输燃料留存样品，样品需标注日期、装货地点、燃料类型等关键信息，由甲方与丙方共同封存保管，留存期限不少于项目对应批次运输任务完成后30日（样品留存仅为运输质量追溯使用，不涉及燃料储存）；</w:t>
      </w:r>
    </w:p>
    <w:p w14:paraId="0BFA6CEC">
      <w:pPr>
        <w:snapToGrid w:val="0"/>
        <w:spacing w:line="400" w:lineRule="exact"/>
        <w:ind w:firstLine="480" w:firstLineChars="200"/>
        <w:rPr>
          <w:rFonts w:ascii="宋体" w:hAnsi="宋体" w:cs="宋体"/>
          <w:sz w:val="24"/>
        </w:rPr>
      </w:pPr>
      <w:r>
        <w:rPr>
          <w:rFonts w:hint="eastAsia" w:ascii="宋体" w:hAnsi="宋体" w:cs="宋体"/>
          <w:sz w:val="24"/>
        </w:rPr>
        <w:t>3.运输计划确认：丙方须在每日18:00前，与甲方指定对接人确认次日装货数量、装货具体时间等核心信息，并签署确认单（可采用电子签章或书面签章形式），确保信息一致；若丙方未按时确认，甲方有权自行制定运输计划，丙方须无条件执行。</w:t>
      </w:r>
    </w:p>
    <w:p w14:paraId="40FE1DA4">
      <w:pPr>
        <w:snapToGrid w:val="0"/>
        <w:spacing w:line="400" w:lineRule="exact"/>
        <w:ind w:firstLine="480" w:firstLineChars="200"/>
        <w:rPr>
          <w:rFonts w:ascii="宋体" w:hAnsi="宋体" w:cs="宋体"/>
          <w:sz w:val="24"/>
        </w:rPr>
      </w:pPr>
      <w:r>
        <w:rPr>
          <w:rFonts w:hint="eastAsia" w:ascii="宋体" w:hAnsi="宋体" w:cs="宋体"/>
          <w:sz w:val="24"/>
        </w:rPr>
        <w:t>4.送货及通行证办理：</w:t>
      </w:r>
    </w:p>
    <w:p w14:paraId="2E74220E">
      <w:pPr>
        <w:snapToGrid w:val="0"/>
        <w:spacing w:line="400" w:lineRule="exact"/>
        <w:ind w:firstLine="480" w:firstLineChars="200"/>
        <w:rPr>
          <w:rFonts w:ascii="宋体" w:hAnsi="宋体" w:cs="宋体"/>
          <w:sz w:val="24"/>
        </w:rPr>
      </w:pPr>
      <w:r>
        <w:rPr>
          <w:rFonts w:hint="eastAsia" w:ascii="宋体" w:hAnsi="宋体" w:cs="宋体"/>
          <w:sz w:val="24"/>
        </w:rPr>
        <w:t>（1）送货地点由甲方提前1个工作日告知丙方，送货地点可能存在动态调整，丙方须无条件配合；</w:t>
      </w:r>
    </w:p>
    <w:p w14:paraId="5DE8B514">
      <w:pPr>
        <w:snapToGrid w:val="0"/>
        <w:spacing w:line="400" w:lineRule="exact"/>
        <w:ind w:firstLine="480" w:firstLineChars="200"/>
        <w:rPr>
          <w:rFonts w:ascii="宋体" w:hAnsi="宋体" w:cs="宋体"/>
          <w:sz w:val="24"/>
        </w:rPr>
      </w:pPr>
      <w:r>
        <w:rPr>
          <w:rFonts w:hint="eastAsia" w:ascii="宋体" w:hAnsi="宋体" w:cs="宋体"/>
          <w:sz w:val="24"/>
        </w:rPr>
        <w:t>（2）若次日送货地点涉及城市禁区、限行区域，丙方须根据甲方告知的送货地点，提前1个工作日自行负责办理有效禁区通行证（含临时通行证），相关办理费用由丙方承担；</w:t>
      </w:r>
    </w:p>
    <w:p w14:paraId="4D457AC3">
      <w:pPr>
        <w:snapToGrid w:val="0"/>
        <w:spacing w:line="400" w:lineRule="exact"/>
        <w:ind w:firstLine="480" w:firstLineChars="200"/>
        <w:rPr>
          <w:rFonts w:ascii="宋体" w:hAnsi="宋体" w:cs="宋体"/>
          <w:sz w:val="24"/>
        </w:rPr>
      </w:pPr>
      <w:r>
        <w:rPr>
          <w:rFonts w:hint="eastAsia" w:ascii="宋体" w:hAnsi="宋体" w:cs="宋体"/>
          <w:sz w:val="24"/>
        </w:rPr>
        <w:t>（3）丙方应充分预判不同送货地点的运输路线、通行限制等情况，确保按时、安全送达，因未及时办理通行证或通行证不符合要求导致无法按时送货、被处罚的，由丙方承担全部责任及由此产生的所有费用。</w:t>
      </w:r>
    </w:p>
    <w:p w14:paraId="7A27C722">
      <w:pPr>
        <w:snapToGrid w:val="0"/>
        <w:spacing w:line="400" w:lineRule="exact"/>
        <w:ind w:firstLine="482" w:firstLineChars="200"/>
        <w:rPr>
          <w:rFonts w:ascii="宋体" w:hAnsi="宋体" w:cs="宋体"/>
          <w:sz w:val="24"/>
        </w:rPr>
      </w:pPr>
      <w:r>
        <w:rPr>
          <w:rFonts w:hint="eastAsia" w:ascii="宋体" w:hAnsi="宋体" w:cs="宋体"/>
          <w:b/>
          <w:bCs/>
          <w:sz w:val="24"/>
        </w:rPr>
        <w:t>第三条 三方权利和责任</w:t>
      </w:r>
    </w:p>
    <w:p w14:paraId="378819ED">
      <w:pPr>
        <w:snapToGrid w:val="0"/>
        <w:spacing w:line="400" w:lineRule="exact"/>
        <w:ind w:firstLine="482" w:firstLineChars="200"/>
        <w:rPr>
          <w:rFonts w:ascii="宋体" w:hAnsi="宋体" w:cs="宋体"/>
          <w:sz w:val="24"/>
        </w:rPr>
      </w:pPr>
      <w:r>
        <w:rPr>
          <w:rFonts w:hint="eastAsia" w:ascii="宋体" w:hAnsi="宋体" w:cs="宋体"/>
          <w:b/>
          <w:bCs/>
          <w:sz w:val="24"/>
        </w:rPr>
        <w:t>（一）甲方权利和义务</w:t>
      </w:r>
    </w:p>
    <w:p w14:paraId="2F369E7A">
      <w:pPr>
        <w:snapToGrid w:val="0"/>
        <w:spacing w:line="400" w:lineRule="exact"/>
        <w:ind w:firstLine="480" w:firstLineChars="200"/>
        <w:rPr>
          <w:rFonts w:ascii="宋体" w:hAnsi="宋体" w:cs="宋体"/>
          <w:sz w:val="24"/>
        </w:rPr>
      </w:pPr>
      <w:r>
        <w:rPr>
          <w:rFonts w:hint="eastAsia" w:ascii="宋体" w:hAnsi="宋体" w:cs="宋体"/>
          <w:sz w:val="24"/>
        </w:rPr>
        <w:t>1.甲方有权对丙方拟投入本项目的运输车辆、驾押人员资质进行审核、抽查，对不符合本招标文件要求的，有权要求丙方限期整改，整改不合格的可按合同约定追究违约责任；​</w:t>
      </w:r>
    </w:p>
    <w:p w14:paraId="36340BD0">
      <w:pPr>
        <w:snapToGrid w:val="0"/>
        <w:spacing w:line="400" w:lineRule="exact"/>
        <w:ind w:firstLine="480" w:firstLineChars="200"/>
        <w:rPr>
          <w:rFonts w:ascii="宋体" w:hAnsi="宋体" w:cs="宋体"/>
          <w:sz w:val="24"/>
        </w:rPr>
      </w:pPr>
      <w:r>
        <w:rPr>
          <w:rFonts w:hint="eastAsia" w:ascii="宋体" w:hAnsi="宋体" w:cs="宋体"/>
          <w:sz w:val="24"/>
        </w:rPr>
        <w:t>2.甲方有权指定运输车辆始发地、返回停靠地（崇川区行政管辖范围内）、装货地点、装货时间及送货地点，对运输全过程进行监督管理，包括装货核查、样品留存监督、运输轨迹抽查等；​</w:t>
      </w:r>
    </w:p>
    <w:p w14:paraId="627132DC">
      <w:pPr>
        <w:snapToGrid w:val="0"/>
        <w:spacing w:line="400" w:lineRule="exact"/>
        <w:ind w:firstLine="480" w:firstLineChars="200"/>
        <w:rPr>
          <w:rFonts w:ascii="宋体" w:hAnsi="宋体" w:cs="宋体"/>
          <w:sz w:val="24"/>
        </w:rPr>
      </w:pPr>
      <w:r>
        <w:rPr>
          <w:rFonts w:hint="eastAsia" w:ascii="宋体" w:hAnsi="宋体" w:cs="宋体"/>
          <w:sz w:val="24"/>
        </w:rPr>
        <w:t>3.甲方有权每月核对实际运输里程、燃料消耗量等结算数据，对数据不符或存在争议的，有权要求丙方提供佐证材料并进行核实；​</w:t>
      </w:r>
    </w:p>
    <w:p w14:paraId="50604D5E">
      <w:pPr>
        <w:snapToGrid w:val="0"/>
        <w:spacing w:line="400" w:lineRule="exact"/>
        <w:ind w:firstLine="480" w:firstLineChars="200"/>
        <w:rPr>
          <w:rFonts w:ascii="宋体" w:hAnsi="宋体" w:cs="宋体"/>
          <w:sz w:val="24"/>
        </w:rPr>
      </w:pPr>
      <w:r>
        <w:rPr>
          <w:rFonts w:hint="eastAsia" w:ascii="宋体" w:hAnsi="宋体" w:cs="宋体"/>
          <w:sz w:val="24"/>
        </w:rPr>
        <w:t>4.甲方有权按本招标文件约定的付款周期和结算流程支付款项，对丙方提供的不合格发票、不完善结算资料有权拒收，并顺延付款；​</w:t>
      </w:r>
    </w:p>
    <w:p w14:paraId="68A5E309">
      <w:pPr>
        <w:snapToGrid w:val="0"/>
        <w:spacing w:line="400" w:lineRule="exact"/>
        <w:ind w:firstLine="480" w:firstLineChars="200"/>
        <w:rPr>
          <w:rFonts w:ascii="宋体" w:hAnsi="宋体" w:cs="宋体"/>
          <w:sz w:val="24"/>
        </w:rPr>
      </w:pPr>
      <w:r>
        <w:rPr>
          <w:rFonts w:hint="eastAsia" w:ascii="宋体" w:hAnsi="宋体" w:cs="宋体"/>
          <w:sz w:val="24"/>
        </w:rPr>
        <w:t>5.若丙方擅自更换固定车辆、变更停靠地点、未按要求办理禁区通行证、未按时留存样品或存在其他违反项目需求的行为，甲方有权要求丙方承担相应损失，情节严重的可解除合同；</w:t>
      </w:r>
    </w:p>
    <w:p w14:paraId="45AF6D41">
      <w:pPr>
        <w:snapToGrid w:val="0"/>
        <w:spacing w:line="40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甲方有权对丙方进行定期和不定期的安全和燃料检查、监督；</w:t>
      </w:r>
    </w:p>
    <w:p w14:paraId="533DD380">
      <w:pPr>
        <w:snapToGrid w:val="0"/>
        <w:spacing w:line="4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.甲方向丙方提供必要的项目相关信息（如装货地点联系人、送货地点对接要求等），协助丙方开展运输服务（不含禁区通行证办理等丙方应自行承担的工作）；​</w:t>
      </w:r>
    </w:p>
    <w:p w14:paraId="44236015">
      <w:pPr>
        <w:spacing w:line="4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.甲方需提供正确的燃料运输车辆的车牌号，如因甲方提供信息有误或驾驶员强行违规造成的调配损失由甲方自行承担；</w:t>
      </w:r>
    </w:p>
    <w:p w14:paraId="2D543622">
      <w:pPr>
        <w:spacing w:line="40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甲方按照本招标文件约定的结算周期，在审核通过丙方完整结算资料后，按时支付相应款项，不得无故拖延。</w:t>
      </w:r>
    </w:p>
    <w:p w14:paraId="731C49E6">
      <w:pPr>
        <w:pStyle w:val="4"/>
        <w:keepNext w:val="0"/>
        <w:keepLines w:val="0"/>
        <w:widowControl/>
        <w:spacing w:before="0" w:after="0" w:line="288" w:lineRule="atLeast"/>
        <w:ind w:firstLine="482" w:firstLineChars="200"/>
        <w:rPr>
          <w:sz w:val="24"/>
          <w:szCs w:val="24"/>
        </w:rPr>
      </w:pPr>
      <w:r>
        <w:rPr>
          <w:sz w:val="24"/>
          <w:szCs w:val="24"/>
        </w:rPr>
        <w:t>（二）乙方权利和义务</w:t>
      </w:r>
    </w:p>
    <w:p w14:paraId="50FE6C5A">
      <w:pPr>
        <w:spacing w:line="40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乙方有权对丙方拟投入本项目的运输车辆、驾押人员资质进行审核、抽查，对不符合本招标文件要求的，有权要求丙方限期整改，整改不合格的可按合同约定追究违约责任；</w:t>
      </w:r>
    </w:p>
    <w:p w14:paraId="0A602440">
      <w:pPr>
        <w:spacing w:line="400" w:lineRule="exact"/>
        <w:ind w:firstLine="480" w:firstLineChars="200"/>
        <w:rPr>
          <w:rFonts w:ascii="宋体" w:hAnsi="宋体" w:cs="宋体"/>
          <w:sz w:val="24"/>
        </w:rPr>
      </w:pPr>
      <w:r>
        <w:rPr>
          <w:rFonts w:ascii="宋体" w:hAnsi="宋体" w:cs="宋体"/>
          <w:sz w:val="24"/>
        </w:rPr>
        <w:t xml:space="preserve">2. </w:t>
      </w:r>
      <w:r>
        <w:rPr>
          <w:rFonts w:hint="eastAsia" w:ascii="宋体" w:hAnsi="宋体" w:cs="宋体"/>
          <w:sz w:val="24"/>
        </w:rPr>
        <w:t>若丙方擅自更换固定车辆、变更停靠地点、未按要求办理禁区通行证、未按时留存样品或存在其他违反项目需求的行为，乙方有权要求丙方承担相应损失，情节严重的可解除合同；</w:t>
      </w:r>
    </w:p>
    <w:p w14:paraId="2053A699">
      <w:pPr>
        <w:spacing w:line="40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乙方有权每月核对实际运输里程、燃料消耗量等结算数据，对数据不符或存在争议的，有权要求丙方提供佐证材料并进行核实；</w:t>
      </w:r>
    </w:p>
    <w:p w14:paraId="0E99EE56">
      <w:pPr>
        <w:spacing w:line="4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.乙方有权监督丙方的运输服务执行情况，确保丙方按协议约定提供合规、安全的运输服务；</w:t>
      </w:r>
    </w:p>
    <w:p w14:paraId="6011B6BA">
      <w:pPr>
        <w:spacing w:line="4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乙方有权对丙方进行定期和不定期的安全和燃料检查、监督；</w:t>
      </w:r>
    </w:p>
    <w:p w14:paraId="2E5D4607">
      <w:pPr>
        <w:spacing w:line="4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.配合甲方完成样品封存、数量核对等与燃料供应相关的协作工作；</w:t>
      </w:r>
    </w:p>
    <w:p w14:paraId="2D0093A6">
      <w:pPr>
        <w:spacing w:line="4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.承诺诚信经营、合法经营、遵守国家法律法规，保障燃料供应的合法性和合规性；</w:t>
      </w:r>
    </w:p>
    <w:p w14:paraId="7EBF2CDB">
      <w:pPr>
        <w:spacing w:line="4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.如因乙方提供的燃料质量问题导致运输过程中出现异常情况，应及时查明原因并处理后向甲方汇报；</w:t>
      </w:r>
    </w:p>
    <w:p w14:paraId="63A82F6D">
      <w:pPr>
        <w:spacing w:line="40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.配合甲方和丙方解决协议履行过程中与燃料供应相关的争议和问题，包括但不限于甲方、乙方因此遭受的直接损失、间接损失、第三方索赔及处理相关事宜产生的全部费用。</w:t>
      </w:r>
    </w:p>
    <w:p w14:paraId="13AAFEF1">
      <w:pPr>
        <w:pStyle w:val="4"/>
        <w:keepNext w:val="0"/>
        <w:keepLines w:val="0"/>
        <w:widowControl/>
        <w:spacing w:before="0" w:after="0" w:line="288" w:lineRule="atLeast"/>
        <w:ind w:firstLine="482" w:firstLineChars="200"/>
        <w:rPr>
          <w:rFonts w:ascii="宋体" w:hAnsi="宋体" w:cs="宋体"/>
          <w:sz w:val="24"/>
        </w:rPr>
      </w:pPr>
      <w:r>
        <w:rPr>
          <w:rFonts w:hint="eastAsia"/>
          <w:sz w:val="24"/>
          <w:szCs w:val="24"/>
        </w:rPr>
        <w:t>（三）丙方权利和义务</w:t>
      </w:r>
    </w:p>
    <w:p w14:paraId="0D3799E9">
      <w:pPr>
        <w:spacing w:line="400" w:lineRule="exact"/>
        <w:ind w:firstLine="480" w:firstLineChars="200"/>
        <w:rPr>
          <w:rFonts w:ascii="宋体" w:hAnsi="宋体" w:cs="宋体"/>
          <w:sz w:val="24"/>
        </w:rPr>
      </w:pPr>
      <w:r>
        <w:rPr>
          <w:rFonts w:hint="eastAsia" w:ascii="宋体" w:hAnsi="宋体" w:cs="宋体"/>
          <w:sz w:val="24"/>
        </w:rPr>
        <w:t>1.丙方有权要求甲方提供必要的项目相关信息，协助开展运输服务；</w:t>
      </w:r>
    </w:p>
    <w:p w14:paraId="2B7BC85D">
      <w:pPr>
        <w:spacing w:line="400" w:lineRule="exact"/>
        <w:ind w:firstLine="480" w:firstLineChars="200"/>
        <w:rPr>
          <w:rFonts w:ascii="宋体" w:hAnsi="宋体" w:cs="宋体"/>
          <w:sz w:val="24"/>
        </w:rPr>
      </w:pPr>
      <w:r>
        <w:rPr>
          <w:rFonts w:hint="eastAsia" w:ascii="宋体" w:hAnsi="宋体" w:cs="宋体"/>
          <w:sz w:val="24"/>
        </w:rPr>
        <w:t>2.丙方有权按协议约定收取运输服务费用，在提交完整、合规的结算资料后，要求甲方按时付款；</w:t>
      </w:r>
    </w:p>
    <w:p w14:paraId="1FF39B57">
      <w:pPr>
        <w:spacing w:line="400" w:lineRule="exact"/>
        <w:ind w:firstLine="480" w:firstLineChars="200"/>
        <w:rPr>
          <w:rFonts w:ascii="宋体" w:hAnsi="宋体" w:cs="宋体"/>
          <w:sz w:val="24"/>
        </w:rPr>
      </w:pPr>
      <w:r>
        <w:rPr>
          <w:rFonts w:hint="eastAsia" w:ascii="宋体" w:hAnsi="宋体" w:cs="宋体"/>
          <w:sz w:val="24"/>
        </w:rPr>
        <w:t>3.对甲乙双方提出的超出协议及招标文件约定的不合理要求，有权拒绝；</w:t>
      </w:r>
    </w:p>
    <w:p w14:paraId="51FF2E3E">
      <w:pPr>
        <w:spacing w:line="400" w:lineRule="exact"/>
        <w:ind w:firstLine="480" w:firstLineChars="200"/>
        <w:rPr>
          <w:rFonts w:ascii="宋体" w:hAnsi="宋体" w:cs="宋体"/>
          <w:sz w:val="24"/>
        </w:rPr>
      </w:pPr>
      <w:r>
        <w:rPr>
          <w:rFonts w:hint="eastAsia" w:ascii="宋体" w:hAnsi="宋体" w:cs="宋体"/>
          <w:sz w:val="24"/>
        </w:rPr>
        <w:t>4.承诺诚信经营、合法经营、遵守国家法律法规，如丙方人员因有不良及违法行为给甲方或乙方造成信誉或经济损失的，丙方将承担相应的责任和经济损失；</w:t>
      </w:r>
    </w:p>
    <w:p w14:paraId="279B0CC3">
      <w:pPr>
        <w:spacing w:line="400" w:lineRule="exact"/>
        <w:ind w:firstLine="480" w:firstLineChars="200"/>
        <w:rPr>
          <w:rFonts w:ascii="宋体" w:hAnsi="宋体" w:cs="宋体"/>
          <w:sz w:val="24"/>
        </w:rPr>
      </w:pPr>
      <w:r>
        <w:rPr>
          <w:rFonts w:hint="eastAsia" w:ascii="宋体" w:hAnsi="宋体" w:cs="宋体"/>
          <w:sz w:val="24"/>
        </w:rPr>
        <w:t>5.保证在本协议期内的执行过程中，投入的运输车辆、设备处于合法合规状态且安全可靠，相关证书齐全且真实有效，所有人员持证上岗且身体健康；</w:t>
      </w:r>
    </w:p>
    <w:p w14:paraId="102246AE">
      <w:pPr>
        <w:spacing w:line="400" w:lineRule="exact"/>
        <w:ind w:firstLine="480" w:firstLineChars="200"/>
        <w:rPr>
          <w:rFonts w:ascii="宋体" w:hAnsi="宋体" w:cs="宋体"/>
          <w:sz w:val="24"/>
        </w:rPr>
      </w:pPr>
      <w:r>
        <w:rPr>
          <w:rFonts w:hint="eastAsia" w:ascii="宋体" w:hAnsi="宋体" w:cs="宋体"/>
          <w:sz w:val="24"/>
        </w:rPr>
        <w:t>6.所派司机、押车员、装卸燃料辅助工等所有人员的责任主体为丙方，丙方应承担上述人员在工作过程中产生的一切法律责任和经济损失；</w:t>
      </w:r>
    </w:p>
    <w:p w14:paraId="593C2AC0">
      <w:pPr>
        <w:spacing w:line="400" w:lineRule="exact"/>
        <w:ind w:firstLine="480" w:firstLineChars="200"/>
        <w:rPr>
          <w:rFonts w:ascii="宋体" w:hAnsi="宋体" w:cs="宋体"/>
          <w:sz w:val="24"/>
        </w:rPr>
      </w:pPr>
      <w:r>
        <w:rPr>
          <w:rFonts w:hint="eastAsia" w:ascii="宋体" w:hAnsi="宋体" w:cs="宋体"/>
          <w:sz w:val="24"/>
        </w:rPr>
        <w:t>7.严格遵守本协议及招标文件约定的各项要求，全面履行运输服务义务，确保运输服务的合规性、安全性和时效性；</w:t>
      </w:r>
    </w:p>
    <w:p w14:paraId="3EB4FB31">
      <w:pPr>
        <w:spacing w:line="400" w:lineRule="exact"/>
        <w:ind w:firstLine="480" w:firstLineChars="200"/>
        <w:rPr>
          <w:rFonts w:ascii="宋体" w:hAnsi="宋体" w:cs="宋体"/>
          <w:sz w:val="24"/>
        </w:rPr>
      </w:pPr>
      <w:r>
        <w:rPr>
          <w:rFonts w:hint="eastAsia" w:ascii="宋体" w:hAnsi="宋体" w:cs="宋体"/>
          <w:sz w:val="24"/>
        </w:rPr>
        <w:t>8.积极配合甲方和乙方的监督、检查工作，对提出的整改要求按时完成；</w:t>
      </w:r>
    </w:p>
    <w:p w14:paraId="7B7A1437">
      <w:pPr>
        <w:spacing w:line="400" w:lineRule="exact"/>
        <w:ind w:firstLine="480" w:firstLineChars="200"/>
        <w:rPr>
          <w:rFonts w:ascii="宋体" w:hAnsi="宋体" w:cs="宋体"/>
          <w:b/>
          <w:bCs/>
          <w:sz w:val="24"/>
        </w:rPr>
      </w:pPr>
      <w:r>
        <w:rPr>
          <w:rFonts w:hint="eastAsia" w:ascii="宋体" w:hAnsi="宋体" w:cs="宋体"/>
          <w:sz w:val="24"/>
        </w:rPr>
        <w:t>9.承担因自身原因导致的运输延误、安全事故、环境污染等问题产生的全部责任和损失。</w:t>
      </w:r>
    </w:p>
    <w:p w14:paraId="01FC7781">
      <w:pPr>
        <w:spacing w:line="460" w:lineRule="exact"/>
        <w:ind w:firstLine="482" w:firstLineChars="200"/>
        <w:rPr>
          <w:sz w:val="24"/>
        </w:rPr>
      </w:pPr>
      <w:r>
        <w:rPr>
          <w:rFonts w:hint="eastAsia" w:ascii="宋体" w:hAnsi="宋体" w:cs="宋体"/>
          <w:b/>
          <w:bCs/>
          <w:sz w:val="24"/>
        </w:rPr>
        <w:t>第四条 结算</w:t>
      </w:r>
    </w:p>
    <w:p w14:paraId="3DFB85CE">
      <w:pPr>
        <w:spacing w:line="420" w:lineRule="exact"/>
        <w:ind w:firstLine="480" w:firstLineChars="200"/>
        <w:rPr>
          <w:rFonts w:ascii="宋体" w:hAnsi="宋体" w:cs="宋体"/>
          <w:sz w:val="24"/>
        </w:rPr>
      </w:pPr>
      <w:r>
        <w:rPr>
          <w:rFonts w:ascii="宋体" w:hAnsi="宋体" w:cs="宋体"/>
          <w:sz w:val="24"/>
        </w:rPr>
        <w:t>（一）结算依据</w:t>
      </w:r>
    </w:p>
    <w:p w14:paraId="61ACDAC0">
      <w:pPr>
        <w:spacing w:line="420" w:lineRule="exact"/>
        <w:ind w:firstLine="482" w:firstLineChars="200"/>
        <w:rPr>
          <w:rFonts w:ascii="宋体" w:hAnsi="宋体" w:cs="宋体"/>
          <w:sz w:val="24"/>
        </w:rPr>
      </w:pPr>
      <w:r>
        <w:rPr>
          <w:rFonts w:ascii="宋体" w:hAnsi="宋体" w:cs="宋体"/>
          <w:b/>
          <w:bCs/>
          <w:sz w:val="24"/>
        </w:rPr>
        <w:t>本项目结算核心依据为实际运输里程及实际消耗燃料量，</w:t>
      </w:r>
      <w:r>
        <w:rPr>
          <w:rFonts w:hint="eastAsia" w:ascii="宋体" w:hAnsi="宋体" w:cs="宋体"/>
          <w:b/>
          <w:bCs/>
          <w:sz w:val="24"/>
        </w:rPr>
        <w:t>该两项数据须经甲乙丙三方共同核对确认，</w:t>
      </w:r>
      <w:r>
        <w:rPr>
          <w:rFonts w:ascii="宋体" w:hAnsi="宋体" w:cs="宋体"/>
          <w:sz w:val="24"/>
        </w:rPr>
        <w:t>形成《月度运输数据确认单》，经</w:t>
      </w:r>
      <w:r>
        <w:rPr>
          <w:rFonts w:hint="eastAsia" w:ascii="宋体" w:hAnsi="宋体" w:cs="宋体"/>
          <w:sz w:val="24"/>
        </w:rPr>
        <w:t>三</w:t>
      </w:r>
      <w:r>
        <w:rPr>
          <w:rFonts w:ascii="宋体" w:hAnsi="宋体" w:cs="宋体"/>
          <w:sz w:val="24"/>
        </w:rPr>
        <w:t>方授权代表签字并加盖公章（或合同专用章）后生效，作为后续开票及付款的基础凭证</w:t>
      </w:r>
      <w:r>
        <w:rPr>
          <w:rFonts w:hint="eastAsia" w:ascii="宋体" w:hAnsi="宋体" w:cs="宋体"/>
          <w:sz w:val="24"/>
        </w:rPr>
        <w:t>。</w:t>
      </w:r>
    </w:p>
    <w:p w14:paraId="5D2FF1F5">
      <w:pPr>
        <w:spacing w:line="420" w:lineRule="exact"/>
        <w:ind w:firstLine="480" w:firstLineChars="200"/>
        <w:rPr>
          <w:rFonts w:ascii="宋体" w:hAnsi="宋体" w:cs="宋体"/>
          <w:sz w:val="24"/>
        </w:rPr>
      </w:pPr>
      <w:r>
        <w:rPr>
          <w:rFonts w:ascii="宋体" w:hAnsi="宋体" w:cs="宋体"/>
          <w:sz w:val="24"/>
        </w:rPr>
        <w:t>实际运输里程按</w:t>
      </w:r>
      <w:r>
        <w:rPr>
          <w:rFonts w:hint="eastAsia" w:ascii="宋体" w:hAnsi="宋体" w:cs="宋体"/>
          <w:sz w:val="24"/>
        </w:rPr>
        <w:t>甲方</w:t>
      </w:r>
      <w:r>
        <w:rPr>
          <w:rFonts w:ascii="宋体" w:hAnsi="宋体" w:cs="宋体"/>
          <w:sz w:val="24"/>
        </w:rPr>
        <w:t>指定运输路线核定，每月集中核对一次（核对周期为自然月，即每月1日至当月月末），</w:t>
      </w:r>
      <w:r>
        <w:rPr>
          <w:rFonts w:hint="eastAsia" w:ascii="宋体" w:hAnsi="宋体" w:cs="宋体"/>
          <w:sz w:val="24"/>
        </w:rPr>
        <w:t>丙方</w:t>
      </w:r>
      <w:r>
        <w:rPr>
          <w:rFonts w:ascii="宋体" w:hAnsi="宋体" w:cs="宋体"/>
          <w:sz w:val="24"/>
        </w:rPr>
        <w:t>须在次月5个工作日内提交当月运输里程、燃料量相关佐证材料（含运输单据、样品留存记录、车辆定位轨迹等），配合</w:t>
      </w:r>
      <w:r>
        <w:rPr>
          <w:rFonts w:hint="eastAsia" w:ascii="宋体" w:hAnsi="宋体" w:cs="宋体"/>
          <w:sz w:val="24"/>
        </w:rPr>
        <w:t>甲方</w:t>
      </w:r>
      <w:r>
        <w:rPr>
          <w:rFonts w:ascii="宋体" w:hAnsi="宋体" w:cs="宋体"/>
          <w:sz w:val="24"/>
        </w:rPr>
        <w:t>完成数据核对。</w:t>
      </w:r>
    </w:p>
    <w:p w14:paraId="3B74237F">
      <w:pPr>
        <w:spacing w:line="420" w:lineRule="exact"/>
        <w:ind w:firstLine="480" w:firstLineChars="200"/>
        <w:rPr>
          <w:rFonts w:ascii="宋体" w:hAnsi="宋体" w:cs="宋体"/>
          <w:sz w:val="24"/>
        </w:rPr>
      </w:pPr>
      <w:r>
        <w:rPr>
          <w:rFonts w:ascii="宋体" w:hAnsi="宋体" w:cs="宋体"/>
          <w:sz w:val="24"/>
        </w:rPr>
        <w:t>（二）开票要求</w:t>
      </w:r>
    </w:p>
    <w:p w14:paraId="3812F482">
      <w:pPr>
        <w:spacing w:line="420" w:lineRule="exact"/>
        <w:ind w:firstLine="480" w:firstLineChars="200"/>
        <w:rPr>
          <w:rFonts w:ascii="宋体" w:hAnsi="宋体" w:cs="宋体"/>
          <w:sz w:val="24"/>
        </w:rPr>
      </w:pPr>
      <w:r>
        <w:rPr>
          <w:rFonts w:hint="eastAsia" w:ascii="宋体" w:hAnsi="宋体" w:cs="宋体"/>
          <w:sz w:val="24"/>
        </w:rPr>
        <w:t>丙方</w:t>
      </w:r>
      <w:r>
        <w:rPr>
          <w:rFonts w:ascii="宋体" w:hAnsi="宋体" w:cs="宋体"/>
          <w:sz w:val="24"/>
        </w:rPr>
        <w:t>应在与</w:t>
      </w:r>
      <w:r>
        <w:rPr>
          <w:rFonts w:hint="eastAsia" w:ascii="宋体" w:hAnsi="宋体" w:cs="宋体"/>
          <w:sz w:val="24"/>
        </w:rPr>
        <w:t>甲乙双方</w:t>
      </w:r>
      <w:r>
        <w:rPr>
          <w:rFonts w:ascii="宋体" w:hAnsi="宋体" w:cs="宋体"/>
          <w:sz w:val="24"/>
        </w:rPr>
        <w:t>就结算数据达成一致后，依据确认的《月度运输数据确认单》及本项目合同约定的固定单价，向</w:t>
      </w:r>
      <w:r>
        <w:rPr>
          <w:rFonts w:hint="eastAsia" w:ascii="宋体" w:hAnsi="宋体" w:cs="宋体"/>
          <w:sz w:val="24"/>
        </w:rPr>
        <w:t>甲方</w:t>
      </w:r>
      <w:r>
        <w:rPr>
          <w:rFonts w:ascii="宋体" w:hAnsi="宋体" w:cs="宋体"/>
          <w:sz w:val="24"/>
        </w:rPr>
        <w:t>开具合法有效、符合国家税务规定的增值税发票（发票类型、税率等按国家最新政策及合同约定执行）。</w:t>
      </w:r>
    </w:p>
    <w:p w14:paraId="39925556">
      <w:pPr>
        <w:spacing w:line="420" w:lineRule="exact"/>
        <w:ind w:firstLine="480" w:firstLineChars="200"/>
        <w:rPr>
          <w:rFonts w:ascii="宋体" w:hAnsi="宋体" w:cs="宋体"/>
          <w:sz w:val="24"/>
        </w:rPr>
      </w:pPr>
      <w:r>
        <w:rPr>
          <w:rFonts w:hint="eastAsia" w:ascii="宋体" w:hAnsi="宋体" w:cs="宋体"/>
          <w:sz w:val="24"/>
        </w:rPr>
        <w:t>乙方</w:t>
      </w:r>
      <w:r>
        <w:rPr>
          <w:rFonts w:ascii="宋体" w:hAnsi="宋体" w:cs="宋体"/>
          <w:sz w:val="24"/>
        </w:rPr>
        <w:t>应在与</w:t>
      </w:r>
      <w:r>
        <w:rPr>
          <w:rFonts w:hint="eastAsia" w:ascii="宋体" w:hAnsi="宋体" w:cs="宋体"/>
          <w:sz w:val="24"/>
        </w:rPr>
        <w:t>甲方</w:t>
      </w:r>
      <w:r>
        <w:rPr>
          <w:rFonts w:ascii="宋体" w:hAnsi="宋体" w:cs="宋体"/>
          <w:sz w:val="24"/>
        </w:rPr>
        <w:t>就结算数据达成一致</w:t>
      </w:r>
      <w:r>
        <w:rPr>
          <w:rFonts w:hint="eastAsia" w:ascii="宋体" w:hAnsi="宋体" w:cs="宋体"/>
          <w:sz w:val="24"/>
        </w:rPr>
        <w:t>后</w:t>
      </w:r>
      <w:r>
        <w:rPr>
          <w:rFonts w:ascii="宋体" w:hAnsi="宋体" w:cs="宋体"/>
          <w:sz w:val="24"/>
        </w:rPr>
        <w:t>，</w:t>
      </w:r>
      <w:r>
        <w:rPr>
          <w:rFonts w:hint="eastAsia" w:ascii="宋体" w:hAnsi="宋体" w:cs="宋体"/>
          <w:sz w:val="24"/>
        </w:rPr>
        <w:t>结算单价根据撬装加油设施项目建设运营三方协议计取服务费</w:t>
      </w:r>
      <w:r>
        <w:rPr>
          <w:rFonts w:ascii="宋体" w:hAnsi="宋体" w:cs="宋体"/>
          <w:sz w:val="24"/>
        </w:rPr>
        <w:t>，向</w:t>
      </w:r>
      <w:r>
        <w:rPr>
          <w:rFonts w:hint="eastAsia" w:ascii="宋体" w:hAnsi="宋体" w:cs="宋体"/>
          <w:sz w:val="24"/>
        </w:rPr>
        <w:t>甲方</w:t>
      </w:r>
      <w:r>
        <w:rPr>
          <w:rFonts w:ascii="宋体" w:hAnsi="宋体" w:cs="宋体"/>
          <w:sz w:val="24"/>
        </w:rPr>
        <w:t>开具合法有效、符合国家税务规定的增值税发票（发票类型、税率等按国家最新政策及合同约定执行）。</w:t>
      </w:r>
    </w:p>
    <w:p w14:paraId="112E1410">
      <w:pPr>
        <w:spacing w:line="420" w:lineRule="exact"/>
        <w:ind w:firstLine="480" w:firstLineChars="200"/>
        <w:rPr>
          <w:rFonts w:ascii="宋体" w:hAnsi="宋体" w:cs="宋体"/>
          <w:sz w:val="24"/>
        </w:rPr>
      </w:pPr>
      <w:r>
        <w:rPr>
          <w:rFonts w:ascii="宋体" w:hAnsi="宋体" w:cs="宋体"/>
          <w:sz w:val="24"/>
        </w:rPr>
        <w:t>发票抬头须准确填写“南通兴环环境卫生服务有限公司”</w:t>
      </w:r>
      <w:r>
        <w:rPr>
          <w:rFonts w:hint="eastAsia" w:ascii="宋体" w:hAnsi="宋体" w:cs="宋体"/>
          <w:sz w:val="24"/>
        </w:rPr>
        <w:t>，</w:t>
      </w:r>
      <w:r>
        <w:rPr>
          <w:rFonts w:ascii="宋体" w:hAnsi="宋体" w:cs="宋体"/>
          <w:sz w:val="24"/>
        </w:rPr>
        <w:t>发票内容应与本项目运输服务相关，票面信息（含金额、税额、项目名称等）须与《月度运输数据确认单》一致，否则</w:t>
      </w:r>
      <w:r>
        <w:rPr>
          <w:rFonts w:hint="eastAsia" w:ascii="宋体" w:hAnsi="宋体" w:cs="宋体"/>
          <w:sz w:val="24"/>
        </w:rPr>
        <w:t>甲方</w:t>
      </w:r>
      <w:r>
        <w:rPr>
          <w:rFonts w:ascii="宋体" w:hAnsi="宋体" w:cs="宋体"/>
          <w:sz w:val="24"/>
        </w:rPr>
        <w:t>有权拒收发票，且不承担逾期付款责任。</w:t>
      </w:r>
    </w:p>
    <w:p w14:paraId="11D7524C">
      <w:pPr>
        <w:spacing w:line="420" w:lineRule="exact"/>
        <w:ind w:firstLine="480" w:firstLineChars="200"/>
        <w:rPr>
          <w:rFonts w:ascii="宋体" w:hAnsi="宋体" w:cs="宋体"/>
          <w:sz w:val="24"/>
        </w:rPr>
      </w:pPr>
      <w:r>
        <w:rPr>
          <w:rFonts w:ascii="宋体" w:hAnsi="宋体" w:cs="宋体"/>
          <w:sz w:val="24"/>
        </w:rPr>
        <w:t>（三）付款周期与流程</w:t>
      </w:r>
    </w:p>
    <w:p w14:paraId="5AC9179B">
      <w:pPr>
        <w:spacing w:line="420" w:lineRule="exact"/>
        <w:ind w:firstLine="480" w:firstLineChars="200"/>
        <w:rPr>
          <w:rFonts w:ascii="宋体" w:hAnsi="宋体" w:cs="宋体"/>
          <w:sz w:val="24"/>
        </w:rPr>
      </w:pPr>
      <w:r>
        <w:rPr>
          <w:rFonts w:ascii="宋体" w:hAnsi="宋体" w:cs="宋体"/>
          <w:sz w:val="24"/>
        </w:rPr>
        <w:t>本项目实行半年结算付款制，结算周期为每6个自然月（即1-6月、7-12月）。</w:t>
      </w:r>
    </w:p>
    <w:p w14:paraId="514052A4">
      <w:pPr>
        <w:spacing w:line="420" w:lineRule="exact"/>
        <w:ind w:firstLine="480" w:firstLineChars="200"/>
        <w:rPr>
          <w:rFonts w:ascii="宋体" w:hAnsi="宋体" w:cs="宋体"/>
          <w:sz w:val="24"/>
        </w:rPr>
      </w:pPr>
      <w:r>
        <w:rPr>
          <w:rFonts w:hint="eastAsia" w:ascii="宋体" w:hAnsi="宋体" w:cs="宋体"/>
          <w:sz w:val="24"/>
        </w:rPr>
        <w:t>丙方应在每个结算周期结束后10个工作日内，将该周期内所有《月度运输数据确认单》及对应合规发票提交至甲方指定对接部门，由甲方按规定程序报送相关部门进行审核（送审）。</w:t>
      </w:r>
    </w:p>
    <w:p w14:paraId="681836CD">
      <w:pPr>
        <w:spacing w:line="420" w:lineRule="exact"/>
        <w:ind w:firstLine="480" w:firstLineChars="200"/>
        <w:rPr>
          <w:rFonts w:ascii="宋体" w:hAnsi="宋体" w:cs="宋体"/>
          <w:sz w:val="24"/>
        </w:rPr>
      </w:pPr>
      <w:r>
        <w:rPr>
          <w:rFonts w:hint="eastAsia" w:ascii="宋体" w:hAnsi="宋体" w:cs="宋体"/>
          <w:sz w:val="24"/>
        </w:rPr>
        <w:t>甲方在收到送审部门审核通过的结果后，于20个工作日内按双方确认的结算金额，通过银行转账方式向丙方支付对应款项。</w:t>
      </w:r>
    </w:p>
    <w:p w14:paraId="7E976101">
      <w:pPr>
        <w:spacing w:line="420" w:lineRule="exact"/>
        <w:ind w:firstLine="480" w:firstLineChars="200"/>
        <w:rPr>
          <w:rFonts w:ascii="宋体" w:hAnsi="宋体" w:cs="宋体"/>
          <w:sz w:val="24"/>
        </w:rPr>
      </w:pPr>
      <w:r>
        <w:rPr>
          <w:rFonts w:hint="eastAsia" w:ascii="宋体" w:hAnsi="宋体" w:cs="宋体"/>
          <w:sz w:val="24"/>
        </w:rPr>
        <w:t>若送审过程中发现结算资料存在异议或问题，丙方须在收到通知后5个工作日内补充完善相关材料，送审、审核及付款周期相应顺延；因丙方提供资料不符合要求导致付款延迟的，甲方不承担违约责任。</w:t>
      </w:r>
    </w:p>
    <w:p w14:paraId="149B581B">
      <w:pPr>
        <w:spacing w:line="420" w:lineRule="exact"/>
        <w:ind w:firstLine="480" w:firstLineChars="200"/>
        <w:rPr>
          <w:rFonts w:ascii="宋体" w:hAnsi="宋体" w:cs="宋体"/>
          <w:sz w:val="24"/>
        </w:rPr>
      </w:pPr>
      <w:r>
        <w:rPr>
          <w:rFonts w:ascii="宋体" w:hAnsi="宋体" w:cs="宋体"/>
          <w:sz w:val="24"/>
        </w:rPr>
        <w:t>（四）其他约定</w:t>
      </w:r>
    </w:p>
    <w:p w14:paraId="1C198038">
      <w:pPr>
        <w:spacing w:line="420" w:lineRule="exact"/>
        <w:ind w:firstLine="480" w:firstLineChars="200"/>
        <w:rPr>
          <w:rFonts w:ascii="宋体" w:hAnsi="宋体" w:cs="宋体"/>
          <w:sz w:val="24"/>
        </w:rPr>
      </w:pPr>
      <w:r>
        <w:rPr>
          <w:rFonts w:hint="eastAsia" w:ascii="宋体" w:hAnsi="宋体" w:cs="宋体"/>
          <w:sz w:val="24"/>
        </w:rPr>
        <w:t>丙方</w:t>
      </w:r>
      <w:r>
        <w:rPr>
          <w:rFonts w:ascii="宋体" w:hAnsi="宋体" w:cs="宋体"/>
          <w:sz w:val="24"/>
        </w:rPr>
        <w:t>未按约定时间提交结算资料或开具发票的，</w:t>
      </w:r>
      <w:r>
        <w:rPr>
          <w:rFonts w:hint="eastAsia" w:ascii="宋体" w:hAnsi="宋体" w:cs="宋体"/>
          <w:sz w:val="24"/>
        </w:rPr>
        <w:t>甲方</w:t>
      </w:r>
      <w:r>
        <w:rPr>
          <w:rFonts w:ascii="宋体" w:hAnsi="宋体" w:cs="宋体"/>
          <w:sz w:val="24"/>
        </w:rPr>
        <w:t>有权顺延付款，且不支付逾期付款利息。</w:t>
      </w:r>
    </w:p>
    <w:p w14:paraId="584A69CF">
      <w:pPr>
        <w:snapToGrid w:val="0"/>
        <w:spacing w:line="400" w:lineRule="exact"/>
        <w:ind w:firstLine="480" w:firstLineChars="200"/>
        <w:rPr>
          <w:rFonts w:ascii="宋体" w:hAnsi="宋体" w:cs="宋体"/>
          <w:b/>
          <w:bCs/>
          <w:sz w:val="24"/>
        </w:rPr>
      </w:pPr>
      <w:r>
        <w:rPr>
          <w:rFonts w:ascii="宋体" w:hAnsi="宋体" w:cs="宋体"/>
          <w:sz w:val="24"/>
        </w:rPr>
        <w:t>所有结算凭证（含确认单、发票、银行回单等）需留存备查，保存期限不少于项目合同履行完毕后</w:t>
      </w:r>
      <w:r>
        <w:rPr>
          <w:rFonts w:hint="eastAsia" w:ascii="宋体" w:hAnsi="宋体" w:cs="宋体"/>
          <w:sz w:val="24"/>
        </w:rPr>
        <w:t>2</w:t>
      </w:r>
      <w:r>
        <w:rPr>
          <w:rFonts w:ascii="宋体" w:hAnsi="宋体" w:cs="宋体"/>
          <w:sz w:val="24"/>
        </w:rPr>
        <w:t>年，甲方有权对结算数据进行抽查复核，</w:t>
      </w:r>
      <w:r>
        <w:rPr>
          <w:rFonts w:hint="eastAsia" w:ascii="宋体" w:hAnsi="宋体" w:cs="宋体"/>
          <w:sz w:val="24"/>
        </w:rPr>
        <w:t>丙方</w:t>
      </w:r>
      <w:r>
        <w:rPr>
          <w:rFonts w:ascii="宋体" w:hAnsi="宋体" w:cs="宋体"/>
          <w:sz w:val="24"/>
        </w:rPr>
        <w:t>须配合提供相关原始凭证。</w:t>
      </w:r>
    </w:p>
    <w:p w14:paraId="18AE56EE">
      <w:pPr>
        <w:snapToGrid w:val="0"/>
        <w:spacing w:line="400" w:lineRule="exact"/>
        <w:ind w:firstLine="482" w:firstLineChars="200"/>
        <w:rPr>
          <w:rFonts w:ascii="宋体" w:hAnsi="宋体" w:cs="宋体"/>
          <w:sz w:val="24"/>
        </w:rPr>
      </w:pPr>
      <w:r>
        <w:rPr>
          <w:rFonts w:hint="eastAsia" w:ascii="宋体" w:hAnsi="宋体" w:cs="宋体"/>
          <w:b/>
          <w:bCs/>
          <w:sz w:val="24"/>
        </w:rPr>
        <w:t>第五条 争议解决</w:t>
      </w:r>
    </w:p>
    <w:p w14:paraId="5DE5439A">
      <w:pPr>
        <w:snapToGrid w:val="0"/>
        <w:spacing w:line="400" w:lineRule="exact"/>
        <w:ind w:firstLine="480" w:firstLineChars="200"/>
        <w:rPr>
          <w:rFonts w:ascii="宋体" w:hAnsi="宋体" w:cs="宋体"/>
          <w:sz w:val="24"/>
        </w:rPr>
      </w:pPr>
      <w:r>
        <w:rPr>
          <w:rFonts w:hint="eastAsia" w:ascii="宋体" w:hAnsi="宋体" w:cs="宋体"/>
          <w:sz w:val="24"/>
        </w:rPr>
        <w:t>甲乙丙三方履行本合同发生争议，应首先协商解决；协商不成时，三方当事人可向合同签订地人民法院提出诉讼。</w:t>
      </w:r>
    </w:p>
    <w:p w14:paraId="57F4F0BE">
      <w:pPr>
        <w:snapToGrid w:val="0"/>
        <w:spacing w:line="400" w:lineRule="exact"/>
        <w:ind w:firstLine="480" w:firstLineChars="200"/>
        <w:rPr>
          <w:rFonts w:ascii="宋体" w:hAnsi="宋体" w:cs="宋体"/>
          <w:sz w:val="24"/>
        </w:rPr>
      </w:pPr>
      <w:r>
        <w:rPr>
          <w:rFonts w:hint="eastAsia" w:ascii="宋体" w:hAnsi="宋体" w:cs="宋体"/>
          <w:sz w:val="24"/>
        </w:rPr>
        <w:t>如丙方未如实履行本协议约定导致违约和损害的，或因丙方履行协议引发与第三人发生纠纷，导致甲方或乙方被牵连涉诉（仲裁）的，由丙方承担甲方或乙方为实现债权或主张权利而支付的一切费用（包括但不限于差旅费、资产处置费、诉讼费、仲裁费、律师费、评估鉴定费、保全费、误工费等），甲乙双方可在未付费用或履约保证金中直接扣除。</w:t>
      </w:r>
    </w:p>
    <w:p w14:paraId="169F40E8">
      <w:pPr>
        <w:snapToGrid w:val="0"/>
        <w:spacing w:line="400" w:lineRule="exact"/>
        <w:ind w:firstLine="482" w:firstLineChars="200"/>
        <w:rPr>
          <w:rFonts w:ascii="宋体" w:hAnsi="宋体" w:cs="宋体"/>
          <w:sz w:val="24"/>
        </w:rPr>
      </w:pPr>
      <w:r>
        <w:rPr>
          <w:rFonts w:hint="eastAsia" w:ascii="宋体" w:hAnsi="宋体" w:cs="宋体"/>
          <w:b/>
          <w:bCs/>
          <w:sz w:val="24"/>
        </w:rPr>
        <w:t>第六条 违约责任</w:t>
      </w:r>
    </w:p>
    <w:p w14:paraId="6542746F">
      <w:pPr>
        <w:snapToGrid w:val="0"/>
        <w:spacing w:line="400" w:lineRule="exact"/>
        <w:ind w:firstLine="480" w:firstLineChars="200"/>
        <w:rPr>
          <w:rFonts w:ascii="宋体" w:hAnsi="宋体" w:cs="宋体"/>
          <w:sz w:val="24"/>
        </w:rPr>
      </w:pPr>
      <w:r>
        <w:rPr>
          <w:rFonts w:hint="eastAsia" w:ascii="宋体" w:hAnsi="宋体" w:cs="宋体"/>
          <w:sz w:val="24"/>
        </w:rPr>
        <w:t>1.如遇不可抗力因素(自然灾害，国家政策因素等)不构成违约。</w:t>
      </w:r>
    </w:p>
    <w:p w14:paraId="58D0F8CB">
      <w:pPr>
        <w:snapToGrid w:val="0"/>
        <w:spacing w:line="400" w:lineRule="exact"/>
        <w:ind w:firstLine="480" w:firstLineChars="200"/>
        <w:rPr>
          <w:rFonts w:ascii="宋体" w:hAnsi="宋体" w:cs="宋体"/>
          <w:sz w:val="24"/>
        </w:rPr>
      </w:pPr>
      <w:r>
        <w:rPr>
          <w:rFonts w:hint="eastAsia" w:ascii="宋体" w:hAnsi="宋体" w:cs="宋体"/>
          <w:sz w:val="24"/>
        </w:rPr>
        <w:t>2.任何一方违反合同条款均需承担违约责任，乃至损失赔偿。</w:t>
      </w:r>
    </w:p>
    <w:p w14:paraId="2831F7BC">
      <w:pPr>
        <w:snapToGrid w:val="0"/>
        <w:spacing w:line="400" w:lineRule="exact"/>
        <w:ind w:firstLine="480" w:firstLineChars="200"/>
        <w:rPr>
          <w:rFonts w:ascii="宋体" w:hAnsi="宋体" w:cs="宋体"/>
          <w:sz w:val="24"/>
        </w:rPr>
      </w:pPr>
      <w:r>
        <w:rPr>
          <w:rFonts w:hint="eastAsia" w:ascii="宋体" w:hAnsi="宋体" w:cs="宋体"/>
          <w:sz w:val="24"/>
        </w:rPr>
        <w:t>3.丙方有以下任何情形之一的，甲乙双方无需提前通知，可立即解除本协议：</w:t>
      </w:r>
    </w:p>
    <w:p w14:paraId="1FD4765C">
      <w:pPr>
        <w:snapToGrid w:val="0"/>
        <w:spacing w:line="400" w:lineRule="exact"/>
        <w:ind w:firstLine="480" w:firstLineChars="200"/>
        <w:rPr>
          <w:rFonts w:ascii="宋体" w:hAnsi="宋体" w:cs="宋体"/>
          <w:sz w:val="24"/>
        </w:rPr>
      </w:pPr>
      <w:r>
        <w:rPr>
          <w:rFonts w:hint="eastAsia" w:ascii="宋体" w:hAnsi="宋体" w:cs="宋体"/>
          <w:sz w:val="24"/>
        </w:rPr>
        <w:t>（1）违反本协议条款约定的行为或事实，经甲乙双方限期整改后仍未达标；</w:t>
      </w:r>
    </w:p>
    <w:p w14:paraId="711A8E04">
      <w:pPr>
        <w:snapToGrid w:val="0"/>
        <w:spacing w:line="400" w:lineRule="exact"/>
        <w:ind w:firstLine="480" w:firstLineChars="200"/>
        <w:rPr>
          <w:rFonts w:ascii="宋体" w:hAnsi="宋体" w:cs="宋体"/>
          <w:sz w:val="24"/>
        </w:rPr>
      </w:pPr>
      <w:r>
        <w:rPr>
          <w:rFonts w:hint="eastAsia" w:ascii="宋体" w:hAnsi="宋体" w:cs="宋体"/>
          <w:sz w:val="24"/>
        </w:rPr>
        <w:t>（2）在服务期限内，不能满足甲方运输数量及服务品质要求，无能力继续提供运输服务；</w:t>
      </w:r>
    </w:p>
    <w:p w14:paraId="2C6B0D99">
      <w:pPr>
        <w:snapToGrid w:val="0"/>
        <w:spacing w:line="400" w:lineRule="exact"/>
        <w:ind w:firstLine="480" w:firstLineChars="200"/>
        <w:rPr>
          <w:rFonts w:hint="eastAsia" w:ascii="宋体" w:hAnsi="宋体" w:cs="宋体"/>
          <w:sz w:val="24"/>
        </w:rPr>
      </w:pPr>
      <w:r>
        <w:rPr>
          <w:rFonts w:hint="eastAsia" w:ascii="宋体" w:hAnsi="宋体" w:cs="宋体"/>
          <w:sz w:val="24"/>
        </w:rPr>
        <w:t>（3）被政府机关停止或取消营业资格，或相关核心资质证书失效。</w:t>
      </w:r>
    </w:p>
    <w:p w14:paraId="67FE0218">
      <w:pPr>
        <w:snapToGrid w:val="0"/>
        <w:spacing w:line="400" w:lineRule="exact"/>
        <w:ind w:firstLine="480" w:firstLineChars="200"/>
        <w:rPr>
          <w:rFonts w:hint="eastAsia" w:ascii="宋体" w:hAnsi="宋体" w:cs="宋体"/>
          <w:sz w:val="24"/>
        </w:rPr>
      </w:pPr>
      <w:r>
        <w:rPr>
          <w:rFonts w:hint="eastAsia" w:ascii="宋体" w:hAnsi="宋体" w:cs="宋体"/>
          <w:sz w:val="24"/>
        </w:rPr>
        <w:t>（4）擅自将本协议项下服务转包或分包的；</w:t>
      </w:r>
    </w:p>
    <w:p w14:paraId="64B7439A">
      <w:pPr>
        <w:snapToGrid w:val="0"/>
        <w:spacing w:line="400" w:lineRule="exact"/>
        <w:ind w:firstLine="480" w:firstLineChars="200"/>
        <w:rPr>
          <w:rFonts w:hint="eastAsia" w:ascii="宋体" w:hAnsi="宋体" w:cs="宋体"/>
          <w:sz w:val="24"/>
        </w:rPr>
      </w:pPr>
      <w:r>
        <w:rPr>
          <w:rFonts w:hint="eastAsia" w:ascii="宋体" w:hAnsi="宋体" w:cs="宋体"/>
          <w:sz w:val="24"/>
        </w:rPr>
        <w:t>（5）其运输资质、人员资格在合同期内失效或被暂停、吊销，且在15日内未能恢复或提供同等有效替代的；</w:t>
      </w:r>
    </w:p>
    <w:p w14:paraId="6BD5B09A">
      <w:pPr>
        <w:snapToGrid w:val="0"/>
        <w:spacing w:line="400" w:lineRule="exact"/>
        <w:ind w:firstLine="480" w:firstLineChars="200"/>
        <w:rPr>
          <w:rFonts w:hint="eastAsia" w:ascii="宋体" w:hAnsi="宋体" w:cs="宋体"/>
          <w:sz w:val="24"/>
        </w:rPr>
      </w:pPr>
      <w:r>
        <w:rPr>
          <w:rFonts w:hint="eastAsia" w:ascii="宋体" w:hAnsi="宋体" w:cs="宋体"/>
          <w:sz w:val="24"/>
        </w:rPr>
        <w:t>（6）一个自然年度内，因丙方原因导致重大安全责任事件（依据国家或行业标准认定）发生一次及以上，或一般安全责任事件累计发生三次及以上的。</w:t>
      </w:r>
    </w:p>
    <w:p w14:paraId="51DC3999">
      <w:pPr>
        <w:snapToGrid w:val="0"/>
        <w:spacing w:line="400" w:lineRule="exact"/>
        <w:ind w:firstLine="480" w:firstLineChars="200"/>
        <w:rPr>
          <w:rFonts w:hint="eastAsia" w:ascii="宋体" w:hAnsi="宋体" w:cs="宋体"/>
          <w:sz w:val="24"/>
        </w:rPr>
      </w:pPr>
      <w:r>
        <w:rPr>
          <w:rFonts w:hint="eastAsia" w:ascii="宋体" w:hAnsi="宋体" w:cs="宋体"/>
          <w:sz w:val="24"/>
        </w:rPr>
        <w:t>4.丙方单次运输延误超过2小时或月度累计延误3次及以上的，甲方有权扣除履约保证金的10%-30%；年度内累计2次考核不合格的，甲方有权立即解除本协议，并要求丙方赔偿全部损失。</w:t>
      </w:r>
    </w:p>
    <w:p w14:paraId="6E4B336A">
      <w:pPr>
        <w:snapToGrid w:val="0"/>
        <w:spacing w:line="400" w:lineRule="exact"/>
        <w:ind w:firstLine="482" w:firstLineChars="200"/>
        <w:rPr>
          <w:rFonts w:ascii="宋体" w:hAnsi="宋体" w:cs="宋体"/>
          <w:sz w:val="24"/>
        </w:rPr>
      </w:pPr>
      <w:r>
        <w:rPr>
          <w:rFonts w:hint="eastAsia" w:ascii="宋体" w:hAnsi="宋体" w:cs="宋体"/>
          <w:b/>
          <w:bCs/>
          <w:sz w:val="24"/>
        </w:rPr>
        <w:t>第七条 不可抗力</w:t>
      </w:r>
    </w:p>
    <w:p w14:paraId="35D1E986">
      <w:pPr>
        <w:snapToGrid w:val="0"/>
        <w:spacing w:line="400" w:lineRule="exact"/>
        <w:ind w:firstLine="480" w:firstLineChars="200"/>
        <w:rPr>
          <w:rFonts w:ascii="宋体" w:hAnsi="宋体" w:cs="宋体"/>
          <w:sz w:val="24"/>
        </w:rPr>
      </w:pPr>
      <w:r>
        <w:rPr>
          <w:rFonts w:hint="eastAsia" w:ascii="宋体" w:hAnsi="宋体" w:cs="宋体"/>
          <w:sz w:val="24"/>
        </w:rPr>
        <w:t>1.“不可抗力”指超出任何一方预见和控制范围所造成或引起的该方未能全部或部分 履行本合同义务的任何事件或情况(如台风、海啸、地震、暴雨、洪水、政策法规变化等), 而该履行行为是该方执行合理谨慎的作业者标准所不能避免或不能克服的。</w:t>
      </w:r>
    </w:p>
    <w:p w14:paraId="21498A13">
      <w:pPr>
        <w:snapToGrid w:val="0"/>
        <w:spacing w:line="400" w:lineRule="exact"/>
        <w:ind w:firstLine="480" w:firstLineChars="200"/>
        <w:rPr>
          <w:rFonts w:ascii="宋体" w:hAnsi="宋体" w:cs="宋体"/>
          <w:sz w:val="24"/>
        </w:rPr>
      </w:pPr>
      <w:r>
        <w:rPr>
          <w:rFonts w:hint="eastAsia" w:ascii="宋体" w:hAnsi="宋体" w:cs="宋体"/>
          <w:sz w:val="24"/>
        </w:rPr>
        <w:t>2.双方中的任何一方由于不可抗力的原因不能履行合同时，应及时向他方通报其不能履行或不能完全履行的理由，以减轻可能给他方造成的损失，在取得有关机构证明并经各方协商一致后，允许延期履行、部分履行或者不履行合同，并根据客观情况可部分或全部免予承担违约责任。</w:t>
      </w:r>
    </w:p>
    <w:p w14:paraId="58DC602F">
      <w:pPr>
        <w:snapToGrid w:val="0"/>
        <w:spacing w:line="400" w:lineRule="exact"/>
        <w:ind w:firstLine="480" w:firstLineChars="200"/>
        <w:rPr>
          <w:rFonts w:ascii="宋体" w:hAnsi="宋体" w:cs="宋体"/>
          <w:sz w:val="24"/>
        </w:rPr>
      </w:pPr>
      <w:r>
        <w:rPr>
          <w:rFonts w:hint="eastAsia" w:ascii="宋体" w:hAnsi="宋体" w:cs="宋体"/>
          <w:sz w:val="24"/>
        </w:rPr>
        <w:t>3.由于不可抗力导致合同一方不能履行合同时，不影响此前各方已经发生或履行的权利义务。</w:t>
      </w:r>
    </w:p>
    <w:p w14:paraId="1FD98A58">
      <w:pPr>
        <w:snapToGrid w:val="0"/>
        <w:spacing w:line="400" w:lineRule="exact"/>
        <w:ind w:firstLine="482" w:firstLineChars="200"/>
        <w:rPr>
          <w:rFonts w:ascii="宋体" w:hAnsi="宋体" w:cs="宋体"/>
          <w:b/>
          <w:bCs/>
          <w:sz w:val="24"/>
        </w:rPr>
      </w:pPr>
      <w:r>
        <w:rPr>
          <w:rFonts w:hint="eastAsia" w:ascii="宋体" w:hAnsi="宋体" w:cs="宋体"/>
          <w:b/>
          <w:bCs/>
          <w:sz w:val="24"/>
        </w:rPr>
        <w:t>第八条 保密</w:t>
      </w:r>
    </w:p>
    <w:p w14:paraId="7576CA14">
      <w:pPr>
        <w:snapToGrid w:val="0"/>
        <w:spacing w:line="400" w:lineRule="exact"/>
        <w:ind w:firstLine="480" w:firstLineChars="200"/>
        <w:rPr>
          <w:rFonts w:ascii="宋体" w:hAnsi="宋体" w:cs="宋体"/>
          <w:sz w:val="24"/>
        </w:rPr>
      </w:pPr>
      <w:r>
        <w:rPr>
          <w:rFonts w:hint="eastAsia" w:ascii="宋体" w:hAnsi="宋体" w:cs="宋体"/>
          <w:sz w:val="24"/>
        </w:rPr>
        <w:t>自生效之日起，本合同的任何条款及相关信息均应依照本条的约定予以保密。未经另一方事先书面同意，双方中任何一方不得将本合同的条款全部或部分透露给第三方。违约方承担由此给守约方造成的一切经济损失。本保密责任不因本合同终止或解除而免除。</w:t>
      </w:r>
    </w:p>
    <w:p w14:paraId="5F38D5EE">
      <w:pPr>
        <w:snapToGrid w:val="0"/>
        <w:spacing w:line="400" w:lineRule="exact"/>
        <w:ind w:firstLine="482" w:firstLineChars="200"/>
        <w:rPr>
          <w:rFonts w:ascii="宋体" w:hAnsi="宋体" w:cs="宋体"/>
          <w:b/>
          <w:bCs/>
          <w:sz w:val="24"/>
        </w:rPr>
      </w:pPr>
      <w:r>
        <w:rPr>
          <w:rFonts w:hint="eastAsia" w:ascii="宋体" w:hAnsi="宋体" w:cs="宋体"/>
          <w:b/>
          <w:bCs/>
          <w:sz w:val="24"/>
        </w:rPr>
        <w:t>第九条 廉洁条款</w:t>
      </w:r>
    </w:p>
    <w:p w14:paraId="500743D4">
      <w:pPr>
        <w:snapToGrid w:val="0"/>
        <w:spacing w:line="400" w:lineRule="exact"/>
        <w:ind w:firstLine="480" w:firstLineChars="200"/>
        <w:rPr>
          <w:rFonts w:ascii="宋体" w:hAnsi="宋体" w:cs="宋体"/>
          <w:sz w:val="24"/>
        </w:rPr>
      </w:pPr>
      <w:r>
        <w:rPr>
          <w:rFonts w:hint="eastAsia" w:ascii="宋体" w:hAnsi="宋体" w:cs="宋体"/>
          <w:sz w:val="24"/>
        </w:rPr>
        <w:t>甲乙丙三方在协议履行过程中应廉洁自律、诚实守信，保护各方合法权益，严格遵守国家有关法律法规及廉政建设的规定。任何一方违反本条约定的，须向其他两方无条件支付年度结算总额 10% 的违约金；若造成的损失超过违约金金额的，违约方还应补足差额；涉嫌犯罪的，移送司法机关依法追究刑事责任。</w:t>
      </w:r>
    </w:p>
    <w:p w14:paraId="359D9322">
      <w:pPr>
        <w:snapToGrid w:val="0"/>
        <w:spacing w:line="400" w:lineRule="exact"/>
        <w:ind w:firstLine="482" w:firstLineChars="200"/>
        <w:rPr>
          <w:rFonts w:ascii="宋体" w:hAnsi="宋体" w:cs="宋体"/>
          <w:sz w:val="24"/>
        </w:rPr>
      </w:pPr>
      <w:r>
        <w:rPr>
          <w:rFonts w:hint="eastAsia" w:ascii="宋体" w:hAnsi="宋体" w:cs="宋体"/>
          <w:b/>
          <w:bCs/>
          <w:sz w:val="24"/>
        </w:rPr>
        <w:t>第十条 其他约定</w:t>
      </w:r>
    </w:p>
    <w:p w14:paraId="6911598A">
      <w:pPr>
        <w:snapToGrid w:val="0"/>
        <w:spacing w:line="400" w:lineRule="exact"/>
        <w:ind w:firstLine="480" w:firstLineChars="200"/>
        <w:rPr>
          <w:rFonts w:ascii="宋体" w:hAnsi="宋体" w:cs="宋体"/>
          <w:sz w:val="24"/>
        </w:rPr>
      </w:pPr>
      <w:r>
        <w:rPr>
          <w:rFonts w:hint="eastAsia" w:ascii="宋体" w:hAnsi="宋体" w:cs="宋体"/>
          <w:sz w:val="24"/>
        </w:rPr>
        <w:t>1.在燃料资源紧张时，同等条件下乙方应优先向甲方保证供应，但仅限于甲方正常生产使用需求。</w:t>
      </w:r>
    </w:p>
    <w:p w14:paraId="50D5B7A1">
      <w:pPr>
        <w:snapToGrid w:val="0"/>
        <w:spacing w:line="400" w:lineRule="exact"/>
        <w:ind w:firstLine="480" w:firstLineChars="200"/>
        <w:rPr>
          <w:rFonts w:ascii="宋体" w:hAnsi="宋体" w:cs="宋体"/>
          <w:sz w:val="24"/>
        </w:rPr>
      </w:pPr>
      <w:r>
        <w:rPr>
          <w:rFonts w:hint="eastAsia" w:ascii="宋体" w:hAnsi="宋体" w:cs="宋体"/>
          <w:sz w:val="24"/>
        </w:rPr>
        <w:t>2.本协议未尽事宜，由甲乙丙三方另行协商并签订补充协议。补充协议与本协议具有同等法律效力。</w:t>
      </w:r>
    </w:p>
    <w:p w14:paraId="662B74F6">
      <w:pPr>
        <w:snapToGrid w:val="0"/>
        <w:spacing w:line="400" w:lineRule="exact"/>
        <w:ind w:firstLine="480" w:firstLineChars="200"/>
        <w:rPr>
          <w:rFonts w:ascii="宋体" w:hAnsi="宋体" w:cs="宋体"/>
          <w:sz w:val="24"/>
        </w:rPr>
      </w:pPr>
      <w:r>
        <w:rPr>
          <w:rFonts w:hint="eastAsia" w:ascii="宋体" w:hAnsi="宋体" w:cs="宋体"/>
          <w:sz w:val="24"/>
        </w:rPr>
        <w:t>3.本协议所有附件（包括但不限于考核细则、投标文件相关承诺等）均为本协议不可分割的组成部分，与本协议具有同等法律效力。</w:t>
      </w:r>
    </w:p>
    <w:p w14:paraId="4697785C">
      <w:pPr>
        <w:snapToGrid w:val="0"/>
        <w:spacing w:line="400" w:lineRule="exact"/>
        <w:ind w:firstLine="482" w:firstLineChars="200"/>
        <w:rPr>
          <w:rFonts w:ascii="宋体" w:hAnsi="宋体" w:cs="宋体"/>
          <w:b/>
          <w:bCs/>
          <w:sz w:val="24"/>
        </w:rPr>
      </w:pPr>
      <w:r>
        <w:rPr>
          <w:rFonts w:hint="eastAsia" w:ascii="宋体" w:hAnsi="宋体" w:cs="宋体"/>
          <w:b/>
          <w:bCs/>
          <w:sz w:val="24"/>
        </w:rPr>
        <w:t>第十一条 合同期限</w:t>
      </w:r>
    </w:p>
    <w:p w14:paraId="42EF27FA">
      <w:pPr>
        <w:snapToGrid w:val="0"/>
        <w:spacing w:line="400" w:lineRule="exact"/>
        <w:ind w:firstLine="480" w:firstLineChars="200"/>
        <w:rPr>
          <w:rFonts w:ascii="宋体" w:hAnsi="宋体" w:cs="宋体"/>
          <w:sz w:val="24"/>
        </w:rPr>
      </w:pPr>
      <w:r>
        <w:rPr>
          <w:rFonts w:hint="eastAsia" w:ascii="宋体" w:hAnsi="宋体" w:cs="宋体"/>
          <w:sz w:val="24"/>
        </w:rPr>
        <w:t>合同期限为：2026年 月 日至 年 月 日。</w:t>
      </w:r>
    </w:p>
    <w:p w14:paraId="5917FB4D">
      <w:pPr>
        <w:snapToGrid w:val="0"/>
        <w:spacing w:line="400" w:lineRule="exact"/>
        <w:ind w:firstLine="482" w:firstLineChars="200"/>
        <w:rPr>
          <w:rFonts w:ascii="宋体" w:hAnsi="宋体" w:cs="宋体"/>
          <w:b/>
          <w:bCs/>
          <w:sz w:val="24"/>
        </w:rPr>
      </w:pPr>
      <w:r>
        <w:rPr>
          <w:rFonts w:hint="eastAsia" w:ascii="宋体" w:hAnsi="宋体" w:cs="宋体"/>
          <w:b/>
          <w:bCs/>
          <w:sz w:val="24"/>
        </w:rPr>
        <w:t>第十二条 协议生效与文本</w:t>
      </w:r>
    </w:p>
    <w:p w14:paraId="6138C363">
      <w:pPr>
        <w:pStyle w:val="81"/>
        <w:numPr>
          <w:ilvl w:val="0"/>
          <w:numId w:val="2"/>
        </w:numPr>
        <w:snapToGrid w:val="0"/>
        <w:spacing w:line="400" w:lineRule="exact"/>
        <w:ind w:firstLineChars="0"/>
        <w:rPr>
          <w:rFonts w:ascii="宋体" w:hAnsi="宋体" w:cs="宋体"/>
          <w:sz w:val="24"/>
        </w:rPr>
      </w:pPr>
      <w:r>
        <w:rPr>
          <w:rFonts w:hint="eastAsia" w:ascii="宋体" w:hAnsi="宋体" w:cs="宋体"/>
          <w:sz w:val="24"/>
        </w:rPr>
        <w:t>本协议自甲乙丙三方签字并加盖公章（或合同专用章）之日起生效。</w:t>
      </w:r>
    </w:p>
    <w:p w14:paraId="1B95980C">
      <w:pPr>
        <w:snapToGrid w:val="0"/>
        <w:spacing w:line="400" w:lineRule="exact"/>
        <w:ind w:firstLine="480" w:firstLineChars="200"/>
        <w:rPr>
          <w:rFonts w:ascii="宋体" w:hAnsi="宋体" w:cs="宋体"/>
          <w:sz w:val="24"/>
        </w:rPr>
      </w:pPr>
      <w:r>
        <w:rPr>
          <w:rFonts w:hint="eastAsia" w:ascii="宋体" w:hAnsi="宋体" w:cs="宋体"/>
          <w:sz w:val="24"/>
        </w:rPr>
        <w:t>2.本协议一式玖份，甲方执叁份，乙方执叁份，丙方执叁份，具有同等法律效力。</w:t>
      </w:r>
    </w:p>
    <w:p w14:paraId="32B1C801">
      <w:pPr>
        <w:snapToGrid w:val="0"/>
        <w:spacing w:line="400" w:lineRule="exact"/>
        <w:ind w:firstLine="480" w:firstLineChars="200"/>
        <w:rPr>
          <w:rFonts w:ascii="宋体" w:hAnsi="宋体" w:cs="宋体"/>
          <w:sz w:val="24"/>
        </w:rPr>
      </w:pPr>
    </w:p>
    <w:p w14:paraId="59A63112">
      <w:pPr>
        <w:snapToGrid w:val="0"/>
        <w:spacing w:line="400" w:lineRule="exact"/>
        <w:ind w:firstLine="480" w:firstLineChars="200"/>
        <w:rPr>
          <w:rFonts w:ascii="宋体" w:hAnsi="宋体" w:cs="宋体"/>
          <w:sz w:val="24"/>
        </w:rPr>
      </w:pPr>
      <w:r>
        <w:rPr>
          <w:rFonts w:hint="eastAsia" w:ascii="宋体" w:hAnsi="宋体" w:cs="宋体"/>
          <w:sz w:val="24"/>
        </w:rPr>
        <w:t>甲方（盖章）：</w:t>
      </w:r>
    </w:p>
    <w:p w14:paraId="2CE6CF28">
      <w:pPr>
        <w:snapToGrid w:val="0"/>
        <w:spacing w:line="400" w:lineRule="exact"/>
        <w:ind w:firstLine="480" w:firstLineChars="200"/>
        <w:rPr>
          <w:rFonts w:ascii="宋体" w:hAnsi="宋体" w:cs="宋体"/>
          <w:sz w:val="24"/>
        </w:rPr>
      </w:pPr>
      <w:r>
        <w:rPr>
          <w:rFonts w:hint="eastAsia" w:ascii="宋体" w:hAnsi="宋体" w:cs="宋体"/>
          <w:sz w:val="24"/>
        </w:rPr>
        <w:t>法定代表人/授权代表：</w:t>
      </w:r>
    </w:p>
    <w:p w14:paraId="10363BFC">
      <w:pPr>
        <w:snapToGrid w:val="0"/>
        <w:spacing w:line="400" w:lineRule="exact"/>
        <w:ind w:firstLine="480" w:firstLineChars="200"/>
        <w:rPr>
          <w:rFonts w:ascii="宋体" w:hAnsi="宋体" w:cs="宋体"/>
          <w:sz w:val="24"/>
        </w:rPr>
      </w:pPr>
      <w:r>
        <w:rPr>
          <w:rFonts w:hint="eastAsia" w:ascii="宋体" w:hAnsi="宋体" w:cs="宋体"/>
          <w:sz w:val="24"/>
        </w:rPr>
        <w:t>日期：</w:t>
      </w:r>
    </w:p>
    <w:p w14:paraId="27477AB5">
      <w:pPr>
        <w:snapToGrid w:val="0"/>
        <w:spacing w:line="400" w:lineRule="exact"/>
        <w:ind w:firstLine="480" w:firstLineChars="200"/>
        <w:rPr>
          <w:rFonts w:ascii="宋体" w:hAnsi="宋体" w:cs="宋体"/>
          <w:sz w:val="24"/>
        </w:rPr>
      </w:pPr>
    </w:p>
    <w:p w14:paraId="1AB4C710">
      <w:pPr>
        <w:snapToGrid w:val="0"/>
        <w:spacing w:line="400" w:lineRule="exact"/>
        <w:ind w:firstLine="480" w:firstLineChars="200"/>
        <w:rPr>
          <w:rFonts w:ascii="宋体" w:hAnsi="宋体" w:cs="宋体"/>
          <w:sz w:val="24"/>
        </w:rPr>
      </w:pPr>
      <w:r>
        <w:rPr>
          <w:rFonts w:hint="eastAsia" w:ascii="宋体" w:hAnsi="宋体" w:cs="宋体"/>
          <w:sz w:val="24"/>
        </w:rPr>
        <w:t>乙方（盖章）：</w:t>
      </w:r>
    </w:p>
    <w:p w14:paraId="5C4AA830">
      <w:pPr>
        <w:snapToGrid w:val="0"/>
        <w:spacing w:line="400" w:lineRule="exact"/>
        <w:ind w:firstLine="480" w:firstLineChars="200"/>
        <w:rPr>
          <w:rFonts w:ascii="宋体" w:hAnsi="宋体" w:cs="宋体"/>
          <w:sz w:val="24"/>
        </w:rPr>
      </w:pPr>
      <w:r>
        <w:rPr>
          <w:rFonts w:hint="eastAsia" w:ascii="宋体" w:hAnsi="宋体" w:cs="宋体"/>
          <w:sz w:val="24"/>
        </w:rPr>
        <w:t>法定代表人/授权代表：</w:t>
      </w:r>
    </w:p>
    <w:p w14:paraId="13896765">
      <w:pPr>
        <w:snapToGrid w:val="0"/>
        <w:spacing w:line="400" w:lineRule="exact"/>
        <w:ind w:firstLine="480" w:firstLineChars="200"/>
        <w:rPr>
          <w:rFonts w:ascii="宋体" w:hAnsi="宋体" w:cs="宋体"/>
          <w:sz w:val="24"/>
        </w:rPr>
      </w:pPr>
      <w:r>
        <w:rPr>
          <w:rFonts w:hint="eastAsia" w:ascii="宋体" w:hAnsi="宋体" w:cs="宋体"/>
          <w:sz w:val="24"/>
        </w:rPr>
        <w:t>日期：</w:t>
      </w:r>
    </w:p>
    <w:p w14:paraId="74FAB317">
      <w:pPr>
        <w:snapToGrid w:val="0"/>
        <w:spacing w:line="400" w:lineRule="exact"/>
        <w:rPr>
          <w:rFonts w:ascii="宋体" w:hAnsi="宋体" w:cs="宋体"/>
          <w:sz w:val="24"/>
        </w:rPr>
      </w:pPr>
    </w:p>
    <w:p w14:paraId="1CB887B9">
      <w:pPr>
        <w:snapToGrid w:val="0"/>
        <w:spacing w:line="400" w:lineRule="exact"/>
        <w:ind w:firstLine="480" w:firstLineChars="200"/>
        <w:rPr>
          <w:rFonts w:ascii="宋体" w:hAnsi="宋体" w:cs="宋体"/>
          <w:sz w:val="24"/>
        </w:rPr>
      </w:pPr>
      <w:r>
        <w:rPr>
          <w:rFonts w:hint="eastAsia" w:ascii="宋体" w:hAnsi="宋体" w:cs="宋体"/>
          <w:sz w:val="24"/>
        </w:rPr>
        <w:t>丙方（盖章）：</w:t>
      </w:r>
    </w:p>
    <w:p w14:paraId="747CE994">
      <w:pPr>
        <w:snapToGrid w:val="0"/>
        <w:spacing w:line="400" w:lineRule="exact"/>
        <w:ind w:firstLine="480" w:firstLineChars="200"/>
        <w:rPr>
          <w:rFonts w:ascii="宋体" w:hAnsi="宋体" w:cs="宋体"/>
          <w:sz w:val="24"/>
        </w:rPr>
      </w:pPr>
      <w:r>
        <w:rPr>
          <w:rFonts w:hint="eastAsia" w:ascii="宋体" w:hAnsi="宋体" w:cs="宋体"/>
          <w:sz w:val="24"/>
        </w:rPr>
        <w:t>法定代表人/授权代表：</w:t>
      </w:r>
    </w:p>
    <w:p w14:paraId="08AE0517">
      <w:pPr>
        <w:snapToGrid w:val="0"/>
        <w:spacing w:line="400" w:lineRule="exact"/>
        <w:ind w:firstLine="480" w:firstLineChars="200"/>
        <w:rPr>
          <w:rFonts w:ascii="宋体" w:hAnsi="宋体" w:cs="宋体"/>
          <w:sz w:val="24"/>
        </w:rPr>
      </w:pPr>
      <w:r>
        <w:rPr>
          <w:rFonts w:hint="eastAsia" w:ascii="宋体" w:hAnsi="宋体" w:cs="宋体"/>
          <w:sz w:val="24"/>
        </w:rPr>
        <w:t>日期：</w:t>
      </w:r>
    </w:p>
    <w:p w14:paraId="7531F0CC">
      <w:pPr>
        <w:snapToGrid w:val="0"/>
        <w:spacing w:line="400" w:lineRule="exact"/>
        <w:rPr>
          <w:rFonts w:ascii="宋体" w:hAnsi="宋体" w:cs="宋体"/>
          <w:sz w:val="24"/>
        </w:rPr>
      </w:pPr>
    </w:p>
    <w:p w14:paraId="63E0A036">
      <w:pPr>
        <w:rPr>
          <w:rFonts w:ascii="宋体" w:hAnsi="宋体" w:cs="宋体"/>
          <w:sz w:val="24"/>
        </w:rPr>
      </w:pPr>
      <w:r>
        <w:rPr>
          <w:rFonts w:hint="eastAsia" w:ascii="宋体" w:hAnsi="宋体" w:cs="宋体"/>
          <w:sz w:val="24"/>
        </w:rPr>
        <w:br w:type="page"/>
      </w:r>
    </w:p>
    <w:p w14:paraId="2DFF1704">
      <w:pPr>
        <w:snapToGrid w:val="0"/>
        <w:spacing w:line="400" w:lineRule="exact"/>
        <w:rPr>
          <w:rFonts w:ascii="宋体" w:hAnsi="宋体" w:cs="宋体"/>
          <w:sz w:val="24"/>
        </w:rPr>
      </w:pPr>
      <w:r>
        <w:rPr>
          <w:rFonts w:hint="eastAsia" w:ascii="宋体" w:hAnsi="宋体" w:cs="宋体"/>
          <w:b/>
          <w:bCs/>
          <w:sz w:val="24"/>
        </w:rPr>
        <w:t>合同附件：考核细则</w:t>
      </w:r>
    </w:p>
    <w:p w14:paraId="49C7133E">
      <w:pPr>
        <w:pStyle w:val="6"/>
        <w:ind w:firstLine="560"/>
        <w:jc w:val="center"/>
        <w:rPr>
          <w:rFonts w:ascii="宋体" w:hAnsi="宋体" w:cs="宋体"/>
          <w:kern w:val="2"/>
          <w:sz w:val="24"/>
          <w:szCs w:val="24"/>
        </w:rPr>
      </w:pPr>
      <w:r>
        <w:rPr>
          <w:rFonts w:hint="eastAsia" w:ascii="宋体" w:hAnsi="宋体" w:cs="宋体"/>
          <w:kern w:val="2"/>
          <w:sz w:val="24"/>
          <w:szCs w:val="24"/>
        </w:rPr>
        <w:t>考核细则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00"/>
        <w:gridCol w:w="3782"/>
        <w:gridCol w:w="1704"/>
        <w:gridCol w:w="732"/>
      </w:tblGrid>
      <w:tr w14:paraId="0FE2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3C62E44">
            <w:pPr>
              <w:pStyle w:val="6"/>
              <w:ind w:firstLine="0"/>
              <w:jc w:val="center"/>
              <w:rPr>
                <w:rFonts w:ascii="宋体" w:hAnsi="宋体" w:cs="宋体"/>
                <w:kern w:val="2"/>
                <w:sz w:val="22"/>
                <w:szCs w:val="22"/>
              </w:rPr>
            </w:pPr>
            <w:r>
              <w:rPr>
                <w:rFonts w:hint="eastAsia" w:ascii="宋体" w:hAnsi="宋体" w:cs="宋体"/>
                <w:kern w:val="2"/>
                <w:sz w:val="22"/>
                <w:szCs w:val="22"/>
              </w:rPr>
              <w:t>序号</w:t>
            </w:r>
          </w:p>
        </w:tc>
        <w:tc>
          <w:tcPr>
            <w:tcW w:w="1200" w:type="dxa"/>
            <w:vAlign w:val="center"/>
          </w:tcPr>
          <w:p w14:paraId="15BE37C6">
            <w:pPr>
              <w:pStyle w:val="6"/>
              <w:ind w:firstLine="0"/>
              <w:jc w:val="center"/>
              <w:rPr>
                <w:rFonts w:ascii="宋体" w:hAnsi="宋体" w:cs="宋体"/>
                <w:kern w:val="2"/>
                <w:sz w:val="22"/>
                <w:szCs w:val="22"/>
              </w:rPr>
            </w:pPr>
            <w:r>
              <w:rPr>
                <w:rFonts w:hint="eastAsia" w:ascii="宋体" w:hAnsi="宋体" w:cs="宋体"/>
                <w:kern w:val="2"/>
                <w:sz w:val="22"/>
                <w:szCs w:val="22"/>
              </w:rPr>
              <w:t>考核项目</w:t>
            </w:r>
          </w:p>
        </w:tc>
        <w:tc>
          <w:tcPr>
            <w:tcW w:w="3782" w:type="dxa"/>
            <w:vAlign w:val="center"/>
          </w:tcPr>
          <w:p w14:paraId="688B506E">
            <w:pPr>
              <w:pStyle w:val="6"/>
              <w:ind w:firstLine="0"/>
              <w:jc w:val="center"/>
              <w:rPr>
                <w:rFonts w:ascii="宋体" w:hAnsi="宋体" w:cs="宋体"/>
                <w:kern w:val="2"/>
                <w:sz w:val="22"/>
                <w:szCs w:val="22"/>
              </w:rPr>
            </w:pPr>
            <w:r>
              <w:rPr>
                <w:rFonts w:hint="eastAsia" w:ascii="宋体" w:hAnsi="宋体" w:cs="宋体"/>
                <w:kern w:val="2"/>
                <w:sz w:val="22"/>
                <w:szCs w:val="22"/>
              </w:rPr>
              <w:t>考核内容</w:t>
            </w:r>
          </w:p>
        </w:tc>
        <w:tc>
          <w:tcPr>
            <w:tcW w:w="1704" w:type="dxa"/>
            <w:vAlign w:val="center"/>
          </w:tcPr>
          <w:p w14:paraId="609A056F">
            <w:pPr>
              <w:pStyle w:val="6"/>
              <w:ind w:firstLine="0"/>
              <w:jc w:val="center"/>
              <w:rPr>
                <w:rFonts w:ascii="宋体" w:hAnsi="宋体" w:cs="宋体"/>
                <w:kern w:val="2"/>
                <w:sz w:val="22"/>
                <w:szCs w:val="22"/>
              </w:rPr>
            </w:pPr>
            <w:r>
              <w:rPr>
                <w:rFonts w:hint="eastAsia" w:ascii="宋体" w:hAnsi="宋体" w:cs="宋体"/>
                <w:kern w:val="2"/>
                <w:sz w:val="22"/>
                <w:szCs w:val="22"/>
              </w:rPr>
              <w:t>考核办法</w:t>
            </w:r>
          </w:p>
        </w:tc>
        <w:tc>
          <w:tcPr>
            <w:tcW w:w="732" w:type="dxa"/>
            <w:vAlign w:val="center"/>
          </w:tcPr>
          <w:p w14:paraId="658B06F8">
            <w:pPr>
              <w:pStyle w:val="6"/>
              <w:ind w:firstLine="0"/>
              <w:jc w:val="center"/>
              <w:rPr>
                <w:rFonts w:ascii="宋体" w:hAnsi="宋体" w:cs="宋体"/>
                <w:kern w:val="2"/>
                <w:sz w:val="22"/>
                <w:szCs w:val="22"/>
              </w:rPr>
            </w:pPr>
            <w:r>
              <w:rPr>
                <w:rFonts w:hint="eastAsia" w:ascii="宋体" w:hAnsi="宋体" w:cs="宋体"/>
                <w:kern w:val="2"/>
                <w:sz w:val="22"/>
                <w:szCs w:val="22"/>
              </w:rPr>
              <w:t>备注</w:t>
            </w:r>
          </w:p>
        </w:tc>
      </w:tr>
      <w:tr w14:paraId="795C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6" w:type="dxa"/>
            <w:vMerge w:val="restart"/>
            <w:vAlign w:val="center"/>
          </w:tcPr>
          <w:p w14:paraId="387EFA4C">
            <w:pPr>
              <w:pStyle w:val="6"/>
              <w:ind w:firstLine="0"/>
              <w:jc w:val="center"/>
              <w:rPr>
                <w:rFonts w:ascii="宋体" w:hAnsi="宋体" w:cs="宋体"/>
                <w:kern w:val="2"/>
                <w:sz w:val="22"/>
                <w:szCs w:val="22"/>
              </w:rPr>
            </w:pPr>
            <w:r>
              <w:rPr>
                <w:rFonts w:hint="eastAsia" w:ascii="宋体" w:hAnsi="宋体" w:cs="宋体"/>
                <w:kern w:val="2"/>
                <w:sz w:val="22"/>
                <w:szCs w:val="22"/>
              </w:rPr>
              <w:t>1</w:t>
            </w:r>
          </w:p>
        </w:tc>
        <w:tc>
          <w:tcPr>
            <w:tcW w:w="1200" w:type="dxa"/>
            <w:vMerge w:val="restart"/>
            <w:vAlign w:val="center"/>
          </w:tcPr>
          <w:p w14:paraId="43670B22">
            <w:pPr>
              <w:pStyle w:val="6"/>
              <w:ind w:firstLine="0"/>
              <w:jc w:val="center"/>
              <w:rPr>
                <w:rFonts w:ascii="宋体" w:hAnsi="宋体" w:cs="宋体"/>
                <w:kern w:val="2"/>
                <w:sz w:val="22"/>
                <w:szCs w:val="22"/>
              </w:rPr>
            </w:pPr>
            <w:r>
              <w:rPr>
                <w:rFonts w:hint="eastAsia" w:ascii="宋体" w:hAnsi="宋体" w:cs="宋体"/>
                <w:kern w:val="2"/>
                <w:sz w:val="22"/>
                <w:szCs w:val="22"/>
              </w:rPr>
              <w:t>运输服务合规性（30分）</w:t>
            </w:r>
          </w:p>
        </w:tc>
        <w:tc>
          <w:tcPr>
            <w:tcW w:w="3782" w:type="dxa"/>
            <w:vAlign w:val="center"/>
          </w:tcPr>
          <w:p w14:paraId="0D69BFA7">
            <w:pPr>
              <w:pStyle w:val="6"/>
              <w:ind w:firstLine="0"/>
              <w:jc w:val="left"/>
              <w:rPr>
                <w:rFonts w:ascii="宋体" w:hAnsi="宋体" w:cs="宋体"/>
                <w:kern w:val="2"/>
                <w:sz w:val="22"/>
                <w:szCs w:val="22"/>
              </w:rPr>
            </w:pPr>
            <w:r>
              <w:rPr>
                <w:rFonts w:hint="eastAsia" w:ascii="宋体" w:hAnsi="宋体" w:cs="宋体"/>
                <w:kern w:val="2"/>
                <w:sz w:val="22"/>
                <w:szCs w:val="22"/>
              </w:rPr>
              <w:t>1.运输车辆资质合规：《道路运输经营许可证》有效、经营范围含成品油运输，车辆核定载重量≥10吨，技术状况、年检、尾气排放符合标准；</w:t>
            </w:r>
          </w:p>
        </w:tc>
        <w:tc>
          <w:tcPr>
            <w:tcW w:w="1704" w:type="dxa"/>
            <w:vMerge w:val="restart"/>
            <w:vAlign w:val="center"/>
          </w:tcPr>
          <w:p w14:paraId="3C662C63">
            <w:pPr>
              <w:pStyle w:val="6"/>
              <w:ind w:firstLine="0"/>
              <w:jc w:val="left"/>
              <w:rPr>
                <w:rFonts w:ascii="宋体" w:hAnsi="宋体" w:cs="宋体"/>
                <w:kern w:val="2"/>
                <w:sz w:val="22"/>
                <w:szCs w:val="22"/>
              </w:rPr>
            </w:pPr>
            <w:r>
              <w:rPr>
                <w:rFonts w:hint="eastAsia" w:ascii="宋体" w:hAnsi="宋体" w:cs="宋体"/>
                <w:kern w:val="2"/>
                <w:sz w:val="22"/>
                <w:szCs w:val="22"/>
              </w:rPr>
              <w:t>1.车辆资质不符合要求的，每项扣10分；</w:t>
            </w:r>
            <w:r>
              <w:rPr>
                <w:rFonts w:ascii="宋体" w:hAnsi="宋体" w:cs="宋体"/>
                <w:kern w:val="2"/>
                <w:sz w:val="22"/>
                <w:szCs w:val="22"/>
              </w:rPr>
              <w:t>2.驾押人员资质不合规的，每人次扣8分；3.擅自更换车辆的扣15分，临时调整未按规定流程执行的扣10分。</w:t>
            </w:r>
          </w:p>
        </w:tc>
        <w:tc>
          <w:tcPr>
            <w:tcW w:w="732" w:type="dxa"/>
            <w:vMerge w:val="restart"/>
            <w:vAlign w:val="center"/>
          </w:tcPr>
          <w:p w14:paraId="6D2C9E91">
            <w:pPr>
              <w:pStyle w:val="6"/>
              <w:rPr>
                <w:rFonts w:ascii="宋体" w:hAnsi="宋体" w:cs="宋体"/>
                <w:kern w:val="2"/>
                <w:sz w:val="22"/>
                <w:szCs w:val="22"/>
              </w:rPr>
            </w:pPr>
          </w:p>
        </w:tc>
      </w:tr>
      <w:tr w14:paraId="53D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26" w:type="dxa"/>
            <w:vMerge w:val="continue"/>
            <w:vAlign w:val="center"/>
          </w:tcPr>
          <w:p w14:paraId="67EE2A7E">
            <w:pPr>
              <w:pStyle w:val="6"/>
              <w:ind w:firstLine="0"/>
              <w:jc w:val="center"/>
              <w:rPr>
                <w:rFonts w:ascii="宋体" w:hAnsi="宋体" w:cs="宋体"/>
                <w:kern w:val="2"/>
                <w:sz w:val="22"/>
                <w:szCs w:val="22"/>
              </w:rPr>
            </w:pPr>
          </w:p>
        </w:tc>
        <w:tc>
          <w:tcPr>
            <w:tcW w:w="1200" w:type="dxa"/>
            <w:vMerge w:val="continue"/>
            <w:vAlign w:val="center"/>
          </w:tcPr>
          <w:p w14:paraId="03BCAB35">
            <w:pPr>
              <w:pStyle w:val="6"/>
              <w:ind w:firstLine="0"/>
              <w:jc w:val="center"/>
              <w:rPr>
                <w:rFonts w:ascii="宋体" w:hAnsi="宋体" w:cs="宋体"/>
                <w:kern w:val="2"/>
                <w:sz w:val="22"/>
                <w:szCs w:val="22"/>
              </w:rPr>
            </w:pPr>
          </w:p>
        </w:tc>
        <w:tc>
          <w:tcPr>
            <w:tcW w:w="3782" w:type="dxa"/>
            <w:vAlign w:val="center"/>
          </w:tcPr>
          <w:p w14:paraId="5BFF1480">
            <w:pPr>
              <w:pStyle w:val="6"/>
              <w:ind w:firstLine="0"/>
              <w:jc w:val="left"/>
              <w:rPr>
                <w:rFonts w:ascii="宋体" w:hAnsi="宋体" w:cs="宋体"/>
                <w:kern w:val="2"/>
                <w:sz w:val="22"/>
                <w:szCs w:val="22"/>
              </w:rPr>
            </w:pPr>
            <w:r>
              <w:rPr>
                <w:rFonts w:ascii="宋体" w:hAnsi="宋体" w:cs="宋体"/>
                <w:kern w:val="2"/>
                <w:sz w:val="22"/>
                <w:szCs w:val="22"/>
              </w:rPr>
              <w:t>2.驾押人员资质合规：驾驶人员及押运人员《危险货物运输从业资格证》有效且类别匹配，服务期间持续合规；</w:t>
            </w:r>
          </w:p>
        </w:tc>
        <w:tc>
          <w:tcPr>
            <w:tcW w:w="1704" w:type="dxa"/>
            <w:vMerge w:val="continue"/>
            <w:vAlign w:val="center"/>
          </w:tcPr>
          <w:p w14:paraId="768AAF58">
            <w:pPr>
              <w:pStyle w:val="6"/>
              <w:ind w:firstLine="0"/>
              <w:jc w:val="center"/>
              <w:rPr>
                <w:rFonts w:ascii="宋体" w:hAnsi="宋体" w:cs="宋体"/>
                <w:kern w:val="2"/>
                <w:sz w:val="22"/>
                <w:szCs w:val="22"/>
              </w:rPr>
            </w:pPr>
          </w:p>
        </w:tc>
        <w:tc>
          <w:tcPr>
            <w:tcW w:w="732" w:type="dxa"/>
            <w:vMerge w:val="continue"/>
            <w:vAlign w:val="center"/>
          </w:tcPr>
          <w:p w14:paraId="7FCDDCD0">
            <w:pPr>
              <w:pStyle w:val="6"/>
              <w:rPr>
                <w:rFonts w:ascii="宋体" w:hAnsi="宋体" w:cs="宋体"/>
                <w:kern w:val="2"/>
                <w:sz w:val="22"/>
                <w:szCs w:val="22"/>
              </w:rPr>
            </w:pPr>
          </w:p>
        </w:tc>
      </w:tr>
      <w:tr w14:paraId="4DF0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6" w:type="dxa"/>
            <w:vMerge w:val="continue"/>
            <w:vAlign w:val="center"/>
          </w:tcPr>
          <w:p w14:paraId="2FC9C478">
            <w:pPr>
              <w:pStyle w:val="6"/>
              <w:ind w:firstLine="0"/>
              <w:jc w:val="center"/>
              <w:rPr>
                <w:rFonts w:ascii="宋体" w:hAnsi="宋体" w:cs="宋体"/>
                <w:kern w:val="2"/>
                <w:sz w:val="22"/>
                <w:szCs w:val="22"/>
              </w:rPr>
            </w:pPr>
          </w:p>
        </w:tc>
        <w:tc>
          <w:tcPr>
            <w:tcW w:w="1200" w:type="dxa"/>
            <w:vMerge w:val="continue"/>
            <w:vAlign w:val="center"/>
          </w:tcPr>
          <w:p w14:paraId="6A959CF1">
            <w:pPr>
              <w:pStyle w:val="6"/>
              <w:ind w:firstLine="0"/>
              <w:jc w:val="center"/>
              <w:rPr>
                <w:rFonts w:ascii="宋体" w:hAnsi="宋体" w:cs="宋体"/>
                <w:kern w:val="2"/>
                <w:sz w:val="22"/>
                <w:szCs w:val="22"/>
              </w:rPr>
            </w:pPr>
          </w:p>
        </w:tc>
        <w:tc>
          <w:tcPr>
            <w:tcW w:w="3782" w:type="dxa"/>
            <w:vAlign w:val="center"/>
          </w:tcPr>
          <w:p w14:paraId="1F2DB73B">
            <w:pPr>
              <w:pStyle w:val="6"/>
              <w:ind w:firstLine="0"/>
              <w:jc w:val="left"/>
              <w:rPr>
                <w:rFonts w:ascii="宋体" w:hAnsi="宋体" w:cs="宋体"/>
                <w:kern w:val="2"/>
                <w:sz w:val="22"/>
                <w:szCs w:val="22"/>
              </w:rPr>
            </w:pPr>
            <w:r>
              <w:rPr>
                <w:rFonts w:ascii="宋体" w:hAnsi="宋体" w:cs="宋体"/>
                <w:kern w:val="2"/>
                <w:sz w:val="22"/>
                <w:szCs w:val="22"/>
              </w:rPr>
              <w:t>3.车辆管理合规：无擅自更换固定车辆行为，临时调整车辆按要求提前申请并经甲方审核通过，替代车辆标准不低于原车辆。</w:t>
            </w:r>
          </w:p>
        </w:tc>
        <w:tc>
          <w:tcPr>
            <w:tcW w:w="1704" w:type="dxa"/>
            <w:vMerge w:val="continue"/>
            <w:vAlign w:val="center"/>
          </w:tcPr>
          <w:p w14:paraId="1B943BAD">
            <w:pPr>
              <w:pStyle w:val="6"/>
              <w:ind w:firstLine="0"/>
              <w:jc w:val="center"/>
              <w:rPr>
                <w:rFonts w:ascii="宋体" w:hAnsi="宋体" w:cs="宋体"/>
                <w:kern w:val="2"/>
                <w:sz w:val="22"/>
                <w:szCs w:val="22"/>
              </w:rPr>
            </w:pPr>
          </w:p>
        </w:tc>
        <w:tc>
          <w:tcPr>
            <w:tcW w:w="732" w:type="dxa"/>
            <w:vMerge w:val="continue"/>
            <w:vAlign w:val="center"/>
          </w:tcPr>
          <w:p w14:paraId="2FE8CB1A">
            <w:pPr>
              <w:pStyle w:val="6"/>
              <w:rPr>
                <w:rFonts w:ascii="宋体" w:hAnsi="宋体" w:cs="宋体"/>
                <w:kern w:val="2"/>
                <w:sz w:val="22"/>
                <w:szCs w:val="22"/>
              </w:rPr>
            </w:pPr>
          </w:p>
        </w:tc>
      </w:tr>
      <w:tr w14:paraId="2BCF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D97A479">
            <w:pPr>
              <w:pStyle w:val="6"/>
              <w:ind w:firstLine="0"/>
              <w:jc w:val="center"/>
              <w:rPr>
                <w:rFonts w:ascii="宋体" w:hAnsi="宋体" w:cs="宋体"/>
                <w:kern w:val="2"/>
                <w:sz w:val="22"/>
                <w:szCs w:val="22"/>
              </w:rPr>
            </w:pPr>
            <w:r>
              <w:rPr>
                <w:rFonts w:hint="eastAsia" w:ascii="宋体" w:hAnsi="宋体" w:cs="宋体"/>
                <w:kern w:val="2"/>
                <w:sz w:val="22"/>
                <w:szCs w:val="22"/>
              </w:rPr>
              <w:t>2</w:t>
            </w:r>
          </w:p>
        </w:tc>
        <w:tc>
          <w:tcPr>
            <w:tcW w:w="1200" w:type="dxa"/>
            <w:vAlign w:val="center"/>
          </w:tcPr>
          <w:p w14:paraId="2E47B7C9">
            <w:pPr>
              <w:pStyle w:val="6"/>
              <w:ind w:firstLine="0"/>
              <w:jc w:val="center"/>
              <w:rPr>
                <w:rFonts w:ascii="宋体" w:hAnsi="宋体" w:cs="宋体"/>
                <w:kern w:val="2"/>
                <w:sz w:val="22"/>
                <w:szCs w:val="22"/>
              </w:rPr>
            </w:pPr>
            <w:r>
              <w:rPr>
                <w:rFonts w:hint="eastAsia" w:ascii="宋体" w:hAnsi="宋体" w:cs="宋体"/>
                <w:kern w:val="2"/>
                <w:sz w:val="22"/>
                <w:szCs w:val="22"/>
              </w:rPr>
              <w:t>运输执行与保障（50分）</w:t>
            </w:r>
          </w:p>
        </w:tc>
        <w:tc>
          <w:tcPr>
            <w:tcW w:w="3782" w:type="dxa"/>
            <w:vAlign w:val="center"/>
          </w:tcPr>
          <w:p w14:paraId="2BDFD29A">
            <w:pPr>
              <w:pStyle w:val="6"/>
              <w:ind w:firstLine="0"/>
              <w:jc w:val="center"/>
              <w:rPr>
                <w:rFonts w:ascii="宋体" w:hAnsi="宋体" w:cs="宋体"/>
                <w:kern w:val="2"/>
                <w:sz w:val="22"/>
                <w:szCs w:val="22"/>
              </w:rPr>
            </w:pPr>
            <w:r>
              <w:rPr>
                <w:rFonts w:hint="eastAsia" w:ascii="宋体" w:hAnsi="宋体" w:cs="宋体"/>
                <w:kern w:val="2"/>
                <w:sz w:val="22"/>
                <w:szCs w:val="22"/>
              </w:rPr>
              <w:t>1.运输时效性：按约定时间装货、送货，无迟到、延误情况；</w:t>
            </w:r>
            <w:r>
              <w:rPr>
                <w:rFonts w:ascii="宋体" w:hAnsi="宋体" w:cs="宋体"/>
                <w:kern w:val="2"/>
                <w:sz w:val="22"/>
                <w:szCs w:val="22"/>
              </w:rPr>
              <w:t>2.通行证办理：涉及禁区/限行区域的，提前办妥有效通行证，无因通行证问题导致延误；3.样品留存：每日按规定标准及流程留存样品，标注信息完整，配合共同封存，留存期限符合要求；4. 计划确认：每日18:00 前完成次日装货信息确认并签署确认单；5.停靠管理：车辆始发及返程停靠地限定在崇川区范围内，无擅自变更停靠位置行为。</w:t>
            </w:r>
          </w:p>
        </w:tc>
        <w:tc>
          <w:tcPr>
            <w:tcW w:w="1704" w:type="dxa"/>
            <w:vAlign w:val="center"/>
          </w:tcPr>
          <w:p w14:paraId="3231A4B6">
            <w:pPr>
              <w:pStyle w:val="6"/>
              <w:ind w:firstLine="0"/>
              <w:jc w:val="left"/>
              <w:rPr>
                <w:rFonts w:ascii="宋体" w:hAnsi="宋体" w:cs="宋体"/>
                <w:kern w:val="2"/>
                <w:sz w:val="22"/>
                <w:szCs w:val="22"/>
              </w:rPr>
            </w:pPr>
            <w:r>
              <w:rPr>
                <w:rFonts w:hint="eastAsia" w:ascii="宋体" w:hAnsi="宋体" w:cs="宋体"/>
                <w:kern w:val="2"/>
                <w:sz w:val="22"/>
                <w:szCs w:val="22"/>
              </w:rPr>
              <w:t>1.单次运输延误30分钟内扣3分，30分钟-1小时扣5分，1小时以上扣10分；</w:t>
            </w:r>
            <w:r>
              <w:rPr>
                <w:rFonts w:ascii="宋体" w:hAnsi="宋体" w:cs="宋体"/>
                <w:kern w:val="2"/>
                <w:sz w:val="22"/>
                <w:szCs w:val="22"/>
              </w:rPr>
              <w:t>2.因通行证未办妥导致延误的，每次扣8分；3.未留存样品、样品标注不全或未按要求封存的，每次扣5分；4. 未按时确认运输计划的，每日扣3分；5.擅自变更停靠位置的，每次扣8分。</w:t>
            </w:r>
          </w:p>
        </w:tc>
        <w:tc>
          <w:tcPr>
            <w:tcW w:w="732" w:type="dxa"/>
            <w:vAlign w:val="center"/>
          </w:tcPr>
          <w:p w14:paraId="51F62D0A">
            <w:pPr>
              <w:pStyle w:val="6"/>
              <w:rPr>
                <w:rFonts w:ascii="宋体" w:hAnsi="宋体" w:cs="宋体"/>
                <w:kern w:val="2"/>
                <w:sz w:val="22"/>
                <w:szCs w:val="22"/>
              </w:rPr>
            </w:pPr>
          </w:p>
        </w:tc>
      </w:tr>
      <w:tr w14:paraId="51C8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26" w:type="dxa"/>
            <w:vAlign w:val="center"/>
          </w:tcPr>
          <w:p w14:paraId="32B7714B">
            <w:pPr>
              <w:pStyle w:val="6"/>
              <w:ind w:firstLine="0"/>
              <w:jc w:val="center"/>
              <w:rPr>
                <w:rFonts w:ascii="宋体" w:hAnsi="宋体" w:cs="宋体"/>
                <w:kern w:val="2"/>
                <w:sz w:val="22"/>
                <w:szCs w:val="22"/>
              </w:rPr>
            </w:pPr>
            <w:r>
              <w:rPr>
                <w:rFonts w:hint="eastAsia" w:ascii="宋体" w:hAnsi="宋体" w:cs="宋体"/>
                <w:kern w:val="2"/>
                <w:sz w:val="22"/>
                <w:szCs w:val="22"/>
              </w:rPr>
              <w:t>3</w:t>
            </w:r>
          </w:p>
        </w:tc>
        <w:tc>
          <w:tcPr>
            <w:tcW w:w="1200" w:type="dxa"/>
            <w:vAlign w:val="center"/>
          </w:tcPr>
          <w:p w14:paraId="0B033BAC">
            <w:pPr>
              <w:pStyle w:val="6"/>
              <w:ind w:firstLine="0"/>
              <w:jc w:val="center"/>
              <w:rPr>
                <w:rFonts w:ascii="宋体" w:hAnsi="宋体" w:cs="宋体"/>
                <w:kern w:val="2"/>
                <w:sz w:val="22"/>
                <w:szCs w:val="22"/>
              </w:rPr>
            </w:pPr>
            <w:r>
              <w:rPr>
                <w:rFonts w:hint="eastAsia" w:ascii="宋体" w:hAnsi="宋体" w:cs="宋体"/>
                <w:kern w:val="2"/>
                <w:sz w:val="22"/>
                <w:szCs w:val="22"/>
              </w:rPr>
              <w:t>结算与资料配合（10分）</w:t>
            </w:r>
          </w:p>
          <w:p w14:paraId="0F5EB177">
            <w:pPr>
              <w:pStyle w:val="6"/>
              <w:ind w:firstLine="0"/>
              <w:jc w:val="center"/>
              <w:rPr>
                <w:rFonts w:ascii="宋体" w:hAnsi="宋体" w:cs="宋体"/>
                <w:kern w:val="2"/>
                <w:sz w:val="22"/>
                <w:szCs w:val="22"/>
              </w:rPr>
            </w:pPr>
          </w:p>
        </w:tc>
        <w:tc>
          <w:tcPr>
            <w:tcW w:w="3782" w:type="dxa"/>
            <w:vAlign w:val="center"/>
          </w:tcPr>
          <w:p w14:paraId="31F7859F">
            <w:pPr>
              <w:pStyle w:val="6"/>
              <w:ind w:firstLine="0"/>
              <w:jc w:val="left"/>
              <w:rPr>
                <w:rFonts w:ascii="宋体" w:hAnsi="宋体" w:cs="宋体"/>
                <w:kern w:val="2"/>
                <w:sz w:val="22"/>
                <w:szCs w:val="22"/>
              </w:rPr>
            </w:pPr>
            <w:r>
              <w:rPr>
                <w:rFonts w:hint="eastAsia" w:ascii="宋体" w:hAnsi="宋体" w:cs="宋体"/>
                <w:kern w:val="2"/>
                <w:sz w:val="22"/>
                <w:szCs w:val="22"/>
              </w:rPr>
              <w:t>1.结算资料提交：按约定时间提交月度运输佐证材料、《月度运输数据确认单》及结算发票，资料完整、准确；</w:t>
            </w:r>
            <w:r>
              <w:rPr>
                <w:rFonts w:ascii="宋体" w:hAnsi="宋体" w:cs="宋体"/>
                <w:kern w:val="2"/>
                <w:sz w:val="22"/>
                <w:szCs w:val="22"/>
              </w:rPr>
              <w:t>2. 配合核查：积极配合</w:t>
            </w:r>
            <w:r>
              <w:rPr>
                <w:rFonts w:hint="eastAsia" w:ascii="宋体" w:hAnsi="宋体" w:cs="宋体"/>
                <w:kern w:val="2"/>
                <w:sz w:val="22"/>
                <w:szCs w:val="22"/>
              </w:rPr>
              <w:t>甲乙双</w:t>
            </w:r>
            <w:r>
              <w:rPr>
                <w:rFonts w:ascii="宋体" w:hAnsi="宋体" w:cs="宋体"/>
                <w:kern w:val="2"/>
                <w:sz w:val="22"/>
                <w:szCs w:val="22"/>
              </w:rPr>
              <w:t>方对运输数据、资质材料、原始凭证的抽查复核，及时补充完善相关材料。</w:t>
            </w:r>
          </w:p>
        </w:tc>
        <w:tc>
          <w:tcPr>
            <w:tcW w:w="1704" w:type="dxa"/>
            <w:vAlign w:val="center"/>
          </w:tcPr>
          <w:p w14:paraId="65F2B5FD">
            <w:pPr>
              <w:pStyle w:val="6"/>
              <w:ind w:firstLine="0"/>
              <w:jc w:val="left"/>
              <w:rPr>
                <w:rFonts w:ascii="宋体" w:hAnsi="宋体" w:cs="宋体"/>
                <w:kern w:val="2"/>
                <w:sz w:val="22"/>
                <w:szCs w:val="22"/>
              </w:rPr>
            </w:pPr>
            <w:r>
              <w:rPr>
                <w:rFonts w:hint="eastAsia" w:ascii="宋体" w:hAnsi="宋体" w:cs="宋体"/>
                <w:kern w:val="2"/>
                <w:sz w:val="22"/>
                <w:szCs w:val="22"/>
              </w:rPr>
              <w:t>1.结算资料提交延迟的，每次扣3分；资料不完整、不准确的，每项扣2分；</w:t>
            </w:r>
            <w:r>
              <w:rPr>
                <w:rFonts w:ascii="宋体" w:hAnsi="宋体" w:cs="宋体"/>
                <w:kern w:val="2"/>
                <w:sz w:val="22"/>
                <w:szCs w:val="22"/>
              </w:rPr>
              <w:t>2.不配合核查或未及时补充材料的，每次扣5分。</w:t>
            </w:r>
          </w:p>
        </w:tc>
        <w:tc>
          <w:tcPr>
            <w:tcW w:w="732" w:type="dxa"/>
            <w:vAlign w:val="center"/>
          </w:tcPr>
          <w:p w14:paraId="4AE2C8A4">
            <w:pPr>
              <w:pStyle w:val="6"/>
              <w:rPr>
                <w:rFonts w:ascii="宋体" w:hAnsi="宋体" w:cs="宋体"/>
                <w:kern w:val="2"/>
                <w:sz w:val="22"/>
                <w:szCs w:val="22"/>
              </w:rPr>
            </w:pPr>
          </w:p>
        </w:tc>
      </w:tr>
      <w:tr w14:paraId="56C5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26" w:type="dxa"/>
            <w:vAlign w:val="center"/>
          </w:tcPr>
          <w:p w14:paraId="7B3A93A6">
            <w:pPr>
              <w:pStyle w:val="6"/>
              <w:ind w:firstLine="0"/>
              <w:jc w:val="center"/>
              <w:rPr>
                <w:rFonts w:ascii="宋体" w:hAnsi="宋体" w:cs="宋体"/>
                <w:kern w:val="2"/>
                <w:sz w:val="22"/>
                <w:szCs w:val="22"/>
              </w:rPr>
            </w:pPr>
            <w:r>
              <w:rPr>
                <w:rFonts w:hint="eastAsia" w:ascii="宋体" w:hAnsi="宋体" w:cs="宋体"/>
                <w:kern w:val="2"/>
                <w:sz w:val="22"/>
                <w:szCs w:val="22"/>
              </w:rPr>
              <w:t>4</w:t>
            </w:r>
          </w:p>
        </w:tc>
        <w:tc>
          <w:tcPr>
            <w:tcW w:w="1200" w:type="dxa"/>
            <w:vAlign w:val="center"/>
          </w:tcPr>
          <w:p w14:paraId="50008326">
            <w:pPr>
              <w:pStyle w:val="6"/>
              <w:ind w:firstLine="0"/>
              <w:jc w:val="center"/>
              <w:rPr>
                <w:rFonts w:ascii="宋体" w:hAnsi="宋体" w:cs="宋体"/>
                <w:kern w:val="2"/>
                <w:sz w:val="22"/>
                <w:szCs w:val="22"/>
              </w:rPr>
            </w:pPr>
            <w:r>
              <w:rPr>
                <w:rFonts w:hint="eastAsia" w:ascii="宋体" w:hAnsi="宋体" w:cs="宋体"/>
                <w:kern w:val="2"/>
                <w:sz w:val="22"/>
                <w:szCs w:val="22"/>
              </w:rPr>
              <w:t>安全与诚信服务（10分）</w:t>
            </w:r>
          </w:p>
        </w:tc>
        <w:tc>
          <w:tcPr>
            <w:tcW w:w="3782" w:type="dxa"/>
            <w:vAlign w:val="center"/>
          </w:tcPr>
          <w:p w14:paraId="7C81FB89">
            <w:pPr>
              <w:pStyle w:val="6"/>
              <w:ind w:firstLine="0"/>
              <w:jc w:val="left"/>
              <w:rPr>
                <w:rFonts w:ascii="宋体" w:hAnsi="宋体" w:cs="宋体"/>
                <w:kern w:val="2"/>
                <w:sz w:val="22"/>
                <w:szCs w:val="22"/>
              </w:rPr>
            </w:pPr>
            <w:r>
              <w:rPr>
                <w:rFonts w:hint="eastAsia" w:ascii="宋体" w:hAnsi="宋体" w:cs="宋体"/>
                <w:kern w:val="2"/>
                <w:sz w:val="22"/>
                <w:szCs w:val="22"/>
              </w:rPr>
              <w:t>1.运输安全：无燃料泄漏、交通事故等安全责任事件；</w:t>
            </w:r>
            <w:r>
              <w:rPr>
                <w:rFonts w:ascii="宋体" w:hAnsi="宋体" w:cs="宋体"/>
                <w:kern w:val="2"/>
                <w:sz w:val="22"/>
                <w:szCs w:val="22"/>
              </w:rPr>
              <w:t>2.诚信履约：无提供虚假材料、恶意串通、违规转包分包等行为，严格遵守廉洁条款；3.沟通配合：及时响应甲方调度指令，对</w:t>
            </w:r>
            <w:r>
              <w:rPr>
                <w:rFonts w:hint="eastAsia" w:ascii="宋体" w:hAnsi="宋体" w:cs="宋体"/>
                <w:kern w:val="2"/>
                <w:sz w:val="22"/>
                <w:szCs w:val="22"/>
              </w:rPr>
              <w:t>甲乙双方</w:t>
            </w:r>
            <w:r>
              <w:rPr>
                <w:rFonts w:ascii="宋体" w:hAnsi="宋体" w:cs="宋体"/>
                <w:kern w:val="2"/>
                <w:sz w:val="22"/>
                <w:szCs w:val="22"/>
              </w:rPr>
              <w:t>提出的整改要求按期完成。</w:t>
            </w:r>
          </w:p>
        </w:tc>
        <w:tc>
          <w:tcPr>
            <w:tcW w:w="1704" w:type="dxa"/>
            <w:vAlign w:val="center"/>
          </w:tcPr>
          <w:p w14:paraId="2C886380">
            <w:pPr>
              <w:pStyle w:val="6"/>
              <w:ind w:firstLine="0"/>
              <w:jc w:val="left"/>
              <w:rPr>
                <w:rFonts w:ascii="宋体" w:hAnsi="宋体" w:cs="宋体"/>
                <w:kern w:val="2"/>
                <w:sz w:val="22"/>
                <w:szCs w:val="22"/>
              </w:rPr>
            </w:pPr>
            <w:r>
              <w:rPr>
                <w:rFonts w:hint="eastAsia" w:ascii="宋体" w:hAnsi="宋体" w:cs="宋体"/>
                <w:kern w:val="2"/>
                <w:sz w:val="22"/>
                <w:szCs w:val="22"/>
              </w:rPr>
              <w:t>1.发生一般安全责任事件扣5分，重大安全责任事件扣10分；</w:t>
            </w:r>
            <w:r>
              <w:rPr>
                <w:rFonts w:ascii="宋体" w:hAnsi="宋体" w:cs="宋体"/>
                <w:kern w:val="2"/>
                <w:sz w:val="22"/>
                <w:szCs w:val="22"/>
              </w:rPr>
              <w:t>2.存在诚信履约违规行为的，每次扣10分；3.未响应调度指令或未按期完成整改的，每次扣3分。</w:t>
            </w:r>
          </w:p>
        </w:tc>
        <w:tc>
          <w:tcPr>
            <w:tcW w:w="732" w:type="dxa"/>
            <w:vAlign w:val="center"/>
          </w:tcPr>
          <w:p w14:paraId="3964BDBC">
            <w:pPr>
              <w:pStyle w:val="6"/>
              <w:rPr>
                <w:rFonts w:ascii="宋体" w:hAnsi="宋体" w:cs="宋体"/>
                <w:kern w:val="2"/>
                <w:sz w:val="22"/>
                <w:szCs w:val="22"/>
              </w:rPr>
            </w:pPr>
          </w:p>
        </w:tc>
      </w:tr>
    </w:tbl>
    <w:p w14:paraId="682CE354">
      <w:pPr>
        <w:spacing w:line="360" w:lineRule="auto"/>
        <w:ind w:firstLine="480" w:firstLineChars="200"/>
        <w:rPr>
          <w:rFonts w:ascii="宋体" w:hAnsi="宋体" w:cs="宋体"/>
          <w:sz w:val="24"/>
        </w:rPr>
      </w:pPr>
      <w:r>
        <w:rPr>
          <w:rFonts w:hint="eastAsia" w:ascii="宋体" w:hAnsi="宋体" w:cs="宋体"/>
          <w:sz w:val="24"/>
        </w:rPr>
        <w:t>甲乙双方按年度根据上述考核细则对丙方进行考核，考核得分90分（不含本数）以下为不合格。丙方应根据甲乙双方要求限期整改，整改仍不合格的，甲乙双方有权解除本协议。</w:t>
      </w:r>
    </w:p>
    <w:p w14:paraId="46D76D90">
      <w:pPr>
        <w:pStyle w:val="34"/>
        <w:ind w:firstLine="560"/>
      </w:pPr>
    </w:p>
    <w:bookmarkEnd w:id="0"/>
    <w:bookmarkEnd w:id="1"/>
    <w:bookmarkEnd w:id="2"/>
    <w:p w14:paraId="26FF81AB">
      <w:pPr>
        <w:rPr>
          <w:rFonts w:ascii="宋体" w:hAnsi="宋体" w:cs="宋体"/>
          <w:b/>
          <w:sz w:val="36"/>
          <w:szCs w:val="36"/>
        </w:rPr>
      </w:pPr>
      <w:r>
        <w:rPr>
          <w:rFonts w:hint="eastAsia" w:ascii="宋体" w:hAnsi="宋体" w:cs="宋体"/>
          <w:b/>
          <w:sz w:val="36"/>
          <w:szCs w:val="36"/>
        </w:rPr>
        <w:br w:type="page"/>
      </w:r>
    </w:p>
    <w:p w14:paraId="1FE4E966">
      <w:pPr>
        <w:autoSpaceDE w:val="0"/>
        <w:autoSpaceDN w:val="0"/>
        <w:adjustRightInd w:val="0"/>
        <w:spacing w:line="460" w:lineRule="exact"/>
        <w:jc w:val="center"/>
        <w:rPr>
          <w:rFonts w:ascii="宋体" w:hAnsi="宋体" w:cs="宋体"/>
          <w:bCs/>
          <w:sz w:val="36"/>
          <w:szCs w:val="36"/>
        </w:rPr>
      </w:pPr>
      <w:r>
        <w:rPr>
          <w:rFonts w:hint="eastAsia" w:ascii="宋体" w:hAnsi="宋体" w:cs="宋体"/>
          <w:b/>
          <w:sz w:val="36"/>
          <w:szCs w:val="36"/>
        </w:rPr>
        <w:t>第四部分  开标和评标</w:t>
      </w:r>
    </w:p>
    <w:p w14:paraId="305EBD41">
      <w:pPr>
        <w:pStyle w:val="84"/>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37E3A75D">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72ED82EE">
      <w:pPr>
        <w:pStyle w:val="84"/>
        <w:snapToGrid w:val="0"/>
        <w:spacing w:before="0" w:after="0" w:line="460" w:lineRule="exact"/>
        <w:ind w:left="0" w:right="0" w:firstLine="482" w:firstLineChars="200"/>
        <w:jc w:val="left"/>
        <w:rPr>
          <w:rFonts w:ascii="宋体" w:hAnsi="宋体" w:cs="宋体"/>
        </w:rPr>
      </w:pPr>
      <w:r>
        <w:rPr>
          <w:rFonts w:hint="eastAsia" w:ascii="宋体" w:hAnsi="宋体" w:cs="宋体"/>
          <w:b/>
          <w:kern w:val="2"/>
        </w:rPr>
        <w:t>二、评标流程和评标标准</w:t>
      </w:r>
    </w:p>
    <w:p w14:paraId="36BA94E5">
      <w:pPr>
        <w:widowControl/>
        <w:spacing w:line="460" w:lineRule="exact"/>
        <w:ind w:firstLine="472" w:firstLineChars="196"/>
        <w:jc w:val="left"/>
        <w:rPr>
          <w:rFonts w:ascii="宋体" w:hAnsi="宋体" w:cs="宋体"/>
          <w:kern w:val="0"/>
          <w:sz w:val="24"/>
        </w:rPr>
      </w:pPr>
      <w:r>
        <w:rPr>
          <w:rFonts w:hint="eastAsia" w:ascii="宋体" w:hAnsi="宋体" w:cs="宋体"/>
          <w:b/>
          <w:bCs/>
          <w:kern w:val="0"/>
          <w:sz w:val="24"/>
        </w:rPr>
        <w:t>本项目采用价格单因素评标办法，且采用资格后审，具体资格审查及评标细则如下：</w:t>
      </w:r>
    </w:p>
    <w:p w14:paraId="72B6A2E8">
      <w:pPr>
        <w:spacing w:line="460" w:lineRule="exact"/>
        <w:ind w:firstLine="482"/>
        <w:rPr>
          <w:rFonts w:ascii="宋体" w:hAnsi="宋体" w:cs="宋体"/>
          <w:kern w:val="0"/>
          <w:sz w:val="24"/>
        </w:rPr>
      </w:pPr>
      <w:r>
        <w:rPr>
          <w:rFonts w:hint="eastAsia" w:ascii="宋体" w:hAnsi="宋体" w:cs="宋体"/>
          <w:kern w:val="0"/>
          <w:sz w:val="24"/>
        </w:rPr>
        <w:t>（一）评标程序</w:t>
      </w:r>
    </w:p>
    <w:p w14:paraId="2853D9D6">
      <w:pPr>
        <w:widowControl/>
        <w:adjustRightInd w:val="0"/>
        <w:snapToGrid w:val="0"/>
        <w:spacing w:line="460" w:lineRule="exact"/>
        <w:jc w:val="left"/>
        <w:rPr>
          <w:rFonts w:ascii="宋体" w:hAnsi="宋体" w:cs="宋体"/>
          <w:kern w:val="0"/>
          <w:sz w:val="24"/>
        </w:rPr>
      </w:pPr>
      <w:r>
        <w:rPr>
          <w:rFonts w:hint="eastAsia" w:ascii="宋体" w:hAnsi="宋体" w:cs="宋体"/>
          <w:kern w:val="0"/>
          <w:sz w:val="24"/>
        </w:rPr>
        <w:t xml:space="preserve">    资格符合性评审→商务标详细评审→确定中标候选人</w:t>
      </w:r>
    </w:p>
    <w:p w14:paraId="6469B153">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（二）评审标准</w:t>
      </w:r>
    </w:p>
    <w:p w14:paraId="04DF2196">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评标委员会将按评审标准、资格评审标准的合格条件，对各投标人递交的资格审查书面资料进行评审，并公布资格审查合格者名单。</w:t>
      </w:r>
    </w:p>
    <w:p w14:paraId="0AF26626">
      <w:pPr>
        <w:widowControl/>
        <w:spacing w:line="460" w:lineRule="exact"/>
        <w:ind w:firstLine="482" w:firstLineChars="200"/>
        <w:jc w:val="left"/>
        <w:rPr>
          <w:rFonts w:ascii="宋体" w:hAnsi="宋体" w:cs="宋体"/>
          <w:kern w:val="0"/>
          <w:sz w:val="24"/>
        </w:rPr>
      </w:pPr>
      <w:r>
        <w:rPr>
          <w:rFonts w:hint="eastAsia" w:ascii="宋体" w:hAnsi="宋体" w:cs="宋体"/>
          <w:b/>
          <w:bCs/>
          <w:kern w:val="0"/>
          <w:sz w:val="24"/>
        </w:rPr>
        <w:t>1、资格符合性评审</w:t>
      </w:r>
    </w:p>
    <w:p w14:paraId="64C43352">
      <w:pPr>
        <w:widowControl/>
        <w:spacing w:line="360" w:lineRule="auto"/>
        <w:ind w:firstLine="482" w:firstLineChars="200"/>
        <w:jc w:val="center"/>
        <w:rPr>
          <w:rFonts w:ascii="宋体" w:hAnsi="宋体" w:cs="宋体"/>
          <w:kern w:val="0"/>
          <w:sz w:val="24"/>
        </w:rPr>
      </w:pPr>
      <w:r>
        <w:rPr>
          <w:rFonts w:hint="eastAsia" w:ascii="宋体" w:hAnsi="宋体" w:cs="宋体"/>
          <w:b/>
          <w:sz w:val="24"/>
          <w:u w:val="single"/>
        </w:rPr>
        <w:t>资格审查标准汇总表</w:t>
      </w:r>
    </w:p>
    <w:tbl>
      <w:tblPr>
        <w:tblStyle w:val="35"/>
        <w:tblW w:w="963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1855"/>
        <w:gridCol w:w="3541"/>
        <w:gridCol w:w="3678"/>
      </w:tblGrid>
      <w:tr w14:paraId="7943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65" w:type="dxa"/>
            <w:vAlign w:val="center"/>
          </w:tcPr>
          <w:p w14:paraId="57120735">
            <w:pPr>
              <w:widowControl/>
              <w:jc w:val="center"/>
              <w:rPr>
                <w:rFonts w:ascii="宋体" w:hAnsi="宋体" w:cs="宋体"/>
                <w:b/>
                <w:kern w:val="0"/>
                <w:sz w:val="24"/>
              </w:rPr>
            </w:pPr>
            <w:bookmarkStart w:id="107" w:name="OLE_LINK2"/>
            <w:r>
              <w:rPr>
                <w:rFonts w:hint="eastAsia" w:ascii="宋体" w:hAnsi="宋体" w:cs="宋体"/>
                <w:b/>
                <w:kern w:val="0"/>
                <w:sz w:val="24"/>
              </w:rPr>
              <w:t>序号</w:t>
            </w:r>
          </w:p>
        </w:tc>
        <w:tc>
          <w:tcPr>
            <w:tcW w:w="1855" w:type="dxa"/>
            <w:vAlign w:val="center"/>
          </w:tcPr>
          <w:p w14:paraId="22B18046">
            <w:pPr>
              <w:widowControl/>
              <w:jc w:val="center"/>
              <w:rPr>
                <w:rFonts w:ascii="宋体" w:hAnsi="宋体" w:cs="宋体"/>
                <w:b/>
                <w:kern w:val="0"/>
                <w:sz w:val="24"/>
              </w:rPr>
            </w:pPr>
            <w:r>
              <w:rPr>
                <w:rFonts w:hint="eastAsia" w:ascii="宋体" w:hAnsi="宋体" w:cs="宋体"/>
                <w:b/>
                <w:kern w:val="0"/>
                <w:sz w:val="24"/>
              </w:rPr>
              <w:t>项目内容</w:t>
            </w:r>
          </w:p>
        </w:tc>
        <w:tc>
          <w:tcPr>
            <w:tcW w:w="3541" w:type="dxa"/>
            <w:vAlign w:val="center"/>
          </w:tcPr>
          <w:p w14:paraId="7BC29BFF">
            <w:pPr>
              <w:widowControl/>
              <w:jc w:val="center"/>
              <w:rPr>
                <w:rFonts w:ascii="宋体" w:hAnsi="宋体" w:cs="宋体"/>
                <w:b/>
                <w:kern w:val="0"/>
                <w:sz w:val="24"/>
              </w:rPr>
            </w:pPr>
            <w:r>
              <w:rPr>
                <w:rFonts w:hint="eastAsia" w:ascii="宋体" w:hAnsi="宋体" w:cs="宋体"/>
                <w:b/>
                <w:kern w:val="0"/>
                <w:sz w:val="24"/>
              </w:rPr>
              <w:t>合格条件</w:t>
            </w:r>
          </w:p>
        </w:tc>
        <w:tc>
          <w:tcPr>
            <w:tcW w:w="3678" w:type="dxa"/>
            <w:vAlign w:val="center"/>
          </w:tcPr>
          <w:p w14:paraId="1A45903C">
            <w:pPr>
              <w:widowControl/>
              <w:jc w:val="center"/>
              <w:rPr>
                <w:rFonts w:ascii="宋体" w:hAnsi="宋体" w:cs="宋体"/>
                <w:b/>
                <w:kern w:val="0"/>
                <w:sz w:val="24"/>
              </w:rPr>
            </w:pPr>
            <w:r>
              <w:rPr>
                <w:rFonts w:hint="eastAsia" w:ascii="宋体" w:hAnsi="宋体" w:cs="宋体"/>
                <w:b/>
                <w:kern w:val="0"/>
                <w:sz w:val="24"/>
              </w:rPr>
              <w:t>投标人需提供的材料</w:t>
            </w:r>
          </w:p>
        </w:tc>
      </w:tr>
      <w:tr w14:paraId="2789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CellSpacing w:w="0" w:type="dxa"/>
          <w:jc w:val="center"/>
        </w:trPr>
        <w:tc>
          <w:tcPr>
            <w:tcW w:w="565" w:type="dxa"/>
            <w:vAlign w:val="center"/>
          </w:tcPr>
          <w:p w14:paraId="0A70B96D">
            <w:pPr>
              <w:widowControl/>
              <w:jc w:val="center"/>
              <w:rPr>
                <w:rFonts w:ascii="宋体" w:hAnsi="宋体" w:cs="宋体"/>
                <w:kern w:val="0"/>
                <w:sz w:val="24"/>
              </w:rPr>
            </w:pPr>
            <w:r>
              <w:rPr>
                <w:rFonts w:hint="eastAsia" w:ascii="宋体" w:hAnsi="宋体" w:cs="宋体"/>
                <w:kern w:val="0"/>
                <w:sz w:val="24"/>
              </w:rPr>
              <w:t>1</w:t>
            </w:r>
          </w:p>
        </w:tc>
        <w:tc>
          <w:tcPr>
            <w:tcW w:w="1855" w:type="dxa"/>
            <w:vAlign w:val="center"/>
          </w:tcPr>
          <w:p w14:paraId="5B99E8C0">
            <w:pPr>
              <w:widowControl/>
              <w:jc w:val="left"/>
              <w:rPr>
                <w:rFonts w:ascii="宋体" w:hAnsi="宋体" w:cs="宋体"/>
                <w:sz w:val="24"/>
              </w:rPr>
            </w:pPr>
            <w:r>
              <w:rPr>
                <w:rFonts w:hint="eastAsia" w:ascii="宋体" w:hAnsi="宋体" w:cs="宋体"/>
                <w:sz w:val="24"/>
              </w:rPr>
              <w:t>符合投标人资格要求的承诺函</w:t>
            </w:r>
          </w:p>
        </w:tc>
        <w:tc>
          <w:tcPr>
            <w:tcW w:w="3541" w:type="dxa"/>
            <w:vAlign w:val="center"/>
          </w:tcPr>
          <w:p w14:paraId="1C84EA7C">
            <w:pPr>
              <w:widowControl/>
              <w:jc w:val="left"/>
              <w:rPr>
                <w:rFonts w:ascii="宋体" w:hAnsi="宋体" w:cs="宋体"/>
                <w:sz w:val="24"/>
              </w:rPr>
            </w:pPr>
            <w:r>
              <w:rPr>
                <w:rFonts w:hint="eastAsia" w:ascii="宋体" w:hAnsi="宋体" w:cs="宋体"/>
                <w:sz w:val="24"/>
              </w:rPr>
              <w:t>符合投标人资格要求的承诺函</w:t>
            </w:r>
          </w:p>
        </w:tc>
        <w:tc>
          <w:tcPr>
            <w:tcW w:w="3678" w:type="dxa"/>
            <w:vAlign w:val="center"/>
          </w:tcPr>
          <w:p w14:paraId="0CCFD552">
            <w:pPr>
              <w:widowControl/>
              <w:jc w:val="left"/>
              <w:rPr>
                <w:rFonts w:ascii="宋体" w:hAnsi="宋体" w:cs="宋体"/>
                <w:sz w:val="24"/>
              </w:rPr>
            </w:pPr>
            <w:r>
              <w:rPr>
                <w:rFonts w:hint="eastAsia" w:ascii="宋体" w:hAnsi="宋体" w:cs="宋体"/>
                <w:sz w:val="24"/>
              </w:rPr>
              <w:t>格式见附件1</w:t>
            </w:r>
          </w:p>
        </w:tc>
      </w:tr>
      <w:bookmarkEnd w:id="107"/>
      <w:tr w14:paraId="2756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CellSpacing w:w="0" w:type="dxa"/>
          <w:jc w:val="center"/>
        </w:trPr>
        <w:tc>
          <w:tcPr>
            <w:tcW w:w="565" w:type="dxa"/>
            <w:vAlign w:val="center"/>
          </w:tcPr>
          <w:p w14:paraId="5C5CA0DB">
            <w:pPr>
              <w:widowControl/>
              <w:jc w:val="center"/>
              <w:rPr>
                <w:rFonts w:ascii="宋体" w:hAnsi="宋体" w:cs="宋体"/>
                <w:kern w:val="0"/>
                <w:sz w:val="24"/>
              </w:rPr>
            </w:pPr>
            <w:r>
              <w:rPr>
                <w:rFonts w:hint="eastAsia" w:ascii="宋体" w:hAnsi="宋体" w:cs="宋体"/>
                <w:kern w:val="0"/>
                <w:sz w:val="24"/>
              </w:rPr>
              <w:t>2</w:t>
            </w:r>
          </w:p>
        </w:tc>
        <w:tc>
          <w:tcPr>
            <w:tcW w:w="1855" w:type="dxa"/>
            <w:vAlign w:val="center"/>
          </w:tcPr>
          <w:p w14:paraId="760C5548">
            <w:pPr>
              <w:widowControl/>
              <w:jc w:val="left"/>
              <w:rPr>
                <w:rFonts w:ascii="宋体" w:hAnsi="宋体" w:cs="宋体"/>
                <w:kern w:val="0"/>
                <w:sz w:val="24"/>
              </w:rPr>
            </w:pPr>
            <w:r>
              <w:rPr>
                <w:rFonts w:hint="eastAsia" w:ascii="宋体" w:hAnsi="宋体" w:cs="宋体"/>
                <w:sz w:val="24"/>
              </w:rPr>
              <w:t>法定代表人参加投标的</w:t>
            </w:r>
          </w:p>
        </w:tc>
        <w:tc>
          <w:tcPr>
            <w:tcW w:w="3541" w:type="dxa"/>
            <w:vAlign w:val="center"/>
          </w:tcPr>
          <w:p w14:paraId="15962FB4">
            <w:pPr>
              <w:widowControl/>
              <w:jc w:val="left"/>
              <w:rPr>
                <w:rFonts w:ascii="宋体" w:hAnsi="宋体" w:cs="宋体"/>
                <w:kern w:val="0"/>
                <w:sz w:val="24"/>
              </w:rPr>
            </w:pPr>
            <w:r>
              <w:rPr>
                <w:rFonts w:hint="eastAsia" w:ascii="宋体" w:hAnsi="宋体" w:cs="宋体"/>
                <w:kern w:val="0"/>
                <w:sz w:val="24"/>
              </w:rPr>
              <w:t>法定代表人身份证明书</w:t>
            </w:r>
          </w:p>
        </w:tc>
        <w:tc>
          <w:tcPr>
            <w:tcW w:w="3678" w:type="dxa"/>
            <w:vAlign w:val="center"/>
          </w:tcPr>
          <w:p w14:paraId="0FF55FBE">
            <w:pPr>
              <w:widowControl/>
              <w:jc w:val="left"/>
              <w:rPr>
                <w:rFonts w:ascii="宋体" w:hAnsi="宋体" w:cs="宋体"/>
                <w:kern w:val="0"/>
                <w:sz w:val="24"/>
              </w:rPr>
            </w:pPr>
            <w:r>
              <w:rPr>
                <w:rFonts w:hint="eastAsia" w:ascii="宋体" w:hAnsi="宋体" w:cs="宋体"/>
                <w:kern w:val="0"/>
                <w:sz w:val="24"/>
              </w:rPr>
              <w:t>格式见附件2</w:t>
            </w:r>
          </w:p>
        </w:tc>
      </w:tr>
      <w:tr w14:paraId="1842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blCellSpacing w:w="0" w:type="dxa"/>
          <w:jc w:val="center"/>
        </w:trPr>
        <w:tc>
          <w:tcPr>
            <w:tcW w:w="565" w:type="dxa"/>
            <w:vAlign w:val="center"/>
          </w:tcPr>
          <w:p w14:paraId="3C1844BA">
            <w:pPr>
              <w:widowControl/>
              <w:jc w:val="center"/>
              <w:rPr>
                <w:rFonts w:ascii="宋体" w:hAnsi="宋体" w:cs="宋体"/>
                <w:kern w:val="0"/>
                <w:sz w:val="24"/>
              </w:rPr>
            </w:pPr>
            <w:r>
              <w:rPr>
                <w:rFonts w:hint="eastAsia" w:ascii="宋体" w:hAnsi="宋体" w:cs="宋体"/>
                <w:kern w:val="0"/>
                <w:sz w:val="24"/>
              </w:rPr>
              <w:t>3</w:t>
            </w:r>
          </w:p>
        </w:tc>
        <w:tc>
          <w:tcPr>
            <w:tcW w:w="1855" w:type="dxa"/>
            <w:vAlign w:val="center"/>
          </w:tcPr>
          <w:p w14:paraId="4EA8AF46">
            <w:pPr>
              <w:widowControl/>
              <w:jc w:val="left"/>
              <w:rPr>
                <w:rFonts w:ascii="宋体" w:hAnsi="宋体" w:cs="宋体"/>
                <w:kern w:val="0"/>
                <w:sz w:val="24"/>
              </w:rPr>
            </w:pPr>
            <w:r>
              <w:rPr>
                <w:rFonts w:hint="eastAsia" w:ascii="宋体" w:hAnsi="宋体" w:cs="宋体"/>
                <w:sz w:val="24"/>
              </w:rPr>
              <w:t>非法定代表人参加投标的</w:t>
            </w:r>
          </w:p>
        </w:tc>
        <w:tc>
          <w:tcPr>
            <w:tcW w:w="3541" w:type="dxa"/>
            <w:vAlign w:val="center"/>
          </w:tcPr>
          <w:p w14:paraId="29A4AACA">
            <w:pPr>
              <w:widowControl/>
              <w:jc w:val="left"/>
              <w:rPr>
                <w:rFonts w:ascii="宋体" w:hAnsi="宋体" w:cs="宋体"/>
                <w:kern w:val="0"/>
                <w:sz w:val="24"/>
                <w:u w:val="single"/>
              </w:rPr>
            </w:pPr>
            <w:r>
              <w:rPr>
                <w:rFonts w:hint="eastAsia" w:ascii="宋体" w:hAnsi="宋体" w:cs="宋体"/>
                <w:kern w:val="0"/>
                <w:sz w:val="24"/>
              </w:rPr>
              <w:t>法定代表人授权委托书原件，投标代表本人身份证复印件</w:t>
            </w:r>
          </w:p>
        </w:tc>
        <w:tc>
          <w:tcPr>
            <w:tcW w:w="3678" w:type="dxa"/>
            <w:vAlign w:val="center"/>
          </w:tcPr>
          <w:p w14:paraId="13EA1AAD">
            <w:pPr>
              <w:widowControl/>
              <w:jc w:val="left"/>
              <w:rPr>
                <w:rFonts w:ascii="宋体" w:hAnsi="宋体" w:cs="宋体"/>
                <w:kern w:val="0"/>
                <w:sz w:val="24"/>
              </w:rPr>
            </w:pPr>
            <w:r>
              <w:rPr>
                <w:rFonts w:hint="eastAsia" w:ascii="宋体" w:hAnsi="宋体" w:cs="宋体"/>
                <w:kern w:val="0"/>
                <w:sz w:val="24"/>
              </w:rPr>
              <w:t>格式见附件3</w:t>
            </w:r>
          </w:p>
        </w:tc>
      </w:tr>
      <w:tr w14:paraId="4895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blCellSpacing w:w="0" w:type="dxa"/>
          <w:jc w:val="center"/>
        </w:trPr>
        <w:tc>
          <w:tcPr>
            <w:tcW w:w="565" w:type="dxa"/>
            <w:vAlign w:val="center"/>
          </w:tcPr>
          <w:p w14:paraId="7ADD173C">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1855" w:type="dxa"/>
            <w:vAlign w:val="center"/>
          </w:tcPr>
          <w:p w14:paraId="56256D42">
            <w:pPr>
              <w:widowControl/>
              <w:jc w:val="left"/>
              <w:rPr>
                <w:rFonts w:ascii="宋体" w:hAnsi="宋体" w:cs="宋体"/>
                <w:kern w:val="0"/>
                <w:sz w:val="24"/>
              </w:rPr>
            </w:pPr>
            <w:r>
              <w:rPr>
                <w:rFonts w:hint="eastAsia" w:ascii="宋体" w:hAnsi="宋体" w:cs="宋体"/>
                <w:kern w:val="0"/>
                <w:sz w:val="24"/>
              </w:rPr>
              <w:t>具有独立订立合同的能力</w:t>
            </w:r>
          </w:p>
        </w:tc>
        <w:tc>
          <w:tcPr>
            <w:tcW w:w="3541" w:type="dxa"/>
            <w:vAlign w:val="center"/>
          </w:tcPr>
          <w:p w14:paraId="116356AE">
            <w:pPr>
              <w:widowControl/>
              <w:jc w:val="left"/>
              <w:rPr>
                <w:rFonts w:ascii="宋体" w:hAnsi="宋体" w:cs="宋体"/>
                <w:kern w:val="0"/>
                <w:sz w:val="24"/>
              </w:rPr>
            </w:pPr>
            <w:r>
              <w:rPr>
                <w:rFonts w:hint="eastAsia" w:ascii="宋体" w:hAnsi="宋体" w:cs="宋体"/>
                <w:kern w:val="0"/>
                <w:sz w:val="24"/>
              </w:rPr>
              <w:t>有效的工商行政管理部门颁发的营业执照。</w:t>
            </w:r>
          </w:p>
        </w:tc>
        <w:tc>
          <w:tcPr>
            <w:tcW w:w="3678" w:type="dxa"/>
            <w:vAlign w:val="center"/>
          </w:tcPr>
          <w:p w14:paraId="512841FF">
            <w:pPr>
              <w:widowControl/>
              <w:jc w:val="left"/>
              <w:rPr>
                <w:rFonts w:ascii="宋体" w:hAnsi="宋体" w:cs="宋体"/>
                <w:kern w:val="0"/>
                <w:sz w:val="24"/>
              </w:rPr>
            </w:pPr>
            <w:r>
              <w:rPr>
                <w:rFonts w:hint="eastAsia" w:ascii="宋体" w:hAnsi="宋体" w:cs="宋体"/>
                <w:kern w:val="0"/>
                <w:sz w:val="24"/>
              </w:rPr>
              <w:t>有效的营业执照复印件</w:t>
            </w:r>
            <w:r>
              <w:rPr>
                <w:rFonts w:hint="eastAsia" w:ascii="宋体" w:hAnsi="宋体" w:cs="宋体"/>
                <w:sz w:val="24"/>
              </w:rPr>
              <w:t>加盖公章</w:t>
            </w:r>
          </w:p>
        </w:tc>
      </w:tr>
      <w:tr w14:paraId="2C2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blCellSpacing w:w="0" w:type="dxa"/>
          <w:jc w:val="center"/>
        </w:trPr>
        <w:tc>
          <w:tcPr>
            <w:tcW w:w="565" w:type="dxa"/>
            <w:vAlign w:val="center"/>
          </w:tcPr>
          <w:p w14:paraId="17D46235">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5</w:t>
            </w:r>
          </w:p>
        </w:tc>
        <w:tc>
          <w:tcPr>
            <w:tcW w:w="1855" w:type="dxa"/>
            <w:vAlign w:val="center"/>
          </w:tcPr>
          <w:p w14:paraId="5F452198">
            <w:pPr>
              <w:widowControl/>
              <w:jc w:val="left"/>
              <w:rPr>
                <w:rFonts w:ascii="宋体" w:hAnsi="宋体" w:cs="宋体"/>
                <w:kern w:val="0"/>
                <w:sz w:val="24"/>
              </w:rPr>
            </w:pPr>
            <w:r>
              <w:rPr>
                <w:rFonts w:hint="eastAsia" w:ascii="宋体" w:hAnsi="宋体" w:cs="宋体"/>
                <w:sz w:val="24"/>
              </w:rPr>
              <w:t>投标人须具有有效期内的《道路运输经营许可证》</w:t>
            </w:r>
          </w:p>
        </w:tc>
        <w:tc>
          <w:tcPr>
            <w:tcW w:w="3541" w:type="dxa"/>
            <w:vAlign w:val="center"/>
          </w:tcPr>
          <w:p w14:paraId="5FF683ED">
            <w:pPr>
              <w:rPr>
                <w:rFonts w:hint="eastAsia" w:ascii="宋体" w:hAnsi="宋体" w:eastAsia="宋体" w:cs="宋体"/>
                <w:sz w:val="24"/>
                <w:lang w:eastAsia="zh-CN"/>
              </w:rPr>
            </w:pPr>
            <w:r>
              <w:rPr>
                <w:rFonts w:hint="eastAsia" w:ascii="宋体" w:hAnsi="宋体" w:cs="宋体"/>
                <w:sz w:val="24"/>
              </w:rPr>
              <w:t>投标人须具有有效期内的《道路运输经营许可证》，且证书经营范围应包含危险货物运输</w:t>
            </w:r>
            <w:r>
              <w:rPr>
                <w:rFonts w:hint="eastAsia" w:ascii="宋体" w:hAnsi="宋体" w:cs="宋体"/>
                <w:sz w:val="24"/>
                <w:lang w:eastAsia="zh-CN"/>
              </w:rPr>
              <w:t>；</w:t>
            </w:r>
          </w:p>
        </w:tc>
        <w:tc>
          <w:tcPr>
            <w:tcW w:w="3678" w:type="dxa"/>
            <w:vAlign w:val="center"/>
          </w:tcPr>
          <w:p w14:paraId="0CF1BC2C">
            <w:pPr>
              <w:widowControl/>
              <w:jc w:val="left"/>
              <w:rPr>
                <w:rFonts w:ascii="宋体" w:hAnsi="宋体" w:cs="宋体"/>
                <w:kern w:val="0"/>
                <w:sz w:val="24"/>
              </w:rPr>
            </w:pPr>
            <w:r>
              <w:rPr>
                <w:rFonts w:hint="eastAsia" w:ascii="宋体" w:hAnsi="宋体" w:cs="宋体"/>
                <w:sz w:val="24"/>
              </w:rPr>
              <w:t>投标人须具有有效期内的《道路运输经营许可证》，且证书经营范围应包含危险货物运输</w:t>
            </w:r>
            <w:r>
              <w:rPr>
                <w:rFonts w:hint="eastAsia" w:ascii="宋体" w:hAnsi="宋体" w:cs="宋体"/>
                <w:sz w:val="24"/>
                <w:lang w:eastAsia="zh-CN"/>
              </w:rPr>
              <w:t>；</w:t>
            </w:r>
          </w:p>
        </w:tc>
      </w:tr>
      <w:tr w14:paraId="4206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jc w:val="center"/>
        </w:trPr>
        <w:tc>
          <w:tcPr>
            <w:tcW w:w="565" w:type="dxa"/>
            <w:vAlign w:val="center"/>
          </w:tcPr>
          <w:p w14:paraId="10A065B4">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6</w:t>
            </w:r>
          </w:p>
        </w:tc>
        <w:tc>
          <w:tcPr>
            <w:tcW w:w="1855" w:type="dxa"/>
            <w:tcBorders>
              <w:right w:val="single" w:color="auto" w:sz="4" w:space="0"/>
            </w:tcBorders>
            <w:vAlign w:val="center"/>
          </w:tcPr>
          <w:p w14:paraId="32663F99">
            <w:pPr>
              <w:rPr>
                <w:rFonts w:ascii="宋体" w:hAnsi="宋体" w:cs="宋体"/>
                <w:kern w:val="0"/>
                <w:sz w:val="24"/>
              </w:rPr>
            </w:pPr>
            <w:r>
              <w:rPr>
                <w:rFonts w:hint="eastAsia" w:ascii="宋体" w:hAnsi="宋体" w:cs="宋体"/>
                <w:sz w:val="24"/>
              </w:rPr>
              <w:t>项目拟投入的驾驶人员及押运人员须持有有效的《危险货物运输从业资格证》</w:t>
            </w:r>
          </w:p>
        </w:tc>
        <w:tc>
          <w:tcPr>
            <w:tcW w:w="3541" w:type="dxa"/>
            <w:tcBorders>
              <w:left w:val="single" w:color="auto" w:sz="4" w:space="0"/>
              <w:right w:val="single" w:color="auto" w:sz="4" w:space="0"/>
            </w:tcBorders>
            <w:vAlign w:val="center"/>
          </w:tcPr>
          <w:p w14:paraId="1783E51A">
            <w:pPr>
              <w:rPr>
                <w:rFonts w:ascii="宋体" w:hAnsi="宋体" w:cs="宋体"/>
                <w:kern w:val="0"/>
                <w:sz w:val="24"/>
              </w:rPr>
            </w:pPr>
            <w:r>
              <w:rPr>
                <w:rFonts w:hint="eastAsia" w:ascii="宋体" w:hAnsi="宋体" w:cs="宋体"/>
                <w:sz w:val="24"/>
              </w:rPr>
              <w:t>项目拟投入的驾驶人员及押运人员须持有有效的《危险货物运输从业资格证》，资格证类别应与成品油运输要求一致，且在服务期间持续有效。</w:t>
            </w:r>
          </w:p>
        </w:tc>
        <w:tc>
          <w:tcPr>
            <w:tcW w:w="3678" w:type="dxa"/>
            <w:tcBorders>
              <w:left w:val="single" w:color="auto" w:sz="4" w:space="0"/>
            </w:tcBorders>
            <w:vAlign w:val="center"/>
          </w:tcPr>
          <w:p w14:paraId="5325C09A">
            <w:pPr>
              <w:rPr>
                <w:rFonts w:ascii="宋体" w:hAnsi="宋体" w:cs="宋体"/>
                <w:kern w:val="0"/>
                <w:sz w:val="24"/>
              </w:rPr>
            </w:pPr>
            <w:r>
              <w:rPr>
                <w:rFonts w:hint="eastAsia" w:ascii="宋体" w:hAnsi="宋体" w:cs="宋体"/>
                <w:sz w:val="24"/>
              </w:rPr>
              <w:t>项目拟投入的驾驶人员及押运人员须持有有效的《危险货物运输从业资格证》并加盖公章，资格证类别应与成品油运输要求一致，且在服务期间持续有效。</w:t>
            </w:r>
          </w:p>
        </w:tc>
      </w:tr>
      <w:tr w14:paraId="54F7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blCellSpacing w:w="0" w:type="dxa"/>
          <w:jc w:val="center"/>
        </w:trPr>
        <w:tc>
          <w:tcPr>
            <w:tcW w:w="565" w:type="dxa"/>
            <w:vAlign w:val="center"/>
          </w:tcPr>
          <w:p w14:paraId="7D9E7792">
            <w:pPr>
              <w:widowControl/>
              <w:jc w:val="center"/>
              <w:rPr>
                <w:rFonts w:ascii="宋体" w:hAnsi="宋体" w:cs="宋体"/>
                <w:kern w:val="0"/>
                <w:sz w:val="24"/>
              </w:rPr>
            </w:pPr>
          </w:p>
        </w:tc>
        <w:tc>
          <w:tcPr>
            <w:tcW w:w="9074" w:type="dxa"/>
            <w:gridSpan w:val="3"/>
            <w:vAlign w:val="center"/>
          </w:tcPr>
          <w:p w14:paraId="607648AE">
            <w:pPr>
              <w:widowControl/>
              <w:adjustRightInd w:val="0"/>
              <w:jc w:val="left"/>
              <w:rPr>
                <w:rFonts w:ascii="宋体" w:hAnsi="宋体" w:cs="宋体"/>
                <w:kern w:val="0"/>
                <w:sz w:val="24"/>
              </w:rPr>
            </w:pPr>
            <w:r>
              <w:rPr>
                <w:rFonts w:hint="eastAsia" w:ascii="宋体" w:hAnsi="宋体" w:cs="宋体"/>
                <w:kern w:val="0"/>
                <w:sz w:val="24"/>
              </w:rPr>
              <w:t>资格审查阶段，评标委员会根据</w:t>
            </w:r>
            <w:r>
              <w:rPr>
                <w:rFonts w:hint="eastAsia" w:ascii="宋体" w:hAnsi="宋体" w:cs="宋体"/>
                <w:b/>
                <w:kern w:val="0"/>
                <w:sz w:val="24"/>
                <w:u w:val="single"/>
              </w:rPr>
              <w:t>资格审查标准、</w:t>
            </w:r>
            <w:r>
              <w:rPr>
                <w:rFonts w:hint="eastAsia" w:ascii="宋体" w:hAnsi="宋体" w:cs="宋体"/>
                <w:kern w:val="0"/>
                <w:sz w:val="24"/>
              </w:rPr>
              <w:t>资格审查条件、“资格审查资料包”中的资料进行资格评审，请投标人按照本招标文件要求准确提供全部资料，否则做废标处理。</w:t>
            </w:r>
          </w:p>
        </w:tc>
      </w:tr>
    </w:tbl>
    <w:p w14:paraId="57C1637D">
      <w:pPr>
        <w:spacing w:line="460" w:lineRule="exact"/>
        <w:ind w:firstLine="480" w:firstLineChars="200"/>
        <w:contextualSpacing/>
        <w:rPr>
          <w:rFonts w:ascii="宋体" w:hAnsi="宋体" w:cs="宋体"/>
          <w:sz w:val="24"/>
        </w:rPr>
      </w:pPr>
      <w:r>
        <w:rPr>
          <w:rFonts w:hint="eastAsia" w:ascii="宋体" w:hAnsi="宋体" w:cs="宋体"/>
          <w:sz w:val="24"/>
        </w:rPr>
        <w:t>本次资格审查采用合格制，各投标人只有满足资格审查必要合格条件后，方可参与商务标的评审。</w:t>
      </w:r>
    </w:p>
    <w:p w14:paraId="1BA57919">
      <w:pPr>
        <w:widowControl/>
        <w:spacing w:line="460" w:lineRule="exact"/>
        <w:ind w:firstLine="482" w:firstLineChars="200"/>
        <w:jc w:val="left"/>
        <w:rPr>
          <w:rFonts w:ascii="宋体" w:hAnsi="宋体" w:cs="宋体"/>
          <w:sz w:val="24"/>
        </w:rPr>
      </w:pPr>
      <w:r>
        <w:rPr>
          <w:rFonts w:hint="eastAsia" w:ascii="宋体" w:hAnsi="宋体" w:cs="宋体"/>
          <w:b/>
          <w:bCs/>
          <w:kern w:val="0"/>
          <w:sz w:val="24"/>
        </w:rPr>
        <w:t>2、商务标评审</w:t>
      </w:r>
    </w:p>
    <w:p w14:paraId="2B986E77">
      <w:pPr>
        <w:autoSpaceDE w:val="0"/>
        <w:autoSpaceDN w:val="0"/>
        <w:spacing w:line="460" w:lineRule="exact"/>
        <w:ind w:firstLine="480" w:firstLineChars="200"/>
        <w:contextualSpacing/>
        <w:rPr>
          <w:rFonts w:ascii="宋体" w:hAnsi="宋体" w:cs="宋体"/>
          <w:sz w:val="24"/>
        </w:rPr>
      </w:pPr>
      <w:r>
        <w:rPr>
          <w:rFonts w:hint="eastAsia" w:ascii="宋体" w:hAnsi="宋体" w:cs="宋体"/>
          <w:sz w:val="24"/>
        </w:rPr>
        <w:t>有效投标报价是指不高于本项目最高限价的投标报价，本项目最高限价为12元/公里，高于最高限价均作无效投标响应处理。</w:t>
      </w:r>
    </w:p>
    <w:p w14:paraId="29FCF908">
      <w:pPr>
        <w:autoSpaceDE w:val="0"/>
        <w:autoSpaceDN w:val="0"/>
        <w:spacing w:line="460" w:lineRule="exact"/>
        <w:ind w:firstLine="480" w:firstLineChars="200"/>
        <w:contextualSpacing/>
        <w:rPr>
          <w:rFonts w:ascii="宋体" w:hAnsi="宋体" w:cs="宋体"/>
          <w:b/>
          <w:bCs/>
          <w:sz w:val="24"/>
        </w:rPr>
      </w:pPr>
      <w:r>
        <w:rPr>
          <w:rFonts w:hint="eastAsia" w:ascii="宋体" w:hAnsi="宋体" w:cs="宋体"/>
          <w:sz w:val="24"/>
        </w:rPr>
        <w:t>本项目以各投标人投标文件中的投标单价作为商务标评审依据，将有效投标报价按由低到高排序，排名第一的为第一中标候选人，以此类推确定前三名中标候选人，不含税投标总价相同时，抽签决定，抽签号以投标签到表序号为准。</w:t>
      </w:r>
    </w:p>
    <w:p w14:paraId="2385C9C0">
      <w:pPr>
        <w:autoSpaceDE w:val="0"/>
        <w:autoSpaceDN w:val="0"/>
        <w:spacing w:line="460" w:lineRule="exact"/>
        <w:ind w:firstLine="482" w:firstLineChars="200"/>
        <w:contextualSpacing/>
        <w:rPr>
          <w:rFonts w:ascii="宋体" w:hAnsi="宋体" w:cs="宋体"/>
          <w:b/>
          <w:bCs/>
          <w:sz w:val="24"/>
        </w:rPr>
      </w:pPr>
      <w:r>
        <w:rPr>
          <w:rFonts w:hint="eastAsia" w:ascii="宋体" w:hAnsi="宋体" w:cs="宋体"/>
          <w:b/>
          <w:bCs/>
          <w:sz w:val="24"/>
        </w:rPr>
        <w:t>3、本项目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36154E4">
      <w:pPr>
        <w:spacing w:line="460" w:lineRule="exact"/>
        <w:ind w:firstLine="482" w:firstLineChars="200"/>
        <w:rPr>
          <w:rFonts w:ascii="宋体" w:hAnsi="宋体" w:cs="宋体"/>
        </w:rPr>
      </w:pPr>
      <w:r>
        <w:rPr>
          <w:rFonts w:hint="eastAsia" w:ascii="宋体" w:hAnsi="宋体" w:cs="宋体"/>
          <w:b/>
          <w:bCs/>
          <w:sz w:val="24"/>
        </w:rPr>
        <w:t>三、评标过程中出现本评标办法未尽事宜，由评标委员会根据有关法律、法规讨论决定。</w:t>
      </w:r>
    </w:p>
    <w:p w14:paraId="2731763F">
      <w:pPr>
        <w:adjustRightInd w:val="0"/>
        <w:snapToGrid w:val="0"/>
        <w:spacing w:line="420" w:lineRule="exact"/>
        <w:jc w:val="center"/>
        <w:rPr>
          <w:rFonts w:ascii="宋体" w:hAnsi="宋体" w:cs="宋体"/>
          <w:b/>
          <w:sz w:val="28"/>
          <w:szCs w:val="28"/>
        </w:rPr>
      </w:pPr>
      <w:r>
        <w:rPr>
          <w:rFonts w:hint="eastAsia" w:ascii="宋体" w:hAnsi="宋体" w:cs="宋体"/>
          <w:b/>
          <w:sz w:val="32"/>
          <w:szCs w:val="32"/>
        </w:rPr>
        <w:br w:type="page"/>
      </w:r>
      <w:r>
        <w:rPr>
          <w:rFonts w:hint="eastAsia" w:ascii="宋体" w:hAnsi="宋体" w:cs="宋体"/>
          <w:b/>
          <w:sz w:val="36"/>
          <w:szCs w:val="36"/>
        </w:rPr>
        <w:t>第五部分  投标文件组成</w:t>
      </w:r>
    </w:p>
    <w:p w14:paraId="2DF592D1">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投标文件由资格审查文件、商务标文件两部分组成。</w:t>
      </w:r>
    </w:p>
    <w:p w14:paraId="11299035">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一、资格审查文件（不能出现商务标文件）</w:t>
      </w:r>
    </w:p>
    <w:p w14:paraId="2D4AFCA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6F486C4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2.法定代表人身份证明书（格式见附件2）；</w:t>
      </w:r>
    </w:p>
    <w:p w14:paraId="1B3CBED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3.法定代表人授权委托书原件，投标代表本人身份证复印件（格式见附件3）；</w:t>
      </w:r>
    </w:p>
    <w:p w14:paraId="1D8C6D11">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lang w:val="zh-CN"/>
        </w:rPr>
        <w:t>4.</w:t>
      </w:r>
      <w:r>
        <w:rPr>
          <w:rFonts w:hint="eastAsia" w:ascii="宋体" w:hAnsi="宋体" w:cs="宋体"/>
          <w:kern w:val="0"/>
          <w:sz w:val="24"/>
        </w:rPr>
        <w:t>有效的营业执照副本复印件；</w:t>
      </w:r>
    </w:p>
    <w:p w14:paraId="36C43390">
      <w:pPr>
        <w:pStyle w:val="23"/>
        <w:spacing w:line="460" w:lineRule="exact"/>
        <w:ind w:firstLine="480"/>
        <w:rPr>
          <w:rFonts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.投标人须具有有效期内的《道路运输经营许可证》，且证书经营范围应包含危险货物运输；</w:t>
      </w:r>
    </w:p>
    <w:p w14:paraId="257AF9A5">
      <w:pPr>
        <w:pStyle w:val="23"/>
        <w:spacing w:line="460" w:lineRule="exact"/>
        <w:ind w:firstLine="480"/>
        <w:rPr>
          <w:rFonts w:ascii="宋体" w:hAnsi="宋体" w:cs="宋体"/>
          <w:sz w:val="24"/>
          <w:szCs w:val="24"/>
        </w:rPr>
      </w:pPr>
      <w:r>
        <w:rPr>
          <w:rFonts w:hint="eastAsia" w:ascii="宋体" w:hAnsi="宋体" w:eastAsia="宋体" w:cs="宋体"/>
          <w:sz w:val="24"/>
          <w:szCs w:val="24"/>
        </w:rPr>
        <w:t>6.项目拟投入的驾驶人员及押运人员须持有有效的《危险货物运输从业资格证》，资格证类别应与成品油运输要求一致，且在服务期间持续有效。</w:t>
      </w:r>
    </w:p>
    <w:p w14:paraId="13F3C606">
      <w:pPr>
        <w:adjustRightInd w:val="0"/>
        <w:snapToGrid w:val="0"/>
        <w:spacing w:line="460" w:lineRule="exact"/>
        <w:ind w:firstLine="482" w:firstLineChars="200"/>
        <w:outlineLvl w:val="1"/>
        <w:rPr>
          <w:rFonts w:ascii="宋体" w:hAnsi="宋体" w:cs="宋体"/>
          <w:b/>
          <w:bCs/>
          <w:kern w:val="0"/>
          <w:sz w:val="24"/>
          <w:lang w:val="zh-CN"/>
        </w:rPr>
      </w:pPr>
      <w:r>
        <w:rPr>
          <w:rFonts w:hint="eastAsia" w:ascii="宋体" w:hAnsi="宋体" w:cs="宋体"/>
          <w:b/>
          <w:bCs/>
          <w:kern w:val="0"/>
          <w:sz w:val="24"/>
          <w:lang w:val="zh-CN"/>
        </w:rPr>
        <w:t>二、商务</w:t>
      </w:r>
      <w:r>
        <w:rPr>
          <w:rFonts w:hint="eastAsia" w:ascii="宋体" w:hAnsi="宋体" w:cs="宋体"/>
          <w:b/>
          <w:bCs/>
          <w:kern w:val="0"/>
          <w:sz w:val="24"/>
        </w:rPr>
        <w:t>标</w:t>
      </w:r>
      <w:r>
        <w:rPr>
          <w:rFonts w:hint="eastAsia" w:ascii="宋体" w:hAnsi="宋体" w:cs="宋体"/>
          <w:b/>
          <w:bCs/>
          <w:kern w:val="0"/>
          <w:sz w:val="24"/>
          <w:lang w:val="zh-CN"/>
        </w:rPr>
        <w:t>文件</w:t>
      </w:r>
    </w:p>
    <w:p w14:paraId="7DD9AAD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1.开标一览表（格式见附件</w:t>
      </w:r>
      <w:r>
        <w:rPr>
          <w:rFonts w:hint="eastAsia" w:ascii="宋体" w:hAnsi="宋体" w:cs="宋体"/>
          <w:kern w:val="0"/>
          <w:sz w:val="24"/>
        </w:rPr>
        <w:t>4</w:t>
      </w:r>
      <w:r>
        <w:rPr>
          <w:rFonts w:hint="eastAsia" w:ascii="宋体" w:hAnsi="宋体" w:cs="宋体"/>
          <w:kern w:val="0"/>
          <w:sz w:val="24"/>
          <w:lang w:val="zh-CN"/>
        </w:rPr>
        <w:t>）；</w:t>
      </w:r>
    </w:p>
    <w:p w14:paraId="4958044A">
      <w:pPr>
        <w:adjustRightInd w:val="0"/>
        <w:snapToGrid w:val="0"/>
        <w:spacing w:line="460" w:lineRule="exact"/>
        <w:ind w:firstLine="480" w:firstLineChars="200"/>
        <w:rPr>
          <w:rFonts w:ascii="宋体" w:hAnsi="宋体" w:cs="宋体"/>
          <w:kern w:val="0"/>
          <w:sz w:val="28"/>
          <w:szCs w:val="28"/>
          <w:lang w:val="zh-CN"/>
        </w:rPr>
      </w:pPr>
      <w:r>
        <w:rPr>
          <w:rFonts w:hint="eastAsia" w:ascii="宋体" w:hAnsi="宋体" w:cs="宋体"/>
          <w:kern w:val="0"/>
          <w:sz w:val="24"/>
        </w:rPr>
        <w:t>2.</w:t>
      </w:r>
      <w:r>
        <w:rPr>
          <w:rFonts w:hint="eastAsia" w:ascii="宋体" w:hAnsi="宋体" w:cs="宋体"/>
          <w:kern w:val="0"/>
          <w:sz w:val="24"/>
          <w:lang w:val="zh-CN"/>
        </w:rPr>
        <w:t>供应商信用承诺书（格式见附件</w:t>
      </w:r>
      <w:r>
        <w:rPr>
          <w:rFonts w:hint="eastAsia" w:ascii="宋体" w:hAnsi="宋体" w:cs="宋体"/>
          <w:kern w:val="0"/>
          <w:sz w:val="24"/>
        </w:rPr>
        <w:t>5</w:t>
      </w:r>
      <w:r>
        <w:rPr>
          <w:rFonts w:hint="eastAsia" w:ascii="宋体" w:hAnsi="宋体" w:cs="宋体"/>
          <w:kern w:val="0"/>
          <w:sz w:val="24"/>
          <w:lang w:val="zh-CN"/>
        </w:rPr>
        <w:t>）。</w:t>
      </w:r>
    </w:p>
    <w:p w14:paraId="520EF852">
      <w:pPr>
        <w:adjustRightInd w:val="0"/>
        <w:snapToGrid w:val="0"/>
        <w:spacing w:line="420" w:lineRule="exact"/>
        <w:ind w:firstLine="560" w:firstLineChars="200"/>
        <w:rPr>
          <w:rFonts w:ascii="宋体" w:hAnsi="宋体" w:cs="宋体"/>
          <w:kern w:val="0"/>
          <w:sz w:val="28"/>
          <w:szCs w:val="28"/>
          <w:lang w:val="zh-CN"/>
        </w:rPr>
      </w:pPr>
    </w:p>
    <w:p w14:paraId="7B24F22F">
      <w:pPr>
        <w:snapToGrid w:val="0"/>
        <w:spacing w:line="360" w:lineRule="auto"/>
        <w:ind w:firstLine="540" w:firstLineChars="192"/>
        <w:contextualSpacing/>
        <w:rPr>
          <w:rFonts w:ascii="宋体" w:hAnsi="宋体" w:cs="宋体"/>
          <w:b/>
          <w:kern w:val="0"/>
          <w:sz w:val="28"/>
          <w:szCs w:val="28"/>
        </w:rPr>
      </w:pPr>
    </w:p>
    <w:p w14:paraId="557DB8E4">
      <w:pPr>
        <w:snapToGrid w:val="0"/>
        <w:spacing w:line="360" w:lineRule="auto"/>
        <w:contextualSpacing/>
        <w:rPr>
          <w:rFonts w:ascii="宋体" w:hAnsi="宋体" w:cs="宋体"/>
          <w:b/>
          <w:sz w:val="30"/>
          <w:szCs w:val="30"/>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3C5B38C7">
      <w:pPr>
        <w:spacing w:line="360" w:lineRule="auto"/>
        <w:jc w:val="center"/>
        <w:rPr>
          <w:rFonts w:ascii="宋体" w:hAnsi="宋体" w:cs="宋体"/>
          <w:b/>
          <w:sz w:val="30"/>
          <w:szCs w:val="30"/>
        </w:rPr>
      </w:pPr>
      <w:r>
        <w:rPr>
          <w:rFonts w:hint="eastAsia" w:ascii="宋体" w:hAnsi="宋体" w:cs="宋体"/>
          <w:b/>
          <w:sz w:val="30"/>
          <w:szCs w:val="30"/>
        </w:rPr>
        <w:t>投标人符合本项目投标人资格要求的承诺函</w:t>
      </w:r>
    </w:p>
    <w:p w14:paraId="2A2DD419">
      <w:pPr>
        <w:spacing w:line="360" w:lineRule="auto"/>
        <w:rPr>
          <w:rFonts w:ascii="宋体" w:hAnsi="宋体" w:cs="宋体"/>
          <w:b/>
          <w:bCs/>
          <w:sz w:val="44"/>
          <w:szCs w:val="44"/>
        </w:rPr>
      </w:pPr>
    </w:p>
    <w:p w14:paraId="041A1541">
      <w:pPr>
        <w:spacing w:line="360" w:lineRule="auto"/>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（项目编号）投标活动。针对本项目投标人资格要求做出如下承诺：</w:t>
      </w:r>
    </w:p>
    <w:p w14:paraId="5E97C0F8">
      <w:pPr>
        <w:spacing w:line="360" w:lineRule="auto"/>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5E6E925F">
      <w:pPr>
        <w:spacing w:line="360" w:lineRule="auto"/>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2335A989">
      <w:pPr>
        <w:spacing w:line="360" w:lineRule="auto"/>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71994579">
      <w:pPr>
        <w:spacing w:line="360" w:lineRule="auto"/>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1F10E7B4">
      <w:pPr>
        <w:spacing w:line="360" w:lineRule="auto"/>
        <w:ind w:firstLine="480" w:firstLineChars="200"/>
        <w:rPr>
          <w:rFonts w:ascii="宋体" w:hAnsi="宋体" w:cs="宋体"/>
          <w:sz w:val="24"/>
        </w:rPr>
      </w:pPr>
      <w:r>
        <w:rPr>
          <w:rFonts w:hint="eastAsia" w:ascii="宋体" w:hAnsi="宋体" w:cs="宋体"/>
          <w:sz w:val="24"/>
        </w:rPr>
        <w:t>5.我单位参加招标活动前三年内，在经营活动中没有重大违法记录；（“较大数额罚款”认定为200万元以上的罚款，法律、行政法规以及国务院有关部门明确规定相关领域“较大数额罚款”标准高于200万元的，从其规定。）</w:t>
      </w:r>
    </w:p>
    <w:p w14:paraId="0E87362C">
      <w:pPr>
        <w:spacing w:line="360" w:lineRule="auto"/>
        <w:ind w:firstLine="480" w:firstLineChars="200"/>
        <w:rPr>
          <w:rFonts w:ascii="宋体" w:hAnsi="宋体" w:cs="宋体"/>
          <w:sz w:val="24"/>
        </w:rPr>
      </w:pPr>
      <w:r>
        <w:rPr>
          <w:rFonts w:hint="eastAsia" w:ascii="宋体" w:hAnsi="宋体" w:cs="宋体"/>
          <w:sz w:val="24"/>
        </w:rPr>
        <w:t>6.我单位满足法律、行政法规规定的其他条件。</w:t>
      </w:r>
    </w:p>
    <w:p w14:paraId="235BE504">
      <w:pPr>
        <w:spacing w:line="360" w:lineRule="auto"/>
        <w:ind w:firstLine="480" w:firstLineChars="200"/>
        <w:rPr>
          <w:rFonts w:ascii="宋体" w:hAnsi="宋体" w:cs="宋体"/>
          <w:sz w:val="24"/>
        </w:rPr>
      </w:pPr>
    </w:p>
    <w:p w14:paraId="65607740">
      <w:pPr>
        <w:spacing w:line="360" w:lineRule="auto"/>
        <w:ind w:firstLine="480" w:firstLineChars="200"/>
        <w:rPr>
          <w:rFonts w:ascii="宋体" w:hAnsi="宋体" w:cs="宋体"/>
          <w:sz w:val="24"/>
        </w:rPr>
      </w:pPr>
    </w:p>
    <w:p w14:paraId="37DE242C">
      <w:pPr>
        <w:spacing w:line="360" w:lineRule="auto"/>
        <w:ind w:firstLine="480" w:firstLineChars="200"/>
        <w:rPr>
          <w:rFonts w:ascii="宋体" w:hAnsi="宋体" w:cs="宋体"/>
          <w:bCs/>
          <w:sz w:val="24"/>
          <w:szCs w:val="21"/>
        </w:rPr>
      </w:pPr>
    </w:p>
    <w:p w14:paraId="4988E794">
      <w:pPr>
        <w:spacing w:line="360" w:lineRule="auto"/>
        <w:ind w:firstLine="480" w:firstLineChars="200"/>
        <w:rPr>
          <w:rFonts w:ascii="宋体" w:hAnsi="宋体" w:cs="宋体"/>
          <w:bCs/>
          <w:sz w:val="24"/>
          <w:szCs w:val="21"/>
        </w:rPr>
      </w:pPr>
    </w:p>
    <w:p w14:paraId="15A04053">
      <w:pPr>
        <w:spacing w:line="360" w:lineRule="auto"/>
        <w:ind w:firstLine="480" w:firstLineChars="200"/>
        <w:rPr>
          <w:rFonts w:ascii="宋体" w:hAnsi="宋体" w:cs="宋体"/>
          <w:bCs/>
          <w:sz w:val="24"/>
          <w:szCs w:val="21"/>
        </w:rPr>
      </w:pPr>
    </w:p>
    <w:p w14:paraId="3071B15D">
      <w:pPr>
        <w:spacing w:line="360" w:lineRule="auto"/>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4D7B4F47">
      <w:pPr>
        <w:spacing w:line="360" w:lineRule="auto"/>
        <w:ind w:firstLine="480" w:firstLineChars="200"/>
        <w:jc w:val="right"/>
        <w:rPr>
          <w:rFonts w:ascii="宋体" w:hAnsi="宋体" w:cs="宋体"/>
          <w:bCs/>
          <w:sz w:val="24"/>
          <w:szCs w:val="21"/>
        </w:rPr>
      </w:pPr>
    </w:p>
    <w:p w14:paraId="3A101531">
      <w:pPr>
        <w:spacing w:line="360" w:lineRule="auto"/>
        <w:ind w:firstLine="480" w:firstLineChars="200"/>
        <w:jc w:val="right"/>
        <w:rPr>
          <w:rFonts w:ascii="宋体" w:hAnsi="宋体" w:cs="宋体"/>
          <w:bCs/>
          <w:sz w:val="24"/>
          <w:szCs w:val="21"/>
        </w:rPr>
      </w:pPr>
    </w:p>
    <w:p w14:paraId="13C76734">
      <w:pPr>
        <w:spacing w:line="360" w:lineRule="auto"/>
        <w:ind w:firstLine="480" w:firstLineChars="200"/>
        <w:jc w:val="right"/>
        <w:rPr>
          <w:rFonts w:ascii="宋体" w:hAnsi="宋体" w:cs="宋体"/>
          <w:bCs/>
          <w:sz w:val="24"/>
          <w:szCs w:val="21"/>
        </w:rPr>
      </w:pPr>
    </w:p>
    <w:p w14:paraId="28E6E7F9">
      <w:pPr>
        <w:spacing w:line="360" w:lineRule="auto"/>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527EA764">
      <w:pPr>
        <w:snapToGrid w:val="0"/>
        <w:spacing w:line="360" w:lineRule="auto"/>
        <w:ind w:firstLine="540" w:firstLineChars="192"/>
        <w:contextualSpacing/>
        <w:rPr>
          <w:rFonts w:ascii="宋体" w:hAnsi="宋体" w:cs="宋体"/>
          <w:b/>
          <w:kern w:val="0"/>
          <w:sz w:val="28"/>
          <w:szCs w:val="28"/>
        </w:rPr>
      </w:pPr>
    </w:p>
    <w:p w14:paraId="3B79A315">
      <w:pPr>
        <w:snapToGrid w:val="0"/>
        <w:spacing w:line="360" w:lineRule="auto"/>
        <w:ind w:firstLine="540" w:firstLineChars="192"/>
        <w:contextualSpacing/>
        <w:rPr>
          <w:rFonts w:ascii="宋体" w:hAnsi="宋体" w:cs="宋体"/>
          <w:b/>
          <w:kern w:val="0"/>
          <w:sz w:val="28"/>
          <w:szCs w:val="28"/>
        </w:rPr>
      </w:pPr>
    </w:p>
    <w:p w14:paraId="06854E49">
      <w:pPr>
        <w:snapToGrid w:val="0"/>
        <w:spacing w:line="360" w:lineRule="auto"/>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附件2</w:t>
      </w:r>
    </w:p>
    <w:p w14:paraId="6A8AD765">
      <w:pPr>
        <w:spacing w:line="360" w:lineRule="auto"/>
        <w:jc w:val="center"/>
        <w:rPr>
          <w:rFonts w:ascii="宋体" w:hAnsi="宋体" w:cs="宋体"/>
          <w:b/>
          <w:bCs/>
          <w:sz w:val="32"/>
          <w:szCs w:val="32"/>
        </w:rPr>
      </w:pPr>
    </w:p>
    <w:p w14:paraId="31BD53C4">
      <w:pPr>
        <w:spacing w:line="360" w:lineRule="auto"/>
        <w:jc w:val="center"/>
        <w:rPr>
          <w:rFonts w:ascii="宋体" w:hAnsi="宋体" w:cs="宋体"/>
          <w:b/>
          <w:bCs/>
          <w:sz w:val="32"/>
          <w:szCs w:val="32"/>
        </w:rPr>
      </w:pPr>
    </w:p>
    <w:p w14:paraId="158CD86F">
      <w:pPr>
        <w:spacing w:line="360" w:lineRule="auto"/>
        <w:jc w:val="center"/>
        <w:rPr>
          <w:rFonts w:ascii="宋体" w:hAnsi="宋体" w:cs="宋体"/>
          <w:b/>
          <w:bCs/>
          <w:sz w:val="32"/>
          <w:szCs w:val="32"/>
        </w:rPr>
      </w:pPr>
    </w:p>
    <w:p w14:paraId="3B11DE32">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099C8C00">
      <w:pPr>
        <w:spacing w:line="360" w:lineRule="auto"/>
        <w:rPr>
          <w:rFonts w:ascii="宋体" w:hAnsi="宋体" w:cs="宋体"/>
          <w:sz w:val="24"/>
        </w:rPr>
      </w:pPr>
    </w:p>
    <w:p w14:paraId="2F63987F">
      <w:pPr>
        <w:spacing w:line="360" w:lineRule="auto"/>
        <w:ind w:firstLine="480" w:firstLineChars="200"/>
        <w:rPr>
          <w:rFonts w:ascii="宋体" w:hAnsi="宋体" w:cs="宋体"/>
          <w:sz w:val="24"/>
        </w:rPr>
      </w:pPr>
      <w:r>
        <w:rPr>
          <w:rFonts w:hint="eastAsia" w:ascii="宋体" w:hAnsi="宋体" w:cs="宋体"/>
          <w:sz w:val="24"/>
        </w:rPr>
        <w:t>先生/女士： 现任我单位职务，为法定代表人，特此证明。</w:t>
      </w:r>
    </w:p>
    <w:p w14:paraId="56CD00AD">
      <w:pPr>
        <w:spacing w:line="360" w:lineRule="auto"/>
        <w:ind w:firstLine="480"/>
        <w:rPr>
          <w:rFonts w:ascii="宋体" w:hAnsi="宋体" w:cs="宋体"/>
          <w:sz w:val="24"/>
          <w:u w:val="single"/>
        </w:rPr>
      </w:pPr>
      <w:r>
        <w:rPr>
          <w:rFonts w:hint="eastAsia" w:ascii="宋体" w:hAnsi="宋体" w:cs="宋体"/>
          <w:sz w:val="24"/>
        </w:rPr>
        <w:t>身份证号码：</w:t>
      </w:r>
    </w:p>
    <w:p w14:paraId="17D7BCE6">
      <w:pPr>
        <w:spacing w:line="360" w:lineRule="auto"/>
        <w:ind w:firstLine="480"/>
        <w:rPr>
          <w:rFonts w:ascii="宋体" w:hAnsi="宋体" w:cs="宋体"/>
          <w:sz w:val="24"/>
        </w:rPr>
      </w:pPr>
    </w:p>
    <w:p w14:paraId="651A6D7C">
      <w:pPr>
        <w:spacing w:line="360" w:lineRule="auto"/>
        <w:rPr>
          <w:rFonts w:ascii="宋体" w:hAnsi="宋体" w:cs="宋体"/>
          <w:b/>
          <w:sz w:val="24"/>
        </w:rPr>
      </w:pPr>
      <w:r>
        <w:rPr>
          <w:rFonts w:hint="eastAsia" w:ascii="宋体" w:hAnsi="宋体" w:cs="宋体"/>
          <w:b/>
          <w:sz w:val="24"/>
        </w:rPr>
        <w:t>注：提供法定代表人的身份证复印件</w:t>
      </w:r>
    </w:p>
    <w:p w14:paraId="33E14771">
      <w:pPr>
        <w:spacing w:line="360" w:lineRule="auto"/>
        <w:ind w:firstLine="480" w:firstLineChars="200"/>
        <w:rPr>
          <w:rFonts w:ascii="宋体" w:hAnsi="宋体" w:cs="宋体"/>
          <w:sz w:val="24"/>
        </w:rPr>
      </w:pPr>
    </w:p>
    <w:p w14:paraId="2E07791A">
      <w:pPr>
        <w:spacing w:line="360" w:lineRule="auto"/>
        <w:rPr>
          <w:rFonts w:ascii="宋体" w:hAnsi="宋体" w:cs="宋体"/>
        </w:rPr>
      </w:pPr>
    </w:p>
    <w:p w14:paraId="7741A2BA">
      <w:pPr>
        <w:snapToGrid w:val="0"/>
        <w:spacing w:line="360" w:lineRule="auto"/>
        <w:ind w:firstLine="540" w:firstLineChars="192"/>
        <w:contextualSpacing/>
        <w:rPr>
          <w:rFonts w:ascii="宋体" w:hAnsi="宋体" w:cs="宋体"/>
          <w:b/>
          <w:kern w:val="0"/>
          <w:sz w:val="28"/>
          <w:szCs w:val="28"/>
        </w:rPr>
      </w:pPr>
    </w:p>
    <w:p w14:paraId="66861737">
      <w:pPr>
        <w:snapToGrid w:val="0"/>
        <w:spacing w:line="360" w:lineRule="auto"/>
        <w:ind w:firstLine="540" w:firstLineChars="192"/>
        <w:contextualSpacing/>
        <w:rPr>
          <w:rFonts w:ascii="宋体" w:hAnsi="宋体" w:cs="宋体"/>
          <w:b/>
          <w:kern w:val="0"/>
          <w:sz w:val="28"/>
          <w:szCs w:val="28"/>
          <w:lang w:val="zh-CN"/>
        </w:rPr>
      </w:pPr>
    </w:p>
    <w:p w14:paraId="0E03E09D">
      <w:pPr>
        <w:snapToGrid w:val="0"/>
        <w:spacing w:line="360" w:lineRule="auto"/>
        <w:ind w:firstLine="540" w:firstLineChars="192"/>
        <w:contextualSpacing/>
        <w:rPr>
          <w:rFonts w:ascii="宋体" w:hAnsi="宋体" w:cs="宋体"/>
          <w:b/>
          <w:kern w:val="0"/>
          <w:sz w:val="28"/>
          <w:szCs w:val="28"/>
          <w:lang w:val="zh-CN"/>
        </w:rPr>
      </w:pPr>
    </w:p>
    <w:p w14:paraId="254D47F0">
      <w:pPr>
        <w:snapToGrid w:val="0"/>
        <w:spacing w:line="360" w:lineRule="auto"/>
        <w:ind w:firstLine="540" w:firstLineChars="192"/>
        <w:contextualSpacing/>
        <w:rPr>
          <w:rFonts w:ascii="宋体" w:hAnsi="宋体" w:cs="宋体"/>
          <w:b/>
          <w:kern w:val="0"/>
          <w:sz w:val="28"/>
          <w:szCs w:val="28"/>
          <w:lang w:val="zh-CN"/>
        </w:rPr>
      </w:pPr>
    </w:p>
    <w:p w14:paraId="384DC90C">
      <w:pPr>
        <w:snapToGrid w:val="0"/>
        <w:spacing w:line="360" w:lineRule="auto"/>
        <w:ind w:firstLine="540" w:firstLineChars="192"/>
        <w:contextualSpacing/>
        <w:rPr>
          <w:rFonts w:ascii="宋体" w:hAnsi="宋体" w:cs="宋体"/>
          <w:b/>
          <w:kern w:val="0"/>
          <w:sz w:val="28"/>
          <w:szCs w:val="28"/>
          <w:lang w:val="zh-CN"/>
        </w:rPr>
      </w:pPr>
    </w:p>
    <w:p w14:paraId="6BEEED4D">
      <w:pPr>
        <w:snapToGrid w:val="0"/>
        <w:spacing w:line="360" w:lineRule="auto"/>
        <w:ind w:firstLine="540" w:firstLineChars="192"/>
        <w:contextualSpacing/>
        <w:rPr>
          <w:rFonts w:ascii="宋体" w:hAnsi="宋体" w:cs="宋体"/>
          <w:b/>
          <w:kern w:val="0"/>
          <w:sz w:val="28"/>
          <w:szCs w:val="28"/>
          <w:lang w:val="zh-CN"/>
        </w:rPr>
      </w:pPr>
    </w:p>
    <w:p w14:paraId="3341EBD7">
      <w:pPr>
        <w:snapToGrid w:val="0"/>
        <w:spacing w:line="360" w:lineRule="auto"/>
        <w:ind w:firstLine="540" w:firstLineChars="192"/>
        <w:contextualSpacing/>
        <w:rPr>
          <w:rFonts w:ascii="宋体" w:hAnsi="宋体" w:cs="宋体"/>
          <w:b/>
          <w:kern w:val="0"/>
          <w:sz w:val="28"/>
          <w:szCs w:val="28"/>
          <w:lang w:val="zh-CN"/>
        </w:rPr>
      </w:pPr>
    </w:p>
    <w:p w14:paraId="764593B5">
      <w:pPr>
        <w:snapToGrid w:val="0"/>
        <w:spacing w:line="360" w:lineRule="auto"/>
        <w:ind w:firstLine="540" w:firstLineChars="192"/>
        <w:contextualSpacing/>
        <w:rPr>
          <w:rFonts w:ascii="宋体" w:hAnsi="宋体" w:cs="宋体"/>
          <w:b/>
          <w:kern w:val="0"/>
          <w:sz w:val="28"/>
          <w:szCs w:val="28"/>
          <w:lang w:val="zh-CN"/>
        </w:rPr>
      </w:pPr>
    </w:p>
    <w:p w14:paraId="4224EA05">
      <w:pPr>
        <w:snapToGrid w:val="0"/>
        <w:spacing w:line="360" w:lineRule="auto"/>
        <w:ind w:firstLine="540" w:firstLineChars="192"/>
        <w:contextualSpacing/>
        <w:rPr>
          <w:rFonts w:ascii="宋体" w:hAnsi="宋体" w:cs="宋体"/>
          <w:b/>
          <w:kern w:val="0"/>
          <w:sz w:val="28"/>
          <w:szCs w:val="28"/>
          <w:lang w:val="zh-CN"/>
        </w:rPr>
      </w:pPr>
    </w:p>
    <w:p w14:paraId="070179CC">
      <w:pPr>
        <w:snapToGrid w:val="0"/>
        <w:spacing w:line="360" w:lineRule="auto"/>
        <w:ind w:firstLine="540" w:firstLineChars="192"/>
        <w:contextualSpacing/>
        <w:rPr>
          <w:rFonts w:ascii="宋体" w:hAnsi="宋体" w:cs="宋体"/>
          <w:b/>
          <w:kern w:val="0"/>
          <w:sz w:val="28"/>
          <w:szCs w:val="28"/>
          <w:lang w:val="zh-CN"/>
        </w:rPr>
      </w:pPr>
    </w:p>
    <w:p w14:paraId="67BE9244">
      <w:pPr>
        <w:snapToGrid w:val="0"/>
        <w:spacing w:line="360" w:lineRule="auto"/>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附件3</w:t>
      </w:r>
    </w:p>
    <w:p w14:paraId="13B94667">
      <w:pPr>
        <w:spacing w:line="360" w:lineRule="auto"/>
        <w:jc w:val="center"/>
        <w:rPr>
          <w:rFonts w:ascii="宋体" w:hAnsi="宋体" w:cs="宋体"/>
          <w:sz w:val="32"/>
          <w:szCs w:val="32"/>
        </w:rPr>
      </w:pPr>
    </w:p>
    <w:p w14:paraId="0B13A361">
      <w:pPr>
        <w:spacing w:line="360" w:lineRule="auto"/>
        <w:ind w:firstLine="560" w:firstLineChars="200"/>
        <w:jc w:val="center"/>
        <w:rPr>
          <w:rFonts w:ascii="宋体" w:hAnsi="宋体" w:cs="宋体"/>
          <w:sz w:val="28"/>
          <w:szCs w:val="28"/>
        </w:rPr>
      </w:pPr>
      <w:r>
        <w:rPr>
          <w:rFonts w:hint="eastAsia" w:ascii="宋体" w:hAnsi="宋体" w:cs="宋体"/>
          <w:sz w:val="28"/>
          <w:szCs w:val="28"/>
        </w:rPr>
        <w:t>法定代表人授权委托书</w:t>
      </w:r>
    </w:p>
    <w:p w14:paraId="3BDC5B80">
      <w:pPr>
        <w:spacing w:line="360" w:lineRule="auto"/>
        <w:ind w:firstLine="560" w:firstLineChars="200"/>
        <w:rPr>
          <w:rFonts w:ascii="宋体" w:hAnsi="宋体" w:cs="宋体"/>
          <w:sz w:val="28"/>
          <w:szCs w:val="28"/>
        </w:rPr>
      </w:pPr>
    </w:p>
    <w:p w14:paraId="3BF6E235">
      <w:pPr>
        <w:spacing w:line="360" w:lineRule="auto"/>
        <w:ind w:firstLine="560" w:firstLineChars="200"/>
        <w:rPr>
          <w:rFonts w:ascii="宋体" w:hAnsi="宋体" w:cs="宋体"/>
          <w:sz w:val="28"/>
          <w:szCs w:val="28"/>
        </w:rPr>
      </w:pPr>
      <w:r>
        <w:rPr>
          <w:rFonts w:hint="eastAsia" w:ascii="宋体" w:hAnsi="宋体" w:cs="宋体"/>
          <w:sz w:val="28"/>
          <w:szCs w:val="28"/>
        </w:rPr>
        <w:t>本人------（姓名）系————（授权单位名称）的法定代表人，现委托-------（姓名）（身份证号——————）为我方代理人，以我方名义全权处理与本次招标项目（编号：----------）有关的一切事务，其法律后果由我方承担。</w:t>
      </w:r>
    </w:p>
    <w:p w14:paraId="535DCA16">
      <w:pPr>
        <w:spacing w:line="360" w:lineRule="auto"/>
        <w:ind w:firstLine="560" w:firstLineChars="200"/>
        <w:rPr>
          <w:rFonts w:ascii="宋体" w:hAnsi="宋体" w:cs="宋体"/>
          <w:sz w:val="28"/>
          <w:szCs w:val="28"/>
        </w:rPr>
      </w:pPr>
      <w:r>
        <w:rPr>
          <w:rFonts w:hint="eastAsia" w:ascii="宋体" w:hAnsi="宋体" w:cs="宋体"/>
          <w:sz w:val="28"/>
          <w:szCs w:val="28"/>
        </w:rPr>
        <w:t>本授权书于---年---月---日起生效。代理人无转委托权。</w:t>
      </w:r>
    </w:p>
    <w:p w14:paraId="08892F32">
      <w:pPr>
        <w:spacing w:line="360" w:lineRule="auto"/>
        <w:ind w:firstLine="560" w:firstLineChars="200"/>
        <w:rPr>
          <w:rFonts w:ascii="宋体" w:hAnsi="宋体" w:cs="宋体"/>
          <w:sz w:val="28"/>
          <w:szCs w:val="28"/>
        </w:rPr>
      </w:pPr>
      <w:r>
        <w:rPr>
          <w:rFonts w:hint="eastAsia" w:ascii="宋体" w:hAnsi="宋体" w:cs="宋体"/>
          <w:sz w:val="28"/>
          <w:szCs w:val="28"/>
        </w:rPr>
        <w:t>代理人（被授权人）:------</w:t>
      </w:r>
    </w:p>
    <w:p w14:paraId="567610CA">
      <w:pPr>
        <w:spacing w:line="360" w:lineRule="auto"/>
        <w:ind w:firstLine="560" w:firstLineChars="200"/>
        <w:rPr>
          <w:rFonts w:ascii="宋体" w:hAnsi="宋体" w:cs="宋体"/>
          <w:sz w:val="28"/>
          <w:szCs w:val="28"/>
        </w:rPr>
      </w:pPr>
      <w:r>
        <w:rPr>
          <w:rFonts w:hint="eastAsia" w:ascii="宋体" w:hAnsi="宋体" w:cs="宋体"/>
          <w:sz w:val="28"/>
          <w:szCs w:val="28"/>
        </w:rPr>
        <w:t>授权单位名称（盖章）：-----</w:t>
      </w:r>
    </w:p>
    <w:p w14:paraId="11C338F9">
      <w:pPr>
        <w:spacing w:line="360" w:lineRule="auto"/>
        <w:ind w:firstLine="560" w:firstLineChars="200"/>
        <w:rPr>
          <w:rFonts w:ascii="宋体" w:hAnsi="宋体" w:cs="宋体"/>
          <w:sz w:val="28"/>
          <w:szCs w:val="28"/>
        </w:rPr>
      </w:pPr>
      <w:r>
        <w:rPr>
          <w:rFonts w:hint="eastAsia" w:ascii="宋体" w:hAnsi="宋体" w:cs="宋体"/>
          <w:sz w:val="28"/>
          <w:szCs w:val="28"/>
        </w:rPr>
        <w:t>授权单位法定代表人（签字或盖章）：-----</w:t>
      </w:r>
    </w:p>
    <w:p w14:paraId="42778BD7">
      <w:pPr>
        <w:spacing w:line="360" w:lineRule="auto"/>
        <w:ind w:firstLine="560" w:firstLineChars="200"/>
        <w:jc w:val="right"/>
        <w:rPr>
          <w:rFonts w:ascii="宋体" w:hAnsi="宋体" w:cs="宋体"/>
          <w:sz w:val="28"/>
          <w:szCs w:val="28"/>
        </w:rPr>
      </w:pPr>
    </w:p>
    <w:p w14:paraId="0CD34383">
      <w:pPr>
        <w:spacing w:line="360" w:lineRule="auto"/>
        <w:ind w:firstLine="560" w:firstLineChars="200"/>
        <w:jc w:val="right"/>
        <w:rPr>
          <w:rFonts w:ascii="宋体" w:hAnsi="宋体" w:cs="宋体"/>
          <w:sz w:val="28"/>
          <w:szCs w:val="28"/>
        </w:rPr>
      </w:pPr>
      <w:r>
        <w:rPr>
          <w:rFonts w:hint="eastAsia" w:ascii="宋体" w:hAnsi="宋体" w:cs="宋体"/>
          <w:sz w:val="28"/>
          <w:szCs w:val="28"/>
        </w:rPr>
        <w:t>XXXX年XX月XX日</w:t>
      </w:r>
    </w:p>
    <w:p w14:paraId="5E0FF9BE">
      <w:pPr>
        <w:snapToGrid w:val="0"/>
        <w:spacing w:line="360" w:lineRule="auto"/>
        <w:ind w:firstLine="562" w:firstLineChars="200"/>
        <w:contextualSpacing/>
        <w:rPr>
          <w:rFonts w:ascii="宋体" w:hAnsi="宋体" w:cs="宋体"/>
          <w:b/>
          <w:kern w:val="0"/>
          <w:sz w:val="28"/>
          <w:szCs w:val="28"/>
        </w:rPr>
      </w:pPr>
    </w:p>
    <w:p w14:paraId="19238FF6">
      <w:pPr>
        <w:snapToGrid w:val="0"/>
        <w:spacing w:line="360" w:lineRule="auto"/>
        <w:ind w:firstLine="562" w:firstLineChars="200"/>
        <w:contextualSpacing/>
        <w:rPr>
          <w:rFonts w:ascii="宋体" w:hAnsi="宋体" w:cs="宋体"/>
          <w:b/>
          <w:kern w:val="0"/>
          <w:sz w:val="28"/>
          <w:szCs w:val="28"/>
        </w:rPr>
      </w:pPr>
      <w:r>
        <w:rPr>
          <w:rFonts w:hint="eastAsia" w:ascii="宋体" w:hAnsi="宋体" w:cs="宋体"/>
          <w:b/>
          <w:kern w:val="0"/>
          <w:sz w:val="28"/>
          <w:szCs w:val="28"/>
        </w:rPr>
        <w:t>注：提供投标代表本人身份证复印件</w:t>
      </w:r>
    </w:p>
    <w:p w14:paraId="691C2625">
      <w:pPr>
        <w:snapToGrid w:val="0"/>
        <w:spacing w:line="360" w:lineRule="auto"/>
        <w:ind w:firstLine="562" w:firstLineChars="200"/>
        <w:contextualSpacing/>
        <w:rPr>
          <w:rFonts w:ascii="宋体" w:hAnsi="宋体" w:cs="宋体"/>
          <w:b/>
          <w:kern w:val="0"/>
          <w:sz w:val="28"/>
          <w:szCs w:val="28"/>
        </w:rPr>
      </w:pPr>
    </w:p>
    <w:p w14:paraId="38744440">
      <w:pPr>
        <w:snapToGrid w:val="0"/>
        <w:spacing w:line="360" w:lineRule="auto"/>
        <w:ind w:firstLine="540" w:firstLineChars="192"/>
        <w:contextualSpacing/>
        <w:rPr>
          <w:rFonts w:ascii="宋体" w:hAnsi="宋体" w:cs="宋体"/>
          <w:b/>
          <w:kern w:val="0"/>
          <w:sz w:val="28"/>
          <w:szCs w:val="28"/>
        </w:rPr>
      </w:pPr>
    </w:p>
    <w:p w14:paraId="3F874615">
      <w:pPr>
        <w:snapToGrid w:val="0"/>
        <w:spacing w:line="360" w:lineRule="auto"/>
        <w:ind w:firstLine="540" w:firstLineChars="192"/>
        <w:contextualSpacing/>
        <w:rPr>
          <w:rFonts w:ascii="宋体" w:hAnsi="宋体" w:cs="宋体"/>
          <w:b/>
          <w:kern w:val="0"/>
          <w:sz w:val="28"/>
          <w:szCs w:val="28"/>
        </w:rPr>
      </w:pPr>
    </w:p>
    <w:p w14:paraId="32DF2105">
      <w:pPr>
        <w:snapToGrid w:val="0"/>
        <w:spacing w:line="360" w:lineRule="auto"/>
        <w:ind w:firstLine="540" w:firstLineChars="192"/>
        <w:contextualSpacing/>
        <w:rPr>
          <w:rFonts w:ascii="宋体" w:hAnsi="宋体" w:cs="宋体"/>
          <w:b/>
          <w:kern w:val="0"/>
          <w:sz w:val="28"/>
          <w:szCs w:val="28"/>
        </w:rPr>
      </w:pPr>
    </w:p>
    <w:p w14:paraId="027B7B45">
      <w:pPr>
        <w:pStyle w:val="34"/>
        <w:ind w:firstLine="562"/>
        <w:rPr>
          <w:rFonts w:ascii="宋体" w:hAnsi="宋体" w:eastAsia="宋体" w:cs="宋体"/>
          <w:b/>
          <w:szCs w:val="28"/>
        </w:rPr>
      </w:pPr>
    </w:p>
    <w:p w14:paraId="576C6ACA">
      <w:pPr>
        <w:pStyle w:val="34"/>
        <w:ind w:firstLine="562"/>
        <w:rPr>
          <w:rFonts w:ascii="宋体" w:hAnsi="宋体" w:eastAsia="宋体" w:cs="宋体"/>
          <w:b/>
          <w:szCs w:val="28"/>
        </w:rPr>
      </w:pPr>
    </w:p>
    <w:p w14:paraId="6DBC3644">
      <w:pPr>
        <w:snapToGrid w:val="0"/>
        <w:spacing w:line="360" w:lineRule="auto"/>
        <w:ind w:firstLine="540" w:firstLineChars="192"/>
        <w:contextualSpacing/>
        <w:rPr>
          <w:rFonts w:ascii="宋体" w:hAnsi="宋体" w:cs="宋体"/>
          <w:b/>
          <w:kern w:val="0"/>
          <w:sz w:val="28"/>
          <w:szCs w:val="28"/>
        </w:rPr>
      </w:pPr>
    </w:p>
    <w:p w14:paraId="5A44474B">
      <w:pPr>
        <w:rPr>
          <w:rFonts w:ascii="宋体" w:hAnsi="宋体" w:cs="宋体"/>
          <w:kern w:val="0"/>
          <w:sz w:val="32"/>
          <w:szCs w:val="32"/>
        </w:rPr>
      </w:pPr>
      <w:r>
        <w:rPr>
          <w:rFonts w:hint="eastAsia" w:ascii="宋体" w:hAnsi="宋体" w:cs="宋体"/>
          <w:kern w:val="0"/>
          <w:sz w:val="32"/>
          <w:szCs w:val="32"/>
        </w:rPr>
        <w:br w:type="page"/>
      </w:r>
    </w:p>
    <w:p w14:paraId="592C3D05">
      <w:pPr>
        <w:snapToGrid w:val="0"/>
        <w:spacing w:line="300" w:lineRule="auto"/>
        <w:ind w:firstLine="480" w:firstLineChars="200"/>
        <w:contextualSpacing/>
        <w:rPr>
          <w:rFonts w:ascii="宋体" w:hAnsi="宋体" w:cs="宋体"/>
          <w:bCs/>
          <w:sz w:val="24"/>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5C994C13">
      <w:pPr>
        <w:snapToGrid w:val="0"/>
        <w:spacing w:line="300" w:lineRule="auto"/>
        <w:ind w:firstLine="640" w:firstLineChars="200"/>
        <w:contextualSpacing/>
        <w:rPr>
          <w:rFonts w:ascii="宋体" w:hAnsi="宋体" w:cs="宋体"/>
          <w:kern w:val="0"/>
          <w:sz w:val="32"/>
          <w:szCs w:val="32"/>
        </w:rPr>
      </w:pPr>
      <w:r>
        <w:rPr>
          <w:rFonts w:hint="eastAsia" w:ascii="宋体" w:hAnsi="宋体" w:cs="宋体"/>
          <w:kern w:val="0"/>
          <w:sz w:val="32"/>
          <w:szCs w:val="32"/>
        </w:rPr>
        <w:t>附件4</w:t>
      </w:r>
    </w:p>
    <w:p w14:paraId="77B0B6DF">
      <w:pPr>
        <w:spacing w:line="360" w:lineRule="auto"/>
        <w:jc w:val="center"/>
        <w:rPr>
          <w:rFonts w:ascii="宋体" w:hAnsi="宋体" w:cs="宋体"/>
          <w:b/>
          <w:bCs/>
          <w:kern w:val="0"/>
          <w:sz w:val="32"/>
          <w:szCs w:val="32"/>
        </w:rPr>
      </w:pPr>
      <w:r>
        <w:rPr>
          <w:rFonts w:hint="eastAsia" w:ascii="宋体" w:hAnsi="宋体" w:cs="宋体"/>
          <w:b/>
          <w:bCs/>
          <w:kern w:val="0"/>
          <w:sz w:val="32"/>
          <w:szCs w:val="32"/>
        </w:rPr>
        <w:t>开标一览表</w:t>
      </w:r>
    </w:p>
    <w:p w14:paraId="65610539">
      <w:pPr>
        <w:spacing w:line="360" w:lineRule="auto"/>
        <w:rPr>
          <w:rFonts w:ascii="宋体" w:hAnsi="宋体" w:cs="宋体"/>
          <w:kern w:val="0"/>
          <w:sz w:val="28"/>
          <w:szCs w:val="28"/>
          <w:u w:val="single"/>
        </w:rPr>
      </w:pPr>
      <w:r>
        <w:rPr>
          <w:rFonts w:hint="eastAsia" w:ascii="宋体" w:hAnsi="宋体" w:cs="宋体"/>
          <w:kern w:val="0"/>
          <w:sz w:val="28"/>
          <w:szCs w:val="28"/>
        </w:rPr>
        <w:t>供应商全称（加盖公章）：</w:t>
      </w:r>
    </w:p>
    <w:p w14:paraId="1319D4FD">
      <w:pPr>
        <w:spacing w:line="360" w:lineRule="auto"/>
        <w:rPr>
          <w:rFonts w:ascii="宋体" w:hAnsi="宋体" w:cs="宋体"/>
          <w:kern w:val="0"/>
          <w:sz w:val="28"/>
          <w:szCs w:val="28"/>
          <w:u w:val="single"/>
        </w:rPr>
      </w:pPr>
      <w:r>
        <w:rPr>
          <w:rFonts w:hint="eastAsia" w:ascii="宋体" w:hAnsi="宋体" w:cs="宋体"/>
          <w:kern w:val="0"/>
          <w:sz w:val="28"/>
          <w:szCs w:val="28"/>
        </w:rPr>
        <w:t>项目名称：</w:t>
      </w:r>
    </w:p>
    <w:p w14:paraId="2974BE36">
      <w:pPr>
        <w:spacing w:line="360" w:lineRule="auto"/>
        <w:rPr>
          <w:rFonts w:ascii="宋体" w:hAnsi="宋体" w:cs="宋体"/>
          <w:kern w:val="0"/>
          <w:sz w:val="28"/>
          <w:szCs w:val="28"/>
        </w:rPr>
      </w:pPr>
      <w:r>
        <w:rPr>
          <w:rFonts w:hint="eastAsia" w:ascii="宋体" w:hAnsi="宋体" w:cs="宋体"/>
          <w:kern w:val="0"/>
          <w:sz w:val="28"/>
          <w:szCs w:val="28"/>
        </w:rPr>
        <w:t>项目编号：</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0"/>
        <w:gridCol w:w="4486"/>
      </w:tblGrid>
      <w:tr w14:paraId="153F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pct"/>
          </w:tcPr>
          <w:p w14:paraId="7F504B33">
            <w:pPr>
              <w:spacing w:line="360" w:lineRule="auto"/>
              <w:jc w:val="center"/>
              <w:rPr>
                <w:rFonts w:ascii="宋体" w:hAnsi="宋体" w:cs="宋体"/>
                <w:szCs w:val="22"/>
              </w:rPr>
            </w:pPr>
            <w:r>
              <w:rPr>
                <w:rFonts w:hint="eastAsia" w:ascii="宋体" w:hAnsi="宋体" w:cs="宋体"/>
                <w:kern w:val="0"/>
                <w:sz w:val="28"/>
                <w:szCs w:val="28"/>
              </w:rPr>
              <w:t>项目名称</w:t>
            </w:r>
          </w:p>
        </w:tc>
        <w:tc>
          <w:tcPr>
            <w:tcW w:w="2630" w:type="pct"/>
          </w:tcPr>
          <w:p w14:paraId="46711345">
            <w:pPr>
              <w:spacing w:line="360" w:lineRule="auto"/>
              <w:jc w:val="center"/>
              <w:rPr>
                <w:rFonts w:ascii="宋体" w:hAnsi="宋体" w:cs="宋体"/>
                <w:szCs w:val="22"/>
              </w:rPr>
            </w:pPr>
            <w:r>
              <w:rPr>
                <w:rFonts w:hint="eastAsia" w:ascii="宋体" w:hAnsi="宋体" w:cs="宋体"/>
                <w:kern w:val="0"/>
                <w:sz w:val="28"/>
                <w:szCs w:val="28"/>
              </w:rPr>
              <w:t>投标单价</w:t>
            </w:r>
          </w:p>
        </w:tc>
      </w:tr>
      <w:tr w14:paraId="075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69" w:type="pct"/>
          </w:tcPr>
          <w:p w14:paraId="322CC213">
            <w:pPr>
              <w:spacing w:line="360" w:lineRule="auto"/>
              <w:jc w:val="left"/>
              <w:rPr>
                <w:rFonts w:ascii="宋体" w:hAnsi="宋体" w:cs="宋体"/>
                <w:szCs w:val="22"/>
              </w:rPr>
            </w:pPr>
          </w:p>
        </w:tc>
        <w:tc>
          <w:tcPr>
            <w:tcW w:w="2630" w:type="pct"/>
            <w:vAlign w:val="center"/>
          </w:tcPr>
          <w:p w14:paraId="44B5440A">
            <w:pPr>
              <w:spacing w:line="360" w:lineRule="auto"/>
              <w:rPr>
                <w:rFonts w:ascii="宋体" w:hAnsi="宋体" w:cs="宋体"/>
                <w:kern w:val="0"/>
                <w:sz w:val="28"/>
                <w:szCs w:val="28"/>
              </w:rPr>
            </w:pPr>
            <w:r>
              <w:rPr>
                <w:rFonts w:hint="eastAsia" w:ascii="宋体" w:hAnsi="宋体" w:cs="宋体"/>
                <w:kern w:val="0"/>
                <w:sz w:val="28"/>
                <w:szCs w:val="28"/>
              </w:rPr>
              <w:t>大写：      元/公里</w:t>
            </w:r>
          </w:p>
          <w:p w14:paraId="380F6240">
            <w:pPr>
              <w:spacing w:line="360" w:lineRule="auto"/>
              <w:rPr>
                <w:rFonts w:ascii="宋体" w:hAnsi="宋体" w:cs="宋体"/>
                <w:szCs w:val="22"/>
                <w:u w:val="single"/>
              </w:rPr>
            </w:pPr>
            <w:r>
              <w:rPr>
                <w:rFonts w:hint="eastAsia" w:ascii="宋体" w:hAnsi="宋体" w:cs="宋体"/>
                <w:kern w:val="0"/>
                <w:sz w:val="28"/>
                <w:szCs w:val="28"/>
              </w:rPr>
              <w:t>小写：      元/公里</w:t>
            </w:r>
          </w:p>
        </w:tc>
      </w:tr>
    </w:tbl>
    <w:p w14:paraId="5DED101F">
      <w:pPr>
        <w:spacing w:line="360" w:lineRule="auto"/>
        <w:rPr>
          <w:rFonts w:ascii="宋体" w:hAnsi="宋体" w:cs="宋体"/>
          <w:kern w:val="0"/>
          <w:sz w:val="28"/>
          <w:szCs w:val="28"/>
        </w:rPr>
      </w:pPr>
      <w:r>
        <w:rPr>
          <w:rFonts w:hint="eastAsia" w:ascii="宋体" w:hAnsi="宋体" w:cs="宋体"/>
          <w:kern w:val="0"/>
          <w:sz w:val="28"/>
          <w:szCs w:val="28"/>
        </w:rPr>
        <w:t>日期：</w:t>
      </w:r>
    </w:p>
    <w:p w14:paraId="5E8D289E">
      <w:pPr>
        <w:spacing w:line="360" w:lineRule="auto"/>
        <w:rPr>
          <w:rFonts w:ascii="宋体" w:hAnsi="宋体" w:cs="宋体"/>
          <w:kern w:val="0"/>
          <w:sz w:val="28"/>
          <w:szCs w:val="28"/>
        </w:rPr>
      </w:pPr>
      <w:r>
        <w:rPr>
          <w:rFonts w:hint="eastAsia" w:ascii="宋体" w:hAnsi="宋体" w:cs="宋体"/>
          <w:kern w:val="0"/>
          <w:sz w:val="28"/>
          <w:szCs w:val="28"/>
        </w:rPr>
        <w:t>填写说明：报价总表必须加盖供应商公章（复印件无效）。</w:t>
      </w:r>
    </w:p>
    <w:p w14:paraId="08545B25">
      <w:pPr>
        <w:snapToGrid w:val="0"/>
        <w:spacing w:line="360" w:lineRule="auto"/>
        <w:contextualSpacing/>
        <w:rPr>
          <w:rFonts w:ascii="宋体" w:hAnsi="宋体" w:cs="宋体"/>
          <w:bCs/>
          <w:kern w:val="0"/>
          <w:sz w:val="28"/>
          <w:szCs w:val="28"/>
        </w:rPr>
      </w:pPr>
    </w:p>
    <w:p w14:paraId="6605D554">
      <w:pPr>
        <w:snapToGrid w:val="0"/>
        <w:spacing w:line="360" w:lineRule="auto"/>
        <w:ind w:firstLine="540" w:firstLineChars="192"/>
        <w:contextualSpacing/>
        <w:rPr>
          <w:rFonts w:ascii="宋体" w:hAnsi="宋体" w:cs="宋体"/>
          <w:b/>
          <w:kern w:val="0"/>
          <w:sz w:val="28"/>
          <w:szCs w:val="28"/>
        </w:rPr>
      </w:pPr>
    </w:p>
    <w:p w14:paraId="1DBF89AD">
      <w:pPr>
        <w:snapToGrid w:val="0"/>
        <w:spacing w:line="360" w:lineRule="auto"/>
        <w:ind w:firstLine="540" w:firstLineChars="192"/>
        <w:contextualSpacing/>
        <w:rPr>
          <w:rFonts w:ascii="宋体" w:hAnsi="宋体" w:cs="宋体"/>
          <w:b/>
          <w:kern w:val="0"/>
          <w:sz w:val="28"/>
          <w:szCs w:val="28"/>
        </w:rPr>
      </w:pPr>
    </w:p>
    <w:p w14:paraId="4025BF1D">
      <w:pPr>
        <w:snapToGrid w:val="0"/>
        <w:spacing w:line="360" w:lineRule="auto"/>
        <w:ind w:firstLine="540" w:firstLineChars="192"/>
        <w:contextualSpacing/>
        <w:rPr>
          <w:rFonts w:ascii="宋体" w:hAnsi="宋体" w:cs="宋体"/>
          <w:b/>
          <w:kern w:val="0"/>
          <w:sz w:val="28"/>
          <w:szCs w:val="28"/>
        </w:rPr>
      </w:pPr>
    </w:p>
    <w:p w14:paraId="6A8FEE24">
      <w:pPr>
        <w:snapToGrid w:val="0"/>
        <w:spacing w:line="360" w:lineRule="auto"/>
        <w:ind w:firstLine="540" w:firstLineChars="192"/>
        <w:contextualSpacing/>
        <w:rPr>
          <w:rFonts w:ascii="宋体" w:hAnsi="宋体" w:cs="宋体"/>
          <w:b/>
          <w:kern w:val="0"/>
          <w:sz w:val="28"/>
          <w:szCs w:val="28"/>
        </w:rPr>
      </w:pPr>
    </w:p>
    <w:p w14:paraId="6F78EB14">
      <w:pPr>
        <w:snapToGrid w:val="0"/>
        <w:spacing w:line="360" w:lineRule="auto"/>
        <w:ind w:firstLine="540" w:firstLineChars="192"/>
        <w:contextualSpacing/>
        <w:rPr>
          <w:rFonts w:ascii="宋体" w:hAnsi="宋体" w:cs="宋体"/>
          <w:b/>
          <w:kern w:val="0"/>
          <w:sz w:val="28"/>
          <w:szCs w:val="28"/>
        </w:rPr>
      </w:pPr>
    </w:p>
    <w:p w14:paraId="5B6AD093">
      <w:pPr>
        <w:spacing w:line="360" w:lineRule="auto"/>
        <w:jc w:val="left"/>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附件5</w:t>
      </w:r>
    </w:p>
    <w:p w14:paraId="5406EED3">
      <w:pPr>
        <w:spacing w:before="240" w:line="360" w:lineRule="auto"/>
        <w:jc w:val="center"/>
        <w:rPr>
          <w:rFonts w:ascii="宋体" w:hAnsi="宋体" w:cs="宋体"/>
          <w:b/>
          <w:sz w:val="32"/>
          <w:szCs w:val="32"/>
        </w:rPr>
      </w:pPr>
      <w:r>
        <w:rPr>
          <w:rFonts w:hint="eastAsia" w:ascii="宋体" w:hAnsi="宋体" w:cs="宋体"/>
          <w:b/>
          <w:sz w:val="32"/>
          <w:szCs w:val="32"/>
        </w:rPr>
        <w:t>供应商信用承诺书</w:t>
      </w:r>
    </w:p>
    <w:p w14:paraId="5ECD09B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为营造公开、公平、公正的公共资源交易环境，树立诚信守法的投标人形象，本人代表本单位作出以下承诺：</w:t>
      </w:r>
    </w:p>
    <w:p w14:paraId="44EE95D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一、本单位对所提交的单位基本信息、单位负责人、项目负责人、技术负责人、从业资质和资格、业绩、财务状况、信誉等所有资料，均合法、真实、准确、有效，无任何伪造、修改、虚假成分；</w:t>
      </w:r>
    </w:p>
    <w:p w14:paraId="037F779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二、严格依照国家和省、市、县关于政府招标等方面的法律法规、规章、规范性文件，参加</w:t>
      </w:r>
      <w:r>
        <w:rPr>
          <w:rFonts w:hint="eastAsia" w:ascii="宋体" w:hAnsi="宋体" w:cs="宋体"/>
          <w:kern w:val="0"/>
          <w:sz w:val="24"/>
        </w:rPr>
        <w:t>招标人组织的</w:t>
      </w:r>
      <w:r>
        <w:rPr>
          <w:rFonts w:hint="eastAsia" w:ascii="宋体" w:hAnsi="宋体" w:cs="宋体"/>
          <w:kern w:val="0"/>
          <w:sz w:val="24"/>
          <w:lang w:val="zh-CN"/>
        </w:rPr>
        <w:t>招标投标活动；积极履行社会责任，促进廉政建设；</w:t>
      </w:r>
    </w:p>
    <w:p w14:paraId="17B08F5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三、严格遵守即时信息公示规定，及时更新公共资源交易中心主体信息库中信息；</w:t>
      </w:r>
    </w:p>
    <w:p w14:paraId="44BEAAA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四、自我约束、自我管理，守合同、重信用，不参与围标串标、弄虚作假、骗取中标、干扰评标、违约毁约、恶意投诉等行为，主动维护公共资源交易招标投标的良好秩序；</w:t>
      </w:r>
    </w:p>
    <w:p w14:paraId="2AC7E82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750C136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六、自觉接受政府部门、行业组织、社会公众、新闻舆论等监督；</w:t>
      </w:r>
    </w:p>
    <w:p w14:paraId="17EB263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七、上述承诺已向本单位员工做了宣传教育；</w:t>
      </w:r>
    </w:p>
    <w:p w14:paraId="747AF072">
      <w:pPr>
        <w:tabs>
          <w:tab w:val="left" w:pos="4860"/>
        </w:tabs>
        <w:spacing w:line="360" w:lineRule="auto"/>
        <w:ind w:right="1560"/>
        <w:jc w:val="left"/>
        <w:rPr>
          <w:rFonts w:ascii="宋体" w:hAnsi="宋体" w:cs="宋体"/>
          <w:b/>
          <w:kern w:val="0"/>
          <w:sz w:val="24"/>
          <w:lang w:val="zh-CN"/>
        </w:rPr>
      </w:pPr>
      <w:r>
        <w:rPr>
          <w:rFonts w:hint="eastAsia" w:ascii="宋体" w:hAnsi="宋体" w:cs="宋体"/>
          <w:b/>
          <w:kern w:val="0"/>
          <w:sz w:val="24"/>
          <w:lang w:val="zh-CN"/>
        </w:rPr>
        <w:t>如有违反上述承诺的不良行为，本单位同意将其予以上网公示。</w:t>
      </w:r>
    </w:p>
    <w:p w14:paraId="0F713863">
      <w:pPr>
        <w:spacing w:line="360" w:lineRule="auto"/>
        <w:ind w:firstLine="3080" w:firstLineChars="1100"/>
        <w:rPr>
          <w:rFonts w:ascii="宋体" w:hAnsi="宋体" w:cs="宋体"/>
          <w:sz w:val="28"/>
          <w:szCs w:val="28"/>
        </w:rPr>
      </w:pPr>
    </w:p>
    <w:p w14:paraId="42E97C34">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投标供应商全称（盖公章）：</w:t>
      </w:r>
    </w:p>
    <w:p w14:paraId="4B4676BE">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rPr>
        <w:t>法定代表人（签字或盖章）：</w:t>
      </w:r>
    </w:p>
    <w:p w14:paraId="110C13A5">
      <w:pPr>
        <w:spacing w:line="360" w:lineRule="auto"/>
        <w:ind w:firstLine="3080" w:firstLineChars="1100"/>
        <w:rPr>
          <w:rFonts w:ascii="宋体" w:hAnsi="宋体" w:cs="宋体"/>
          <w:kern w:val="0"/>
          <w:sz w:val="28"/>
          <w:szCs w:val="28"/>
          <w:lang w:val="zh-CN"/>
        </w:rPr>
      </w:pPr>
      <w:r>
        <w:rPr>
          <w:rFonts w:hint="eastAsia" w:ascii="宋体" w:hAnsi="宋体" w:cs="宋体"/>
          <w:kern w:val="0"/>
          <w:sz w:val="28"/>
          <w:szCs w:val="28"/>
          <w:lang w:val="zh-CN"/>
        </w:rPr>
        <w:t>时间：  年  月   日</w:t>
      </w:r>
    </w:p>
    <w:p w14:paraId="0983CFAE">
      <w:pPr>
        <w:spacing w:line="360" w:lineRule="auto"/>
        <w:rPr>
          <w:rFonts w:ascii="宋体" w:hAnsi="宋体" w:cs="宋体"/>
        </w:rPr>
      </w:pPr>
    </w:p>
    <w:p w14:paraId="712BDC50">
      <w:pPr>
        <w:spacing w:line="360" w:lineRule="auto"/>
        <w:rPr>
          <w:rFonts w:ascii="宋体" w:hAnsi="宋体" w:cs="宋体"/>
        </w:rPr>
      </w:pPr>
    </w:p>
    <w:p w14:paraId="04CF3C5A">
      <w:pPr>
        <w:snapToGrid w:val="0"/>
        <w:spacing w:line="360" w:lineRule="auto"/>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附件6</w:t>
      </w:r>
    </w:p>
    <w:p w14:paraId="285275BC">
      <w:pPr>
        <w:spacing w:line="360" w:lineRule="auto"/>
        <w:jc w:val="center"/>
        <w:rPr>
          <w:rFonts w:ascii="宋体" w:hAnsi="宋体" w:cs="宋体"/>
          <w:bCs/>
          <w:sz w:val="40"/>
          <w:szCs w:val="40"/>
        </w:rPr>
      </w:pPr>
      <w:r>
        <w:rPr>
          <w:rFonts w:hint="eastAsia" w:ascii="宋体" w:hAnsi="宋体" w:cs="宋体"/>
          <w:bCs/>
          <w:sz w:val="40"/>
          <w:szCs w:val="40"/>
        </w:rPr>
        <w:t>质疑函范本</w:t>
      </w:r>
    </w:p>
    <w:p w14:paraId="3E21AAF9">
      <w:pPr>
        <w:adjustRightInd w:val="0"/>
        <w:snapToGrid w:val="0"/>
        <w:spacing w:before="312" w:beforeLines="100" w:line="360" w:lineRule="auto"/>
        <w:rPr>
          <w:rFonts w:ascii="宋体" w:hAnsi="宋体" w:cs="宋体"/>
          <w:bCs/>
          <w:sz w:val="28"/>
          <w:szCs w:val="28"/>
        </w:rPr>
      </w:pPr>
      <w:r>
        <w:rPr>
          <w:rFonts w:hint="eastAsia" w:ascii="宋体" w:hAnsi="宋体" w:cs="宋体"/>
          <w:bCs/>
          <w:sz w:val="28"/>
          <w:szCs w:val="28"/>
        </w:rPr>
        <w:t>一、质疑供应商基本信息</w:t>
      </w:r>
    </w:p>
    <w:p w14:paraId="262F8710">
      <w:pPr>
        <w:adjustRightInd w:val="0"/>
        <w:snapToGrid w:val="0"/>
        <w:spacing w:line="360" w:lineRule="auto"/>
        <w:rPr>
          <w:rFonts w:ascii="宋体" w:hAnsi="宋体" w:cs="宋体"/>
          <w:sz w:val="28"/>
          <w:szCs w:val="28"/>
          <w:u w:val="dotted"/>
        </w:rPr>
      </w:pPr>
      <w:r>
        <w:rPr>
          <w:rFonts w:hint="eastAsia" w:ascii="宋体" w:hAnsi="宋体" w:cs="宋体"/>
          <w:sz w:val="28"/>
          <w:szCs w:val="28"/>
        </w:rPr>
        <w:t>质疑供应商：</w:t>
      </w:r>
    </w:p>
    <w:p w14:paraId="67F5F434">
      <w:pPr>
        <w:adjustRightInd w:val="0"/>
        <w:snapToGrid w:val="0"/>
        <w:spacing w:line="360" w:lineRule="auto"/>
        <w:rPr>
          <w:rFonts w:ascii="宋体" w:hAnsi="宋体" w:cs="宋体"/>
          <w:sz w:val="28"/>
          <w:szCs w:val="28"/>
        </w:rPr>
      </w:pPr>
      <w:r>
        <w:rPr>
          <w:rFonts w:hint="eastAsia" w:ascii="宋体" w:hAnsi="宋体" w:cs="宋体"/>
          <w:sz w:val="28"/>
          <w:szCs w:val="28"/>
        </w:rPr>
        <w:t>地址：邮编：</w:t>
      </w:r>
    </w:p>
    <w:p w14:paraId="7529CBC7">
      <w:pPr>
        <w:adjustRightInd w:val="0"/>
        <w:snapToGrid w:val="0"/>
        <w:spacing w:line="360" w:lineRule="auto"/>
        <w:rPr>
          <w:rFonts w:ascii="宋体" w:hAnsi="宋体" w:cs="宋体"/>
          <w:sz w:val="28"/>
          <w:szCs w:val="28"/>
        </w:rPr>
      </w:pPr>
      <w:r>
        <w:rPr>
          <w:rFonts w:hint="eastAsia" w:ascii="宋体" w:hAnsi="宋体" w:cs="宋体"/>
          <w:sz w:val="28"/>
          <w:szCs w:val="28"/>
        </w:rPr>
        <w:t>联系人：联系电话：</w:t>
      </w:r>
    </w:p>
    <w:p w14:paraId="3786A9FF">
      <w:pPr>
        <w:adjustRightInd w:val="0"/>
        <w:snapToGrid w:val="0"/>
        <w:spacing w:line="360" w:lineRule="auto"/>
        <w:rPr>
          <w:rFonts w:ascii="宋体" w:hAnsi="宋体" w:cs="宋体"/>
          <w:sz w:val="28"/>
          <w:szCs w:val="28"/>
          <w:u w:val="dotted"/>
        </w:rPr>
      </w:pPr>
      <w:r>
        <w:rPr>
          <w:rFonts w:hint="eastAsia" w:ascii="宋体" w:hAnsi="宋体" w:cs="宋体"/>
          <w:sz w:val="28"/>
          <w:szCs w:val="28"/>
        </w:rPr>
        <w:t>授权代表：</w:t>
      </w:r>
    </w:p>
    <w:p w14:paraId="75D3DD38">
      <w:pPr>
        <w:adjustRightInd w:val="0"/>
        <w:snapToGrid w:val="0"/>
        <w:spacing w:line="360" w:lineRule="auto"/>
        <w:rPr>
          <w:rFonts w:ascii="宋体" w:hAnsi="宋体" w:cs="宋体"/>
          <w:sz w:val="28"/>
          <w:szCs w:val="28"/>
        </w:rPr>
      </w:pPr>
      <w:r>
        <w:rPr>
          <w:rFonts w:hint="eastAsia" w:ascii="宋体" w:hAnsi="宋体" w:cs="宋体"/>
          <w:sz w:val="28"/>
          <w:szCs w:val="28"/>
        </w:rPr>
        <w:t>联系电话：</w:t>
      </w:r>
    </w:p>
    <w:p w14:paraId="7DC14068">
      <w:pPr>
        <w:adjustRightInd w:val="0"/>
        <w:snapToGrid w:val="0"/>
        <w:spacing w:line="360" w:lineRule="auto"/>
        <w:rPr>
          <w:rFonts w:ascii="宋体" w:hAnsi="宋体" w:cs="宋体"/>
          <w:sz w:val="28"/>
          <w:szCs w:val="28"/>
        </w:rPr>
      </w:pPr>
      <w:r>
        <w:rPr>
          <w:rFonts w:hint="eastAsia" w:ascii="宋体" w:hAnsi="宋体" w:cs="宋体"/>
          <w:sz w:val="28"/>
          <w:szCs w:val="28"/>
        </w:rPr>
        <w:t>地址：邮编：</w:t>
      </w:r>
    </w:p>
    <w:p w14:paraId="73414F88">
      <w:pPr>
        <w:adjustRightInd w:val="0"/>
        <w:snapToGrid w:val="0"/>
        <w:spacing w:line="360" w:lineRule="auto"/>
        <w:rPr>
          <w:rFonts w:ascii="宋体" w:hAnsi="宋体" w:cs="宋体"/>
          <w:bCs/>
          <w:sz w:val="28"/>
          <w:szCs w:val="28"/>
        </w:rPr>
      </w:pPr>
      <w:r>
        <w:rPr>
          <w:rFonts w:hint="eastAsia" w:ascii="宋体" w:hAnsi="宋体" w:cs="宋体"/>
          <w:bCs/>
          <w:sz w:val="28"/>
          <w:szCs w:val="28"/>
        </w:rPr>
        <w:t>二、质疑项目基本情况</w:t>
      </w:r>
    </w:p>
    <w:p w14:paraId="4028226C">
      <w:pPr>
        <w:adjustRightInd w:val="0"/>
        <w:snapToGrid w:val="0"/>
        <w:spacing w:line="360" w:lineRule="auto"/>
        <w:rPr>
          <w:rFonts w:ascii="宋体" w:hAnsi="宋体" w:cs="宋体"/>
          <w:sz w:val="28"/>
          <w:szCs w:val="28"/>
        </w:rPr>
      </w:pPr>
      <w:r>
        <w:rPr>
          <w:rFonts w:hint="eastAsia" w:ascii="宋体" w:hAnsi="宋体" w:cs="宋体"/>
          <w:sz w:val="28"/>
          <w:szCs w:val="28"/>
        </w:rPr>
        <w:t>质疑项目的名称：</w:t>
      </w:r>
    </w:p>
    <w:p w14:paraId="18820741">
      <w:pPr>
        <w:adjustRightInd w:val="0"/>
        <w:snapToGrid w:val="0"/>
        <w:spacing w:line="360" w:lineRule="auto"/>
        <w:rPr>
          <w:rFonts w:ascii="宋体" w:hAnsi="宋体" w:cs="宋体"/>
          <w:sz w:val="28"/>
          <w:szCs w:val="28"/>
        </w:rPr>
      </w:pPr>
      <w:r>
        <w:rPr>
          <w:rFonts w:hint="eastAsia" w:ascii="宋体" w:hAnsi="宋体" w:cs="宋体"/>
          <w:sz w:val="28"/>
          <w:szCs w:val="28"/>
        </w:rPr>
        <w:t>质疑项目的编号：包号：</w:t>
      </w:r>
    </w:p>
    <w:p w14:paraId="19A2C8D1">
      <w:pPr>
        <w:adjustRightInd w:val="0"/>
        <w:snapToGrid w:val="0"/>
        <w:spacing w:line="360" w:lineRule="auto"/>
        <w:rPr>
          <w:rFonts w:ascii="宋体" w:hAnsi="宋体" w:cs="宋体"/>
          <w:sz w:val="28"/>
          <w:szCs w:val="28"/>
          <w:u w:val="dotted"/>
        </w:rPr>
      </w:pPr>
      <w:r>
        <w:rPr>
          <w:rFonts w:hint="eastAsia" w:ascii="宋体" w:hAnsi="宋体" w:cs="宋体"/>
          <w:sz w:val="28"/>
          <w:szCs w:val="28"/>
        </w:rPr>
        <w:t>招标人名称：</w:t>
      </w:r>
    </w:p>
    <w:p w14:paraId="3C3FC4B4">
      <w:pPr>
        <w:adjustRightInd w:val="0"/>
        <w:snapToGrid w:val="0"/>
        <w:spacing w:line="360" w:lineRule="auto"/>
        <w:rPr>
          <w:rFonts w:ascii="宋体" w:hAnsi="宋体" w:cs="宋体"/>
          <w:sz w:val="28"/>
          <w:szCs w:val="28"/>
        </w:rPr>
      </w:pPr>
      <w:r>
        <w:rPr>
          <w:rFonts w:hint="eastAsia" w:ascii="宋体" w:hAnsi="宋体" w:cs="宋体"/>
          <w:sz w:val="28"/>
          <w:szCs w:val="28"/>
        </w:rPr>
        <w:t>招标文件获取日期：</w:t>
      </w:r>
    </w:p>
    <w:p w14:paraId="711592A2">
      <w:pPr>
        <w:adjustRightInd w:val="0"/>
        <w:snapToGrid w:val="0"/>
        <w:spacing w:line="360" w:lineRule="auto"/>
        <w:rPr>
          <w:rFonts w:ascii="宋体" w:hAnsi="宋体" w:cs="宋体"/>
          <w:bCs/>
          <w:sz w:val="28"/>
          <w:szCs w:val="28"/>
        </w:rPr>
      </w:pPr>
      <w:r>
        <w:rPr>
          <w:rFonts w:hint="eastAsia" w:ascii="宋体" w:hAnsi="宋体" w:cs="宋体"/>
          <w:bCs/>
          <w:sz w:val="28"/>
          <w:szCs w:val="28"/>
        </w:rPr>
        <w:t>三、质疑事项具体内容</w:t>
      </w:r>
    </w:p>
    <w:p w14:paraId="532E5562">
      <w:pPr>
        <w:adjustRightInd w:val="0"/>
        <w:snapToGrid w:val="0"/>
        <w:spacing w:line="360" w:lineRule="auto"/>
        <w:rPr>
          <w:rFonts w:ascii="宋体" w:hAnsi="宋体" w:cs="宋体"/>
          <w:sz w:val="28"/>
          <w:szCs w:val="28"/>
          <w:u w:val="dotted"/>
        </w:rPr>
      </w:pPr>
      <w:r>
        <w:rPr>
          <w:rFonts w:hint="eastAsia" w:ascii="宋体" w:hAnsi="宋体" w:cs="宋体"/>
          <w:sz w:val="28"/>
          <w:szCs w:val="28"/>
        </w:rPr>
        <w:t>质疑事项1：</w:t>
      </w:r>
    </w:p>
    <w:p w14:paraId="280BE9AD">
      <w:pPr>
        <w:adjustRightInd w:val="0"/>
        <w:snapToGrid w:val="0"/>
        <w:spacing w:line="360" w:lineRule="auto"/>
        <w:rPr>
          <w:rFonts w:ascii="宋体" w:hAnsi="宋体" w:cs="宋体"/>
          <w:sz w:val="28"/>
          <w:szCs w:val="28"/>
          <w:u w:val="dotted"/>
        </w:rPr>
      </w:pPr>
      <w:r>
        <w:rPr>
          <w:rFonts w:hint="eastAsia" w:ascii="宋体" w:hAnsi="宋体" w:cs="宋体"/>
          <w:sz w:val="28"/>
          <w:szCs w:val="28"/>
        </w:rPr>
        <w:t>事实依据：</w:t>
      </w:r>
    </w:p>
    <w:p w14:paraId="4B1AF99D">
      <w:pPr>
        <w:adjustRightInd w:val="0"/>
        <w:snapToGrid w:val="0"/>
        <w:spacing w:line="360" w:lineRule="auto"/>
        <w:rPr>
          <w:rFonts w:ascii="宋体" w:hAnsi="宋体" w:cs="宋体"/>
          <w:sz w:val="28"/>
          <w:szCs w:val="28"/>
        </w:rPr>
      </w:pPr>
    </w:p>
    <w:p w14:paraId="1EAA8E61">
      <w:pPr>
        <w:adjustRightInd w:val="0"/>
        <w:snapToGrid w:val="0"/>
        <w:spacing w:line="360" w:lineRule="auto"/>
        <w:rPr>
          <w:rFonts w:ascii="宋体" w:hAnsi="宋体" w:cs="宋体"/>
          <w:sz w:val="28"/>
          <w:szCs w:val="28"/>
          <w:u w:val="dotted"/>
        </w:rPr>
      </w:pPr>
      <w:r>
        <w:rPr>
          <w:rFonts w:hint="eastAsia" w:ascii="宋体" w:hAnsi="宋体" w:cs="宋体"/>
          <w:sz w:val="28"/>
          <w:szCs w:val="28"/>
        </w:rPr>
        <w:t>法律依据：</w:t>
      </w:r>
    </w:p>
    <w:p w14:paraId="164C060C">
      <w:pPr>
        <w:adjustRightInd w:val="0"/>
        <w:snapToGrid w:val="0"/>
        <w:spacing w:line="360" w:lineRule="auto"/>
        <w:rPr>
          <w:rFonts w:ascii="宋体" w:hAnsi="宋体" w:cs="宋体"/>
          <w:sz w:val="28"/>
          <w:szCs w:val="28"/>
          <w:u w:val="dotted"/>
        </w:rPr>
      </w:pPr>
    </w:p>
    <w:p w14:paraId="52CFF488">
      <w:pPr>
        <w:adjustRightInd w:val="0"/>
        <w:snapToGrid w:val="0"/>
        <w:spacing w:line="360" w:lineRule="auto"/>
        <w:rPr>
          <w:rFonts w:ascii="宋体" w:hAnsi="宋体" w:cs="宋体"/>
          <w:sz w:val="28"/>
          <w:szCs w:val="28"/>
          <w:u w:val="dotted"/>
        </w:rPr>
      </w:pPr>
      <w:r>
        <w:rPr>
          <w:rFonts w:hint="eastAsia" w:ascii="宋体" w:hAnsi="宋体" w:cs="宋体"/>
          <w:sz w:val="28"/>
          <w:szCs w:val="28"/>
        </w:rPr>
        <w:t>质疑事项2</w:t>
      </w:r>
    </w:p>
    <w:p w14:paraId="617748C3">
      <w:pPr>
        <w:adjustRightInd w:val="0"/>
        <w:snapToGrid w:val="0"/>
        <w:spacing w:line="360" w:lineRule="auto"/>
        <w:rPr>
          <w:rFonts w:ascii="宋体" w:hAnsi="宋体" w:cs="宋体"/>
          <w:sz w:val="28"/>
          <w:szCs w:val="28"/>
        </w:rPr>
      </w:pPr>
      <w:r>
        <w:rPr>
          <w:rFonts w:hint="eastAsia" w:ascii="宋体" w:hAnsi="宋体" w:cs="宋体"/>
          <w:sz w:val="28"/>
          <w:szCs w:val="28"/>
        </w:rPr>
        <w:t>……</w:t>
      </w:r>
    </w:p>
    <w:p w14:paraId="7C16BA2B">
      <w:pPr>
        <w:adjustRightInd w:val="0"/>
        <w:snapToGrid w:val="0"/>
        <w:spacing w:line="360" w:lineRule="auto"/>
        <w:rPr>
          <w:rFonts w:ascii="宋体" w:hAnsi="宋体" w:cs="宋体"/>
          <w:bCs/>
          <w:sz w:val="28"/>
          <w:szCs w:val="28"/>
        </w:rPr>
      </w:pPr>
      <w:r>
        <w:rPr>
          <w:rFonts w:hint="eastAsia" w:ascii="宋体" w:hAnsi="宋体" w:cs="宋体"/>
          <w:bCs/>
          <w:sz w:val="28"/>
          <w:szCs w:val="28"/>
        </w:rPr>
        <w:t>四、与质疑事项相关的质疑请求</w:t>
      </w:r>
    </w:p>
    <w:p w14:paraId="0F0E14BB">
      <w:pPr>
        <w:adjustRightInd w:val="0"/>
        <w:snapToGrid w:val="0"/>
        <w:spacing w:line="360" w:lineRule="auto"/>
        <w:rPr>
          <w:rFonts w:ascii="宋体" w:hAnsi="宋体" w:cs="宋体"/>
          <w:sz w:val="28"/>
          <w:szCs w:val="28"/>
          <w:u w:val="dotted"/>
        </w:rPr>
      </w:pPr>
      <w:r>
        <w:rPr>
          <w:rFonts w:hint="eastAsia" w:ascii="宋体" w:hAnsi="宋体" w:cs="宋体"/>
          <w:sz w:val="28"/>
          <w:szCs w:val="28"/>
        </w:rPr>
        <w:t>请求：</w:t>
      </w:r>
    </w:p>
    <w:p w14:paraId="782C456A">
      <w:pPr>
        <w:spacing w:line="360" w:lineRule="auto"/>
        <w:rPr>
          <w:rFonts w:ascii="宋体" w:hAnsi="宋体" w:cs="宋体"/>
          <w:sz w:val="28"/>
          <w:szCs w:val="28"/>
        </w:rPr>
      </w:pPr>
      <w:r>
        <w:rPr>
          <w:rFonts w:hint="eastAsia" w:ascii="宋体" w:hAnsi="宋体" w:cs="宋体"/>
          <w:sz w:val="28"/>
          <w:szCs w:val="28"/>
        </w:rPr>
        <w:t xml:space="preserve">签字（签章）：                   公章：                      </w:t>
      </w:r>
    </w:p>
    <w:p w14:paraId="05378701">
      <w:pPr>
        <w:spacing w:line="360" w:lineRule="auto"/>
        <w:rPr>
          <w:rFonts w:ascii="宋体" w:hAnsi="宋体" w:cs="宋体"/>
          <w:sz w:val="28"/>
          <w:szCs w:val="28"/>
        </w:rPr>
      </w:pPr>
      <w:r>
        <w:rPr>
          <w:rFonts w:hint="eastAsia" w:ascii="宋体" w:hAnsi="宋体" w:cs="宋体"/>
          <w:sz w:val="28"/>
          <w:szCs w:val="28"/>
        </w:rPr>
        <w:t xml:space="preserve">日期：    </w:t>
      </w:r>
    </w:p>
    <w:p w14:paraId="455BCAFD">
      <w:pPr>
        <w:adjustRightInd w:val="0"/>
        <w:snapToGrid w:val="0"/>
        <w:spacing w:line="360" w:lineRule="auto"/>
        <w:rPr>
          <w:rFonts w:ascii="宋体" w:hAnsi="宋体" w:cs="宋体"/>
          <w:sz w:val="28"/>
          <w:szCs w:val="28"/>
        </w:rPr>
      </w:pPr>
    </w:p>
    <w:p w14:paraId="3B8B546F">
      <w:pPr>
        <w:spacing w:line="360" w:lineRule="auto"/>
        <w:rPr>
          <w:rFonts w:ascii="宋体" w:hAnsi="宋体" w:cs="宋体"/>
          <w:b/>
          <w:sz w:val="28"/>
          <w:szCs w:val="28"/>
        </w:rPr>
      </w:pPr>
    </w:p>
    <w:p w14:paraId="1CA09088">
      <w:pPr>
        <w:spacing w:line="360" w:lineRule="auto"/>
        <w:rPr>
          <w:rFonts w:ascii="宋体" w:hAnsi="宋体" w:cs="宋体"/>
          <w:b/>
          <w:sz w:val="28"/>
          <w:szCs w:val="28"/>
        </w:rPr>
      </w:pPr>
    </w:p>
    <w:p w14:paraId="68F3D950">
      <w:pPr>
        <w:spacing w:line="360" w:lineRule="auto"/>
        <w:rPr>
          <w:rFonts w:ascii="宋体" w:hAnsi="宋体" w:cs="宋体"/>
          <w:b/>
          <w:sz w:val="28"/>
          <w:szCs w:val="28"/>
        </w:rPr>
      </w:pPr>
      <w:r>
        <w:rPr>
          <w:rFonts w:hint="eastAsia" w:ascii="宋体" w:hAnsi="宋体" w:cs="宋体"/>
          <w:b/>
          <w:sz w:val="28"/>
          <w:szCs w:val="28"/>
        </w:rPr>
        <w:t>质疑函制作说明：</w:t>
      </w:r>
    </w:p>
    <w:p w14:paraId="38AB6377">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7F016D72">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159EB8F8">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2F082341">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1E958128">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17412582">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5EF9AC91">
      <w:pPr>
        <w:widowControl/>
        <w:ind w:firstLine="560" w:firstLineChars="200"/>
        <w:jc w:val="left"/>
        <w:rPr>
          <w:rFonts w:ascii="宋体" w:hAnsi="宋体" w:cs="宋体"/>
          <w:sz w:val="28"/>
          <w:szCs w:val="28"/>
        </w:rPr>
      </w:pPr>
    </w:p>
    <w:sectPr>
      <w:headerReference r:id="rId5" w:type="default"/>
      <w:footerReference r:id="rId6"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Verdana"/>
    <w:panose1 w:val="02010601000101010101"/>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28844"/>
    </w:sdtPr>
    <w:sdtContent>
      <w:sdt>
        <w:sdtPr>
          <w:id w:val="171357217"/>
        </w:sdtPr>
        <w:sdtContent>
          <w:p w14:paraId="7CB609DA">
            <w:pPr>
              <w:pStyle w:val="2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p w14:paraId="76E9A96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8429">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098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980" cy="131445"/>
                      </a:xfrm>
                      <a:prstGeom prst="rect">
                        <a:avLst/>
                      </a:prstGeom>
                      <a:noFill/>
                      <a:ln>
                        <a:noFill/>
                      </a:ln>
                      <a:effectLst/>
                    </wps:spPr>
                    <wps:txbx>
                      <w:txbxContent>
                        <w:p w14:paraId="16E44656">
                          <w:pPr>
                            <w:pStyle w:val="25"/>
                          </w:pPr>
                          <w:r>
                            <w:fldChar w:fldCharType="begin"/>
                          </w:r>
                          <w:r>
                            <w:instrText xml:space="preserve"> PAGE  \* MERGEFORMAT </w:instrText>
                          </w:r>
                          <w:r>
                            <w:fldChar w:fldCharType="separate"/>
                          </w:r>
                          <w:r>
                            <w:t>38</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0.35pt;width:17.4pt;mso-position-horizontal:center;mso-position-horizontal-relative:margin;z-index:251659264;mso-width-relative:page;mso-height-relative:page;" filled="f" stroked="f" coordsize="21600,21600" o:gfxdata="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QXFk0gAAAAMBAAAPAAAAAAAAAAEAIAAAACIAAABkcnMvZG93&#10;bnJldi54bWxQSwECFAAUAAAACACHTuJA8FWd7c0BAACbAwAADgAAAAAAAAABACAAAAAhAQAAZHJz&#10;L2Uyb0RvYy54bWxQSwUGAAAAAAYABgBZAQAAYAUAAAAA&#10;">
              <v:fill on="f" focussize="0,0"/>
              <v:stroke on="f"/>
              <v:imagedata o:title=""/>
              <o:lock v:ext="edit" aspectratio="f"/>
              <v:textbox inset="0mm,0mm,0mm,0mm" style="mso-fit-shape-to-text:t;">
                <w:txbxContent>
                  <w:p w14:paraId="16E44656">
                    <w:pPr>
                      <w:pStyle w:val="2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2605">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D0B8">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5EAA77CE"/>
    <w:multiLevelType w:val="multilevel"/>
    <w:tmpl w:val="5EAA77C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JmOTYxNTk2YmY0MDIwYzUwNTc3OTVlNjE0MDIifQ=="/>
    <w:docVar w:name="KGWebUrl" w:val="http://jszfcg.jsczt.cn/jszc/gateWay/joffice/office?access_token=300b1800-803d-425e-b7b3-99806d8150e4"/>
    <w:docVar w:name="KSO_WPS_MARK_KEY" w:val="dc9524e9-0d5f-4bc5-b642-c69acf49d3a8"/>
  </w:docVars>
  <w:rsids>
    <w:rsidRoot w:val="00172A27"/>
    <w:rsid w:val="00000546"/>
    <w:rsid w:val="00000AB2"/>
    <w:rsid w:val="00001556"/>
    <w:rsid w:val="00001A88"/>
    <w:rsid w:val="00002A9B"/>
    <w:rsid w:val="00005EBA"/>
    <w:rsid w:val="000065AF"/>
    <w:rsid w:val="000103FA"/>
    <w:rsid w:val="00010733"/>
    <w:rsid w:val="0001111D"/>
    <w:rsid w:val="00011C32"/>
    <w:rsid w:val="00012EF0"/>
    <w:rsid w:val="000140D0"/>
    <w:rsid w:val="000144B7"/>
    <w:rsid w:val="00015136"/>
    <w:rsid w:val="000156F9"/>
    <w:rsid w:val="00015ECD"/>
    <w:rsid w:val="0001710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1AE4"/>
    <w:rsid w:val="00033FA3"/>
    <w:rsid w:val="00034346"/>
    <w:rsid w:val="0003475F"/>
    <w:rsid w:val="00035051"/>
    <w:rsid w:val="000356E5"/>
    <w:rsid w:val="00035C05"/>
    <w:rsid w:val="0003652A"/>
    <w:rsid w:val="00036F7E"/>
    <w:rsid w:val="00036FA3"/>
    <w:rsid w:val="00040669"/>
    <w:rsid w:val="0004264E"/>
    <w:rsid w:val="000431E3"/>
    <w:rsid w:val="000435B6"/>
    <w:rsid w:val="0004496E"/>
    <w:rsid w:val="00044A66"/>
    <w:rsid w:val="00044ADE"/>
    <w:rsid w:val="000455CF"/>
    <w:rsid w:val="00045858"/>
    <w:rsid w:val="00046734"/>
    <w:rsid w:val="00046E7F"/>
    <w:rsid w:val="00047C17"/>
    <w:rsid w:val="0005170B"/>
    <w:rsid w:val="00053E7A"/>
    <w:rsid w:val="0005583D"/>
    <w:rsid w:val="00056741"/>
    <w:rsid w:val="00056FCA"/>
    <w:rsid w:val="00057B6D"/>
    <w:rsid w:val="00057FCA"/>
    <w:rsid w:val="0006048F"/>
    <w:rsid w:val="000623F5"/>
    <w:rsid w:val="00062FB2"/>
    <w:rsid w:val="00063271"/>
    <w:rsid w:val="0006339F"/>
    <w:rsid w:val="000634B6"/>
    <w:rsid w:val="00065F50"/>
    <w:rsid w:val="000667DA"/>
    <w:rsid w:val="000668A4"/>
    <w:rsid w:val="0006738D"/>
    <w:rsid w:val="00067715"/>
    <w:rsid w:val="00067AE9"/>
    <w:rsid w:val="00067F36"/>
    <w:rsid w:val="00070C4D"/>
    <w:rsid w:val="000713A7"/>
    <w:rsid w:val="00071E47"/>
    <w:rsid w:val="00071F57"/>
    <w:rsid w:val="0007260D"/>
    <w:rsid w:val="00073424"/>
    <w:rsid w:val="00073BED"/>
    <w:rsid w:val="00074988"/>
    <w:rsid w:val="0007540B"/>
    <w:rsid w:val="00075842"/>
    <w:rsid w:val="00076AE9"/>
    <w:rsid w:val="00076F71"/>
    <w:rsid w:val="0007742F"/>
    <w:rsid w:val="0008009E"/>
    <w:rsid w:val="0008018D"/>
    <w:rsid w:val="00081396"/>
    <w:rsid w:val="00082843"/>
    <w:rsid w:val="00082CBF"/>
    <w:rsid w:val="00083333"/>
    <w:rsid w:val="000839F1"/>
    <w:rsid w:val="00084436"/>
    <w:rsid w:val="00084DE0"/>
    <w:rsid w:val="00085157"/>
    <w:rsid w:val="00085D79"/>
    <w:rsid w:val="00085EFE"/>
    <w:rsid w:val="00085F42"/>
    <w:rsid w:val="00085F63"/>
    <w:rsid w:val="000860FE"/>
    <w:rsid w:val="0008766A"/>
    <w:rsid w:val="00090915"/>
    <w:rsid w:val="00090BE7"/>
    <w:rsid w:val="00091CD8"/>
    <w:rsid w:val="0009490F"/>
    <w:rsid w:val="00094B87"/>
    <w:rsid w:val="000954BA"/>
    <w:rsid w:val="0009592A"/>
    <w:rsid w:val="0009616F"/>
    <w:rsid w:val="00096BFB"/>
    <w:rsid w:val="00097BCB"/>
    <w:rsid w:val="000A0558"/>
    <w:rsid w:val="000A096A"/>
    <w:rsid w:val="000A0EF7"/>
    <w:rsid w:val="000A0EF8"/>
    <w:rsid w:val="000A15A0"/>
    <w:rsid w:val="000A2563"/>
    <w:rsid w:val="000A3F28"/>
    <w:rsid w:val="000A5187"/>
    <w:rsid w:val="000A57C8"/>
    <w:rsid w:val="000A58DC"/>
    <w:rsid w:val="000A7BC8"/>
    <w:rsid w:val="000A7EB6"/>
    <w:rsid w:val="000A7F6B"/>
    <w:rsid w:val="000B003D"/>
    <w:rsid w:val="000B07BD"/>
    <w:rsid w:val="000B0A49"/>
    <w:rsid w:val="000B15CC"/>
    <w:rsid w:val="000B1722"/>
    <w:rsid w:val="000B3041"/>
    <w:rsid w:val="000B3F34"/>
    <w:rsid w:val="000B5449"/>
    <w:rsid w:val="000B5677"/>
    <w:rsid w:val="000B58E2"/>
    <w:rsid w:val="000B6AFD"/>
    <w:rsid w:val="000B78B3"/>
    <w:rsid w:val="000B7CF5"/>
    <w:rsid w:val="000C0636"/>
    <w:rsid w:val="000C0D0D"/>
    <w:rsid w:val="000C1DEF"/>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178"/>
    <w:rsid w:val="000D455E"/>
    <w:rsid w:val="000D4848"/>
    <w:rsid w:val="000D4C7D"/>
    <w:rsid w:val="000D53CE"/>
    <w:rsid w:val="000D5A2E"/>
    <w:rsid w:val="000D5A42"/>
    <w:rsid w:val="000D5B2C"/>
    <w:rsid w:val="000D63AA"/>
    <w:rsid w:val="000D682C"/>
    <w:rsid w:val="000D6D29"/>
    <w:rsid w:val="000D7507"/>
    <w:rsid w:val="000D78B0"/>
    <w:rsid w:val="000D7E1A"/>
    <w:rsid w:val="000E0BDF"/>
    <w:rsid w:val="000E13C5"/>
    <w:rsid w:val="000E190A"/>
    <w:rsid w:val="000E2542"/>
    <w:rsid w:val="000E29B5"/>
    <w:rsid w:val="000E3129"/>
    <w:rsid w:val="000E3178"/>
    <w:rsid w:val="000E386B"/>
    <w:rsid w:val="000E3BA3"/>
    <w:rsid w:val="000E458D"/>
    <w:rsid w:val="000E633C"/>
    <w:rsid w:val="000E66B5"/>
    <w:rsid w:val="000E6876"/>
    <w:rsid w:val="000E69A2"/>
    <w:rsid w:val="000E6D6C"/>
    <w:rsid w:val="000E76D0"/>
    <w:rsid w:val="000E7DCC"/>
    <w:rsid w:val="000F07A2"/>
    <w:rsid w:val="000F11C4"/>
    <w:rsid w:val="000F1FA3"/>
    <w:rsid w:val="000F3E9B"/>
    <w:rsid w:val="000F4096"/>
    <w:rsid w:val="000F4358"/>
    <w:rsid w:val="000F4E0F"/>
    <w:rsid w:val="000F553D"/>
    <w:rsid w:val="000F5999"/>
    <w:rsid w:val="000F5CF5"/>
    <w:rsid w:val="000F63C9"/>
    <w:rsid w:val="000F7330"/>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AFB"/>
    <w:rsid w:val="00117E6F"/>
    <w:rsid w:val="00122C11"/>
    <w:rsid w:val="00122CBB"/>
    <w:rsid w:val="00123015"/>
    <w:rsid w:val="001231D6"/>
    <w:rsid w:val="00126278"/>
    <w:rsid w:val="00130180"/>
    <w:rsid w:val="001305D4"/>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4AE9"/>
    <w:rsid w:val="00145A1C"/>
    <w:rsid w:val="001462E0"/>
    <w:rsid w:val="00146479"/>
    <w:rsid w:val="00146643"/>
    <w:rsid w:val="00147766"/>
    <w:rsid w:val="00152826"/>
    <w:rsid w:val="00153DFD"/>
    <w:rsid w:val="001546EC"/>
    <w:rsid w:val="0015474F"/>
    <w:rsid w:val="00154AF5"/>
    <w:rsid w:val="001550C0"/>
    <w:rsid w:val="00155ECE"/>
    <w:rsid w:val="0015612C"/>
    <w:rsid w:val="00156E3A"/>
    <w:rsid w:val="00157D64"/>
    <w:rsid w:val="001608D5"/>
    <w:rsid w:val="00161A82"/>
    <w:rsid w:val="0016272D"/>
    <w:rsid w:val="00162CC5"/>
    <w:rsid w:val="00163284"/>
    <w:rsid w:val="00163A7C"/>
    <w:rsid w:val="00164509"/>
    <w:rsid w:val="001655B9"/>
    <w:rsid w:val="001658E9"/>
    <w:rsid w:val="001665AB"/>
    <w:rsid w:val="0016728C"/>
    <w:rsid w:val="00167E2D"/>
    <w:rsid w:val="00167EC9"/>
    <w:rsid w:val="001702F5"/>
    <w:rsid w:val="001703A3"/>
    <w:rsid w:val="00170B76"/>
    <w:rsid w:val="00172460"/>
    <w:rsid w:val="0017266D"/>
    <w:rsid w:val="00172A27"/>
    <w:rsid w:val="0017324A"/>
    <w:rsid w:val="0017377A"/>
    <w:rsid w:val="001742F6"/>
    <w:rsid w:val="001745FF"/>
    <w:rsid w:val="001748AC"/>
    <w:rsid w:val="0017497C"/>
    <w:rsid w:val="00174EF5"/>
    <w:rsid w:val="001765AB"/>
    <w:rsid w:val="00176FA6"/>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10A"/>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36E1"/>
    <w:rsid w:val="001A44E0"/>
    <w:rsid w:val="001A4E8F"/>
    <w:rsid w:val="001A51B7"/>
    <w:rsid w:val="001A57C2"/>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06B"/>
    <w:rsid w:val="001C3F12"/>
    <w:rsid w:val="001C3F14"/>
    <w:rsid w:val="001C3F6B"/>
    <w:rsid w:val="001C507C"/>
    <w:rsid w:val="001C7569"/>
    <w:rsid w:val="001C7671"/>
    <w:rsid w:val="001C7754"/>
    <w:rsid w:val="001C78FA"/>
    <w:rsid w:val="001D07F0"/>
    <w:rsid w:val="001D0C25"/>
    <w:rsid w:val="001D0D3C"/>
    <w:rsid w:val="001D186B"/>
    <w:rsid w:val="001D1EB2"/>
    <w:rsid w:val="001D2A96"/>
    <w:rsid w:val="001D3142"/>
    <w:rsid w:val="001D46CF"/>
    <w:rsid w:val="001D49E0"/>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90D"/>
    <w:rsid w:val="001E6B99"/>
    <w:rsid w:val="001E72E5"/>
    <w:rsid w:val="001F1467"/>
    <w:rsid w:val="001F1694"/>
    <w:rsid w:val="001F16AE"/>
    <w:rsid w:val="001F1D43"/>
    <w:rsid w:val="001F2610"/>
    <w:rsid w:val="001F34D5"/>
    <w:rsid w:val="001F358D"/>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7FA"/>
    <w:rsid w:val="00224912"/>
    <w:rsid w:val="00224A02"/>
    <w:rsid w:val="00225AD4"/>
    <w:rsid w:val="00225ED7"/>
    <w:rsid w:val="00227B1A"/>
    <w:rsid w:val="0023036A"/>
    <w:rsid w:val="002304ED"/>
    <w:rsid w:val="00230F76"/>
    <w:rsid w:val="00231953"/>
    <w:rsid w:val="002323C9"/>
    <w:rsid w:val="00232418"/>
    <w:rsid w:val="0023372A"/>
    <w:rsid w:val="002348AC"/>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47C59"/>
    <w:rsid w:val="00250329"/>
    <w:rsid w:val="002508D3"/>
    <w:rsid w:val="002511DA"/>
    <w:rsid w:val="0025120B"/>
    <w:rsid w:val="00251334"/>
    <w:rsid w:val="0025276A"/>
    <w:rsid w:val="0025332E"/>
    <w:rsid w:val="00253B4C"/>
    <w:rsid w:val="002557D2"/>
    <w:rsid w:val="00255A7A"/>
    <w:rsid w:val="002567F6"/>
    <w:rsid w:val="00256976"/>
    <w:rsid w:val="00256EF8"/>
    <w:rsid w:val="00257303"/>
    <w:rsid w:val="002574B8"/>
    <w:rsid w:val="00260643"/>
    <w:rsid w:val="002610E8"/>
    <w:rsid w:val="002625F8"/>
    <w:rsid w:val="002629C0"/>
    <w:rsid w:val="002630CD"/>
    <w:rsid w:val="0026343B"/>
    <w:rsid w:val="00263475"/>
    <w:rsid w:val="00263FB2"/>
    <w:rsid w:val="002642D6"/>
    <w:rsid w:val="0026460E"/>
    <w:rsid w:val="0026460F"/>
    <w:rsid w:val="00264B46"/>
    <w:rsid w:val="00264E34"/>
    <w:rsid w:val="00264FD3"/>
    <w:rsid w:val="0026519F"/>
    <w:rsid w:val="00265344"/>
    <w:rsid w:val="002655B1"/>
    <w:rsid w:val="0026568D"/>
    <w:rsid w:val="0026582D"/>
    <w:rsid w:val="00266D65"/>
    <w:rsid w:val="002674FC"/>
    <w:rsid w:val="00267AD5"/>
    <w:rsid w:val="00267C26"/>
    <w:rsid w:val="00267CE1"/>
    <w:rsid w:val="00272FE7"/>
    <w:rsid w:val="002736E6"/>
    <w:rsid w:val="00273807"/>
    <w:rsid w:val="002759E6"/>
    <w:rsid w:val="002774F2"/>
    <w:rsid w:val="00277A71"/>
    <w:rsid w:val="00277A7C"/>
    <w:rsid w:val="00280DAA"/>
    <w:rsid w:val="00280F02"/>
    <w:rsid w:val="00281521"/>
    <w:rsid w:val="0028165B"/>
    <w:rsid w:val="0028342A"/>
    <w:rsid w:val="00287D53"/>
    <w:rsid w:val="0029003D"/>
    <w:rsid w:val="00290131"/>
    <w:rsid w:val="00290232"/>
    <w:rsid w:val="0029088E"/>
    <w:rsid w:val="0029120D"/>
    <w:rsid w:val="00291528"/>
    <w:rsid w:val="002929E4"/>
    <w:rsid w:val="0029448F"/>
    <w:rsid w:val="002953BA"/>
    <w:rsid w:val="002973FD"/>
    <w:rsid w:val="00297900"/>
    <w:rsid w:val="002A0A5B"/>
    <w:rsid w:val="002A0C3D"/>
    <w:rsid w:val="002A11B9"/>
    <w:rsid w:val="002A1226"/>
    <w:rsid w:val="002A156B"/>
    <w:rsid w:val="002A2121"/>
    <w:rsid w:val="002A221F"/>
    <w:rsid w:val="002A27C2"/>
    <w:rsid w:val="002A28DD"/>
    <w:rsid w:val="002A31EB"/>
    <w:rsid w:val="002A36AA"/>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465E"/>
    <w:rsid w:val="002C4831"/>
    <w:rsid w:val="002C5D8E"/>
    <w:rsid w:val="002C688F"/>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71CE"/>
    <w:rsid w:val="002D7415"/>
    <w:rsid w:val="002D7E99"/>
    <w:rsid w:val="002E0187"/>
    <w:rsid w:val="002E01EF"/>
    <w:rsid w:val="002E0917"/>
    <w:rsid w:val="002E0BAC"/>
    <w:rsid w:val="002E0D30"/>
    <w:rsid w:val="002E11B4"/>
    <w:rsid w:val="002E1B34"/>
    <w:rsid w:val="002E2BB0"/>
    <w:rsid w:val="002E35DF"/>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19E"/>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82B"/>
    <w:rsid w:val="00314A90"/>
    <w:rsid w:val="00314C91"/>
    <w:rsid w:val="00315796"/>
    <w:rsid w:val="00317669"/>
    <w:rsid w:val="00317F41"/>
    <w:rsid w:val="003201D1"/>
    <w:rsid w:val="00321C1B"/>
    <w:rsid w:val="0032352C"/>
    <w:rsid w:val="00323BB3"/>
    <w:rsid w:val="00323C57"/>
    <w:rsid w:val="00323F5E"/>
    <w:rsid w:val="003251A6"/>
    <w:rsid w:val="00325DFB"/>
    <w:rsid w:val="00326695"/>
    <w:rsid w:val="00326724"/>
    <w:rsid w:val="0032696E"/>
    <w:rsid w:val="00326CD4"/>
    <w:rsid w:val="003276EC"/>
    <w:rsid w:val="0032783F"/>
    <w:rsid w:val="00327A7D"/>
    <w:rsid w:val="00327AA9"/>
    <w:rsid w:val="00327EF8"/>
    <w:rsid w:val="00330AE8"/>
    <w:rsid w:val="003328C0"/>
    <w:rsid w:val="0033346D"/>
    <w:rsid w:val="00333606"/>
    <w:rsid w:val="00333C74"/>
    <w:rsid w:val="00333F95"/>
    <w:rsid w:val="00336FA4"/>
    <w:rsid w:val="003373C4"/>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5DE"/>
    <w:rsid w:val="00350672"/>
    <w:rsid w:val="00350899"/>
    <w:rsid w:val="00351BC2"/>
    <w:rsid w:val="003522CC"/>
    <w:rsid w:val="0035266A"/>
    <w:rsid w:val="003526B4"/>
    <w:rsid w:val="00352985"/>
    <w:rsid w:val="003535D6"/>
    <w:rsid w:val="003535E0"/>
    <w:rsid w:val="00354345"/>
    <w:rsid w:val="003549F2"/>
    <w:rsid w:val="00354BDD"/>
    <w:rsid w:val="0035616F"/>
    <w:rsid w:val="003563B1"/>
    <w:rsid w:val="00357154"/>
    <w:rsid w:val="00360F5B"/>
    <w:rsid w:val="00361E8D"/>
    <w:rsid w:val="003625C5"/>
    <w:rsid w:val="00362FAE"/>
    <w:rsid w:val="00363883"/>
    <w:rsid w:val="003653F1"/>
    <w:rsid w:val="00365B30"/>
    <w:rsid w:val="00365C15"/>
    <w:rsid w:val="00365F0A"/>
    <w:rsid w:val="0036618A"/>
    <w:rsid w:val="00367AEE"/>
    <w:rsid w:val="00367EC3"/>
    <w:rsid w:val="00370716"/>
    <w:rsid w:val="003717A0"/>
    <w:rsid w:val="003717BE"/>
    <w:rsid w:val="00371CFC"/>
    <w:rsid w:val="00373C45"/>
    <w:rsid w:val="003741A5"/>
    <w:rsid w:val="00374DC8"/>
    <w:rsid w:val="00374EDA"/>
    <w:rsid w:val="003751D7"/>
    <w:rsid w:val="00375500"/>
    <w:rsid w:val="00375586"/>
    <w:rsid w:val="00376496"/>
    <w:rsid w:val="00376828"/>
    <w:rsid w:val="00376848"/>
    <w:rsid w:val="00377005"/>
    <w:rsid w:val="003777AF"/>
    <w:rsid w:val="00377F76"/>
    <w:rsid w:val="00380270"/>
    <w:rsid w:val="003802AF"/>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63F"/>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D59CF"/>
    <w:rsid w:val="003E0138"/>
    <w:rsid w:val="003E017B"/>
    <w:rsid w:val="003E154C"/>
    <w:rsid w:val="003E3316"/>
    <w:rsid w:val="003E36FF"/>
    <w:rsid w:val="003E3A6B"/>
    <w:rsid w:val="003E3FE6"/>
    <w:rsid w:val="003E4653"/>
    <w:rsid w:val="003E4C9C"/>
    <w:rsid w:val="003E5334"/>
    <w:rsid w:val="003E5B3D"/>
    <w:rsid w:val="003E5F84"/>
    <w:rsid w:val="003E6B15"/>
    <w:rsid w:val="003E6C59"/>
    <w:rsid w:val="003E6E66"/>
    <w:rsid w:val="003E71C6"/>
    <w:rsid w:val="003E75C3"/>
    <w:rsid w:val="003E7911"/>
    <w:rsid w:val="003E7EB7"/>
    <w:rsid w:val="003F1302"/>
    <w:rsid w:val="003F13DF"/>
    <w:rsid w:val="003F18D9"/>
    <w:rsid w:val="003F1DF8"/>
    <w:rsid w:val="003F2792"/>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07574"/>
    <w:rsid w:val="00410143"/>
    <w:rsid w:val="004105DE"/>
    <w:rsid w:val="00410F2E"/>
    <w:rsid w:val="0041144F"/>
    <w:rsid w:val="00412477"/>
    <w:rsid w:val="0041654F"/>
    <w:rsid w:val="0041717C"/>
    <w:rsid w:val="004214C7"/>
    <w:rsid w:val="00421885"/>
    <w:rsid w:val="004220FE"/>
    <w:rsid w:val="0042410A"/>
    <w:rsid w:val="00424D39"/>
    <w:rsid w:val="004260D0"/>
    <w:rsid w:val="00430320"/>
    <w:rsid w:val="004307C8"/>
    <w:rsid w:val="00431D96"/>
    <w:rsid w:val="00431E81"/>
    <w:rsid w:val="004324C1"/>
    <w:rsid w:val="004330EC"/>
    <w:rsid w:val="004332C6"/>
    <w:rsid w:val="00434253"/>
    <w:rsid w:val="004368B8"/>
    <w:rsid w:val="004368C0"/>
    <w:rsid w:val="00437BCE"/>
    <w:rsid w:val="0044040E"/>
    <w:rsid w:val="004417C4"/>
    <w:rsid w:val="00442837"/>
    <w:rsid w:val="00442CC6"/>
    <w:rsid w:val="00442D73"/>
    <w:rsid w:val="00443251"/>
    <w:rsid w:val="00443A18"/>
    <w:rsid w:val="00443F68"/>
    <w:rsid w:val="00444153"/>
    <w:rsid w:val="004442AA"/>
    <w:rsid w:val="00444FFC"/>
    <w:rsid w:val="00445426"/>
    <w:rsid w:val="0044560A"/>
    <w:rsid w:val="00446D75"/>
    <w:rsid w:val="00447864"/>
    <w:rsid w:val="00450B0B"/>
    <w:rsid w:val="00451F81"/>
    <w:rsid w:val="004539C0"/>
    <w:rsid w:val="00454344"/>
    <w:rsid w:val="00454549"/>
    <w:rsid w:val="00455070"/>
    <w:rsid w:val="004555B3"/>
    <w:rsid w:val="004558F1"/>
    <w:rsid w:val="004575AE"/>
    <w:rsid w:val="004601C9"/>
    <w:rsid w:val="00460D08"/>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956"/>
    <w:rsid w:val="00477C17"/>
    <w:rsid w:val="00480125"/>
    <w:rsid w:val="0048064D"/>
    <w:rsid w:val="00481CF4"/>
    <w:rsid w:val="004828C8"/>
    <w:rsid w:val="00482AC2"/>
    <w:rsid w:val="00484BE4"/>
    <w:rsid w:val="00485409"/>
    <w:rsid w:val="004855F7"/>
    <w:rsid w:val="004859EA"/>
    <w:rsid w:val="00485ECB"/>
    <w:rsid w:val="00485EE2"/>
    <w:rsid w:val="00486224"/>
    <w:rsid w:val="004869F6"/>
    <w:rsid w:val="00486B1D"/>
    <w:rsid w:val="00487133"/>
    <w:rsid w:val="004875BB"/>
    <w:rsid w:val="00487660"/>
    <w:rsid w:val="00487D91"/>
    <w:rsid w:val="00487EF2"/>
    <w:rsid w:val="00490621"/>
    <w:rsid w:val="00490BE1"/>
    <w:rsid w:val="00490C75"/>
    <w:rsid w:val="004938F7"/>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091"/>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D5EDE"/>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1DC4"/>
    <w:rsid w:val="00502C8A"/>
    <w:rsid w:val="00503728"/>
    <w:rsid w:val="005047CE"/>
    <w:rsid w:val="00505500"/>
    <w:rsid w:val="00505AC7"/>
    <w:rsid w:val="005061DE"/>
    <w:rsid w:val="0050782F"/>
    <w:rsid w:val="00510353"/>
    <w:rsid w:val="005109F7"/>
    <w:rsid w:val="00510A09"/>
    <w:rsid w:val="00510DFD"/>
    <w:rsid w:val="00511165"/>
    <w:rsid w:val="005116BA"/>
    <w:rsid w:val="00513B6A"/>
    <w:rsid w:val="0051446B"/>
    <w:rsid w:val="00515399"/>
    <w:rsid w:val="00515B9C"/>
    <w:rsid w:val="00516114"/>
    <w:rsid w:val="00516A92"/>
    <w:rsid w:val="005175F9"/>
    <w:rsid w:val="005200F2"/>
    <w:rsid w:val="0052011E"/>
    <w:rsid w:val="00521296"/>
    <w:rsid w:val="0052232A"/>
    <w:rsid w:val="00522541"/>
    <w:rsid w:val="0052292E"/>
    <w:rsid w:val="00523930"/>
    <w:rsid w:val="00524276"/>
    <w:rsid w:val="005243FD"/>
    <w:rsid w:val="005250D8"/>
    <w:rsid w:val="005250E0"/>
    <w:rsid w:val="00525373"/>
    <w:rsid w:val="005263BF"/>
    <w:rsid w:val="005279E2"/>
    <w:rsid w:val="00530D01"/>
    <w:rsid w:val="00533196"/>
    <w:rsid w:val="005347D0"/>
    <w:rsid w:val="005365CA"/>
    <w:rsid w:val="00536991"/>
    <w:rsid w:val="00536EFE"/>
    <w:rsid w:val="00537500"/>
    <w:rsid w:val="00540316"/>
    <w:rsid w:val="0054065A"/>
    <w:rsid w:val="00540EB0"/>
    <w:rsid w:val="00541004"/>
    <w:rsid w:val="00541053"/>
    <w:rsid w:val="00542949"/>
    <w:rsid w:val="00542CF0"/>
    <w:rsid w:val="005467BF"/>
    <w:rsid w:val="00546EEA"/>
    <w:rsid w:val="00547737"/>
    <w:rsid w:val="005501FD"/>
    <w:rsid w:val="005505B1"/>
    <w:rsid w:val="00551BF3"/>
    <w:rsid w:val="00553F39"/>
    <w:rsid w:val="00556151"/>
    <w:rsid w:val="005562CB"/>
    <w:rsid w:val="005563D1"/>
    <w:rsid w:val="00556B11"/>
    <w:rsid w:val="00556D35"/>
    <w:rsid w:val="0056002F"/>
    <w:rsid w:val="00560142"/>
    <w:rsid w:val="005605F4"/>
    <w:rsid w:val="00560B23"/>
    <w:rsid w:val="00561773"/>
    <w:rsid w:val="00561D4F"/>
    <w:rsid w:val="00561DC2"/>
    <w:rsid w:val="00562684"/>
    <w:rsid w:val="00562E39"/>
    <w:rsid w:val="005632A3"/>
    <w:rsid w:val="005632D7"/>
    <w:rsid w:val="0056489B"/>
    <w:rsid w:val="00564A69"/>
    <w:rsid w:val="00564BF9"/>
    <w:rsid w:val="0056591C"/>
    <w:rsid w:val="00565B7B"/>
    <w:rsid w:val="00566B4E"/>
    <w:rsid w:val="00566BF8"/>
    <w:rsid w:val="00566EE0"/>
    <w:rsid w:val="005677B2"/>
    <w:rsid w:val="00567D88"/>
    <w:rsid w:val="005703EB"/>
    <w:rsid w:val="0057069C"/>
    <w:rsid w:val="00571C4D"/>
    <w:rsid w:val="0057285B"/>
    <w:rsid w:val="005735AC"/>
    <w:rsid w:val="00575A5E"/>
    <w:rsid w:val="00575EC7"/>
    <w:rsid w:val="00576784"/>
    <w:rsid w:val="005767A0"/>
    <w:rsid w:val="0057779B"/>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5C74"/>
    <w:rsid w:val="00597865"/>
    <w:rsid w:val="005A0E0A"/>
    <w:rsid w:val="005A1E63"/>
    <w:rsid w:val="005A2016"/>
    <w:rsid w:val="005A2EA2"/>
    <w:rsid w:val="005A3504"/>
    <w:rsid w:val="005A38BB"/>
    <w:rsid w:val="005A559E"/>
    <w:rsid w:val="005A6077"/>
    <w:rsid w:val="005A60E5"/>
    <w:rsid w:val="005A6C6C"/>
    <w:rsid w:val="005A74D4"/>
    <w:rsid w:val="005A78C1"/>
    <w:rsid w:val="005A7F48"/>
    <w:rsid w:val="005B09CF"/>
    <w:rsid w:val="005B1402"/>
    <w:rsid w:val="005B1C57"/>
    <w:rsid w:val="005B3D9B"/>
    <w:rsid w:val="005B55B2"/>
    <w:rsid w:val="005B684F"/>
    <w:rsid w:val="005B71E3"/>
    <w:rsid w:val="005C036D"/>
    <w:rsid w:val="005C31E4"/>
    <w:rsid w:val="005C32F2"/>
    <w:rsid w:val="005C35F6"/>
    <w:rsid w:val="005C3EBE"/>
    <w:rsid w:val="005C564A"/>
    <w:rsid w:val="005C564E"/>
    <w:rsid w:val="005C5B8F"/>
    <w:rsid w:val="005C5CFE"/>
    <w:rsid w:val="005C5D43"/>
    <w:rsid w:val="005C6048"/>
    <w:rsid w:val="005C61E3"/>
    <w:rsid w:val="005C740A"/>
    <w:rsid w:val="005C74D0"/>
    <w:rsid w:val="005C7AD7"/>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3E73"/>
    <w:rsid w:val="005F4FAA"/>
    <w:rsid w:val="005F5C7F"/>
    <w:rsid w:val="006015AD"/>
    <w:rsid w:val="006023B5"/>
    <w:rsid w:val="00603371"/>
    <w:rsid w:val="0060456C"/>
    <w:rsid w:val="006046E5"/>
    <w:rsid w:val="006048EE"/>
    <w:rsid w:val="00607499"/>
    <w:rsid w:val="00607679"/>
    <w:rsid w:val="00612F49"/>
    <w:rsid w:val="0061417D"/>
    <w:rsid w:val="0061547A"/>
    <w:rsid w:val="00615E84"/>
    <w:rsid w:val="00616D1C"/>
    <w:rsid w:val="00616FD4"/>
    <w:rsid w:val="00621416"/>
    <w:rsid w:val="0062198B"/>
    <w:rsid w:val="00623A9E"/>
    <w:rsid w:val="0062417D"/>
    <w:rsid w:val="00625AFB"/>
    <w:rsid w:val="00626796"/>
    <w:rsid w:val="0062722E"/>
    <w:rsid w:val="00633086"/>
    <w:rsid w:val="00635E25"/>
    <w:rsid w:val="00635FBA"/>
    <w:rsid w:val="0063671A"/>
    <w:rsid w:val="00636DFC"/>
    <w:rsid w:val="00640FDD"/>
    <w:rsid w:val="006416E6"/>
    <w:rsid w:val="00641F10"/>
    <w:rsid w:val="006426A8"/>
    <w:rsid w:val="00643D3F"/>
    <w:rsid w:val="00643F93"/>
    <w:rsid w:val="0064478C"/>
    <w:rsid w:val="00646AAA"/>
    <w:rsid w:val="00647082"/>
    <w:rsid w:val="00650160"/>
    <w:rsid w:val="0065076A"/>
    <w:rsid w:val="006507F3"/>
    <w:rsid w:val="00652D87"/>
    <w:rsid w:val="00653456"/>
    <w:rsid w:val="00653742"/>
    <w:rsid w:val="00653774"/>
    <w:rsid w:val="0065575F"/>
    <w:rsid w:val="006568A2"/>
    <w:rsid w:val="006568D7"/>
    <w:rsid w:val="00656CAE"/>
    <w:rsid w:val="00657F6A"/>
    <w:rsid w:val="006604BC"/>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46F"/>
    <w:rsid w:val="0068671D"/>
    <w:rsid w:val="006873E2"/>
    <w:rsid w:val="0068768A"/>
    <w:rsid w:val="00687B70"/>
    <w:rsid w:val="00690582"/>
    <w:rsid w:val="00690848"/>
    <w:rsid w:val="00690E7F"/>
    <w:rsid w:val="006913DB"/>
    <w:rsid w:val="00691F22"/>
    <w:rsid w:val="0069212E"/>
    <w:rsid w:val="00692831"/>
    <w:rsid w:val="00693A34"/>
    <w:rsid w:val="00693B3A"/>
    <w:rsid w:val="00693B58"/>
    <w:rsid w:val="00694A80"/>
    <w:rsid w:val="00695073"/>
    <w:rsid w:val="00695B21"/>
    <w:rsid w:val="00696224"/>
    <w:rsid w:val="00696431"/>
    <w:rsid w:val="00696F86"/>
    <w:rsid w:val="006A3983"/>
    <w:rsid w:val="006A4770"/>
    <w:rsid w:val="006A4FB4"/>
    <w:rsid w:val="006A534B"/>
    <w:rsid w:val="006A68F1"/>
    <w:rsid w:val="006A6A75"/>
    <w:rsid w:val="006A6C5C"/>
    <w:rsid w:val="006A7302"/>
    <w:rsid w:val="006B00DC"/>
    <w:rsid w:val="006B098C"/>
    <w:rsid w:val="006B0EC5"/>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1182"/>
    <w:rsid w:val="006D215F"/>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A31"/>
    <w:rsid w:val="00702D60"/>
    <w:rsid w:val="00702F14"/>
    <w:rsid w:val="0070302C"/>
    <w:rsid w:val="007037B5"/>
    <w:rsid w:val="00703865"/>
    <w:rsid w:val="00704125"/>
    <w:rsid w:val="0070429A"/>
    <w:rsid w:val="00704BAD"/>
    <w:rsid w:val="00705055"/>
    <w:rsid w:val="00706023"/>
    <w:rsid w:val="00706370"/>
    <w:rsid w:val="00706C55"/>
    <w:rsid w:val="00707165"/>
    <w:rsid w:val="00707232"/>
    <w:rsid w:val="0071105F"/>
    <w:rsid w:val="00711215"/>
    <w:rsid w:val="0071139A"/>
    <w:rsid w:val="0071149B"/>
    <w:rsid w:val="00711554"/>
    <w:rsid w:val="007121B2"/>
    <w:rsid w:val="0071306F"/>
    <w:rsid w:val="00713D30"/>
    <w:rsid w:val="007144D0"/>
    <w:rsid w:val="00714BC8"/>
    <w:rsid w:val="0071583B"/>
    <w:rsid w:val="0071661C"/>
    <w:rsid w:val="007168E1"/>
    <w:rsid w:val="00720101"/>
    <w:rsid w:val="007206C8"/>
    <w:rsid w:val="0072078A"/>
    <w:rsid w:val="007213D7"/>
    <w:rsid w:val="007216E2"/>
    <w:rsid w:val="0072221F"/>
    <w:rsid w:val="00722441"/>
    <w:rsid w:val="0072334E"/>
    <w:rsid w:val="0072356B"/>
    <w:rsid w:val="00723ACC"/>
    <w:rsid w:val="00725A2F"/>
    <w:rsid w:val="0072665F"/>
    <w:rsid w:val="00727D3F"/>
    <w:rsid w:val="0073070A"/>
    <w:rsid w:val="007308AF"/>
    <w:rsid w:val="00730D50"/>
    <w:rsid w:val="007311C8"/>
    <w:rsid w:val="00731352"/>
    <w:rsid w:val="007314A8"/>
    <w:rsid w:val="0073164B"/>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049"/>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2293"/>
    <w:rsid w:val="00773465"/>
    <w:rsid w:val="00773862"/>
    <w:rsid w:val="0077434F"/>
    <w:rsid w:val="00774AF2"/>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1AA9"/>
    <w:rsid w:val="00792AEC"/>
    <w:rsid w:val="007963DB"/>
    <w:rsid w:val="00796F1B"/>
    <w:rsid w:val="00797A4E"/>
    <w:rsid w:val="00797C4E"/>
    <w:rsid w:val="007A0307"/>
    <w:rsid w:val="007A043A"/>
    <w:rsid w:val="007A142B"/>
    <w:rsid w:val="007A1CBE"/>
    <w:rsid w:val="007A2942"/>
    <w:rsid w:val="007A3148"/>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28C"/>
    <w:rsid w:val="007C29A3"/>
    <w:rsid w:val="007C2CA3"/>
    <w:rsid w:val="007C2E9A"/>
    <w:rsid w:val="007C3230"/>
    <w:rsid w:val="007C3527"/>
    <w:rsid w:val="007C57CB"/>
    <w:rsid w:val="007C5BAD"/>
    <w:rsid w:val="007C5DDE"/>
    <w:rsid w:val="007C60DB"/>
    <w:rsid w:val="007C6147"/>
    <w:rsid w:val="007C6AD5"/>
    <w:rsid w:val="007C6C85"/>
    <w:rsid w:val="007C72FF"/>
    <w:rsid w:val="007C7827"/>
    <w:rsid w:val="007C795E"/>
    <w:rsid w:val="007C7DAB"/>
    <w:rsid w:val="007D23CA"/>
    <w:rsid w:val="007D28A8"/>
    <w:rsid w:val="007D34F2"/>
    <w:rsid w:val="007D39C4"/>
    <w:rsid w:val="007D3E13"/>
    <w:rsid w:val="007D42C2"/>
    <w:rsid w:val="007D4A85"/>
    <w:rsid w:val="007D4C90"/>
    <w:rsid w:val="007D602B"/>
    <w:rsid w:val="007D64DA"/>
    <w:rsid w:val="007D6B19"/>
    <w:rsid w:val="007D6D9A"/>
    <w:rsid w:val="007D7074"/>
    <w:rsid w:val="007D767F"/>
    <w:rsid w:val="007E09EE"/>
    <w:rsid w:val="007E0F13"/>
    <w:rsid w:val="007E1294"/>
    <w:rsid w:val="007E19D6"/>
    <w:rsid w:val="007E37FD"/>
    <w:rsid w:val="007E3986"/>
    <w:rsid w:val="007E4615"/>
    <w:rsid w:val="007E5A5F"/>
    <w:rsid w:val="007E66A2"/>
    <w:rsid w:val="007E6B04"/>
    <w:rsid w:val="007E6F3C"/>
    <w:rsid w:val="007E7FE8"/>
    <w:rsid w:val="007F08EE"/>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3CE"/>
    <w:rsid w:val="00805BAE"/>
    <w:rsid w:val="00806F20"/>
    <w:rsid w:val="0080771F"/>
    <w:rsid w:val="00810010"/>
    <w:rsid w:val="00810595"/>
    <w:rsid w:val="008108D3"/>
    <w:rsid w:val="00810D6B"/>
    <w:rsid w:val="00811840"/>
    <w:rsid w:val="00811995"/>
    <w:rsid w:val="00811B41"/>
    <w:rsid w:val="00812A0B"/>
    <w:rsid w:val="0081389D"/>
    <w:rsid w:val="0081480C"/>
    <w:rsid w:val="0081484F"/>
    <w:rsid w:val="008148FE"/>
    <w:rsid w:val="00814D78"/>
    <w:rsid w:val="00816A3D"/>
    <w:rsid w:val="0081734C"/>
    <w:rsid w:val="00817506"/>
    <w:rsid w:val="0082029A"/>
    <w:rsid w:val="00820BB0"/>
    <w:rsid w:val="008212A9"/>
    <w:rsid w:val="00821573"/>
    <w:rsid w:val="00821FB3"/>
    <w:rsid w:val="00822D58"/>
    <w:rsid w:val="0082317E"/>
    <w:rsid w:val="00823C06"/>
    <w:rsid w:val="008252BC"/>
    <w:rsid w:val="0082546F"/>
    <w:rsid w:val="00825AB3"/>
    <w:rsid w:val="00827110"/>
    <w:rsid w:val="008275B9"/>
    <w:rsid w:val="008318FD"/>
    <w:rsid w:val="00831B6F"/>
    <w:rsid w:val="00831D42"/>
    <w:rsid w:val="00832700"/>
    <w:rsid w:val="00832C60"/>
    <w:rsid w:val="008343B3"/>
    <w:rsid w:val="00834B17"/>
    <w:rsid w:val="00837CF4"/>
    <w:rsid w:val="008407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5E99"/>
    <w:rsid w:val="00856A9A"/>
    <w:rsid w:val="008573EF"/>
    <w:rsid w:val="00857571"/>
    <w:rsid w:val="0086108F"/>
    <w:rsid w:val="0086125B"/>
    <w:rsid w:val="0086208A"/>
    <w:rsid w:val="00863197"/>
    <w:rsid w:val="00863727"/>
    <w:rsid w:val="00863975"/>
    <w:rsid w:val="00863B00"/>
    <w:rsid w:val="00865553"/>
    <w:rsid w:val="0086641F"/>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4572"/>
    <w:rsid w:val="00885621"/>
    <w:rsid w:val="00886375"/>
    <w:rsid w:val="00886651"/>
    <w:rsid w:val="00887A69"/>
    <w:rsid w:val="008904E6"/>
    <w:rsid w:val="008910FD"/>
    <w:rsid w:val="008915BA"/>
    <w:rsid w:val="0089195A"/>
    <w:rsid w:val="00892599"/>
    <w:rsid w:val="00892730"/>
    <w:rsid w:val="0089331F"/>
    <w:rsid w:val="0089372F"/>
    <w:rsid w:val="008939EE"/>
    <w:rsid w:val="008943E4"/>
    <w:rsid w:val="00894430"/>
    <w:rsid w:val="008950AF"/>
    <w:rsid w:val="00895120"/>
    <w:rsid w:val="008952C7"/>
    <w:rsid w:val="00895F3E"/>
    <w:rsid w:val="0089644C"/>
    <w:rsid w:val="00897517"/>
    <w:rsid w:val="0089753A"/>
    <w:rsid w:val="00897982"/>
    <w:rsid w:val="008A1082"/>
    <w:rsid w:val="008A13B2"/>
    <w:rsid w:val="008A15B7"/>
    <w:rsid w:val="008A4388"/>
    <w:rsid w:val="008A56CA"/>
    <w:rsid w:val="008A576D"/>
    <w:rsid w:val="008A58B2"/>
    <w:rsid w:val="008A619E"/>
    <w:rsid w:val="008A629E"/>
    <w:rsid w:val="008A75AE"/>
    <w:rsid w:val="008A7AAA"/>
    <w:rsid w:val="008B08A9"/>
    <w:rsid w:val="008B0C26"/>
    <w:rsid w:val="008B103A"/>
    <w:rsid w:val="008B2510"/>
    <w:rsid w:val="008B2773"/>
    <w:rsid w:val="008B4F47"/>
    <w:rsid w:val="008B5247"/>
    <w:rsid w:val="008B585F"/>
    <w:rsid w:val="008B5BDB"/>
    <w:rsid w:val="008B75D3"/>
    <w:rsid w:val="008C0765"/>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42"/>
    <w:rsid w:val="008D39EA"/>
    <w:rsid w:val="008D3BAE"/>
    <w:rsid w:val="008D429B"/>
    <w:rsid w:val="008D4926"/>
    <w:rsid w:val="008D4F88"/>
    <w:rsid w:val="008D58AF"/>
    <w:rsid w:val="008D6405"/>
    <w:rsid w:val="008D660F"/>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5EFB"/>
    <w:rsid w:val="008F68B6"/>
    <w:rsid w:val="008F7694"/>
    <w:rsid w:val="008F7D27"/>
    <w:rsid w:val="00900480"/>
    <w:rsid w:val="009018BE"/>
    <w:rsid w:val="00901E54"/>
    <w:rsid w:val="009025B0"/>
    <w:rsid w:val="00902A8A"/>
    <w:rsid w:val="009033F8"/>
    <w:rsid w:val="0090411C"/>
    <w:rsid w:val="00904657"/>
    <w:rsid w:val="00904896"/>
    <w:rsid w:val="00904A92"/>
    <w:rsid w:val="00905376"/>
    <w:rsid w:val="0090583F"/>
    <w:rsid w:val="0090706F"/>
    <w:rsid w:val="009072BA"/>
    <w:rsid w:val="009072D1"/>
    <w:rsid w:val="00911813"/>
    <w:rsid w:val="00911B84"/>
    <w:rsid w:val="00912B6D"/>
    <w:rsid w:val="0091329F"/>
    <w:rsid w:val="009138C5"/>
    <w:rsid w:val="00913AA5"/>
    <w:rsid w:val="00913E45"/>
    <w:rsid w:val="009140DB"/>
    <w:rsid w:val="0091425C"/>
    <w:rsid w:val="00914A92"/>
    <w:rsid w:val="00914D67"/>
    <w:rsid w:val="009174E4"/>
    <w:rsid w:val="00922B69"/>
    <w:rsid w:val="00923276"/>
    <w:rsid w:val="009232C7"/>
    <w:rsid w:val="0092361F"/>
    <w:rsid w:val="00925885"/>
    <w:rsid w:val="0092759A"/>
    <w:rsid w:val="00927D34"/>
    <w:rsid w:val="0093181C"/>
    <w:rsid w:val="009344CE"/>
    <w:rsid w:val="009349DC"/>
    <w:rsid w:val="009353BF"/>
    <w:rsid w:val="00936866"/>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02"/>
    <w:rsid w:val="00946C6B"/>
    <w:rsid w:val="009479E8"/>
    <w:rsid w:val="009518C7"/>
    <w:rsid w:val="009531F9"/>
    <w:rsid w:val="00953747"/>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667"/>
    <w:rsid w:val="00974F0A"/>
    <w:rsid w:val="00974F8E"/>
    <w:rsid w:val="00974FC1"/>
    <w:rsid w:val="00975079"/>
    <w:rsid w:val="009755B9"/>
    <w:rsid w:val="009766C0"/>
    <w:rsid w:val="00976B00"/>
    <w:rsid w:val="00976B73"/>
    <w:rsid w:val="00977346"/>
    <w:rsid w:val="009826B2"/>
    <w:rsid w:val="0098378B"/>
    <w:rsid w:val="00983CD0"/>
    <w:rsid w:val="009858BF"/>
    <w:rsid w:val="009867F7"/>
    <w:rsid w:val="0098728F"/>
    <w:rsid w:val="0099093C"/>
    <w:rsid w:val="0099219C"/>
    <w:rsid w:val="00992576"/>
    <w:rsid w:val="00992A92"/>
    <w:rsid w:val="0099343E"/>
    <w:rsid w:val="009939ED"/>
    <w:rsid w:val="009947C7"/>
    <w:rsid w:val="0099510D"/>
    <w:rsid w:val="00995E70"/>
    <w:rsid w:val="00996823"/>
    <w:rsid w:val="00996855"/>
    <w:rsid w:val="00997EC4"/>
    <w:rsid w:val="009A035C"/>
    <w:rsid w:val="009A29DE"/>
    <w:rsid w:val="009A2F0F"/>
    <w:rsid w:val="009A308C"/>
    <w:rsid w:val="009A633D"/>
    <w:rsid w:val="009A6849"/>
    <w:rsid w:val="009B1DB4"/>
    <w:rsid w:val="009B23D9"/>
    <w:rsid w:val="009B2912"/>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35E"/>
    <w:rsid w:val="009C6801"/>
    <w:rsid w:val="009C6A89"/>
    <w:rsid w:val="009C6D9F"/>
    <w:rsid w:val="009C77A9"/>
    <w:rsid w:val="009D0643"/>
    <w:rsid w:val="009D07AE"/>
    <w:rsid w:val="009D17DA"/>
    <w:rsid w:val="009D190A"/>
    <w:rsid w:val="009D251F"/>
    <w:rsid w:val="009D292A"/>
    <w:rsid w:val="009D58B3"/>
    <w:rsid w:val="009D65A0"/>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1B98"/>
    <w:rsid w:val="00A021C1"/>
    <w:rsid w:val="00A024A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36A"/>
    <w:rsid w:val="00A21661"/>
    <w:rsid w:val="00A2179F"/>
    <w:rsid w:val="00A21C08"/>
    <w:rsid w:val="00A21DFC"/>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8D6"/>
    <w:rsid w:val="00A34E4D"/>
    <w:rsid w:val="00A3640B"/>
    <w:rsid w:val="00A37797"/>
    <w:rsid w:val="00A40CCA"/>
    <w:rsid w:val="00A4107C"/>
    <w:rsid w:val="00A414B0"/>
    <w:rsid w:val="00A414D0"/>
    <w:rsid w:val="00A416DA"/>
    <w:rsid w:val="00A41894"/>
    <w:rsid w:val="00A42407"/>
    <w:rsid w:val="00A42683"/>
    <w:rsid w:val="00A433FE"/>
    <w:rsid w:val="00A43A10"/>
    <w:rsid w:val="00A44493"/>
    <w:rsid w:val="00A451F1"/>
    <w:rsid w:val="00A452D9"/>
    <w:rsid w:val="00A4551C"/>
    <w:rsid w:val="00A45AA2"/>
    <w:rsid w:val="00A45BF1"/>
    <w:rsid w:val="00A4605F"/>
    <w:rsid w:val="00A47903"/>
    <w:rsid w:val="00A47C9F"/>
    <w:rsid w:val="00A5015B"/>
    <w:rsid w:val="00A509E5"/>
    <w:rsid w:val="00A537CD"/>
    <w:rsid w:val="00A5443B"/>
    <w:rsid w:val="00A54ACC"/>
    <w:rsid w:val="00A55426"/>
    <w:rsid w:val="00A55AA8"/>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5D0"/>
    <w:rsid w:val="00A708B7"/>
    <w:rsid w:val="00A71173"/>
    <w:rsid w:val="00A71B7F"/>
    <w:rsid w:val="00A726A3"/>
    <w:rsid w:val="00A72EC4"/>
    <w:rsid w:val="00A72F6D"/>
    <w:rsid w:val="00A72F90"/>
    <w:rsid w:val="00A7322C"/>
    <w:rsid w:val="00A7518F"/>
    <w:rsid w:val="00A7537A"/>
    <w:rsid w:val="00A7546F"/>
    <w:rsid w:val="00A756DC"/>
    <w:rsid w:val="00A75879"/>
    <w:rsid w:val="00A7694C"/>
    <w:rsid w:val="00A76DDB"/>
    <w:rsid w:val="00A772AC"/>
    <w:rsid w:val="00A801AA"/>
    <w:rsid w:val="00A80A29"/>
    <w:rsid w:val="00A80E15"/>
    <w:rsid w:val="00A81A56"/>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3E86"/>
    <w:rsid w:val="00AB4205"/>
    <w:rsid w:val="00AB4353"/>
    <w:rsid w:val="00AB4672"/>
    <w:rsid w:val="00AB4688"/>
    <w:rsid w:val="00AB5B24"/>
    <w:rsid w:val="00AB5DE8"/>
    <w:rsid w:val="00AB5FEB"/>
    <w:rsid w:val="00AB60C8"/>
    <w:rsid w:val="00AB7629"/>
    <w:rsid w:val="00AC0F28"/>
    <w:rsid w:val="00AC1037"/>
    <w:rsid w:val="00AC148D"/>
    <w:rsid w:val="00AC19C3"/>
    <w:rsid w:val="00AC3712"/>
    <w:rsid w:val="00AC37B1"/>
    <w:rsid w:val="00AC3869"/>
    <w:rsid w:val="00AC4098"/>
    <w:rsid w:val="00AC43D6"/>
    <w:rsid w:val="00AC4C5C"/>
    <w:rsid w:val="00AC5DDA"/>
    <w:rsid w:val="00AC6031"/>
    <w:rsid w:val="00AC6DB0"/>
    <w:rsid w:val="00AC7518"/>
    <w:rsid w:val="00AC7A33"/>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70B"/>
    <w:rsid w:val="00AE6D5D"/>
    <w:rsid w:val="00AE7D95"/>
    <w:rsid w:val="00AF02C1"/>
    <w:rsid w:val="00AF0742"/>
    <w:rsid w:val="00AF077F"/>
    <w:rsid w:val="00AF1677"/>
    <w:rsid w:val="00AF1689"/>
    <w:rsid w:val="00AF1FAF"/>
    <w:rsid w:val="00AF2E78"/>
    <w:rsid w:val="00AF42C7"/>
    <w:rsid w:val="00AF49BB"/>
    <w:rsid w:val="00AF5718"/>
    <w:rsid w:val="00AF5A3C"/>
    <w:rsid w:val="00AF5A7C"/>
    <w:rsid w:val="00AF5AD5"/>
    <w:rsid w:val="00AF6025"/>
    <w:rsid w:val="00AF6740"/>
    <w:rsid w:val="00AF6BB8"/>
    <w:rsid w:val="00AF701D"/>
    <w:rsid w:val="00B002E2"/>
    <w:rsid w:val="00B0083C"/>
    <w:rsid w:val="00B01111"/>
    <w:rsid w:val="00B01167"/>
    <w:rsid w:val="00B01AFB"/>
    <w:rsid w:val="00B01BDC"/>
    <w:rsid w:val="00B02035"/>
    <w:rsid w:val="00B02A2B"/>
    <w:rsid w:val="00B03248"/>
    <w:rsid w:val="00B06601"/>
    <w:rsid w:val="00B07F6F"/>
    <w:rsid w:val="00B1092E"/>
    <w:rsid w:val="00B110A7"/>
    <w:rsid w:val="00B1163B"/>
    <w:rsid w:val="00B130E2"/>
    <w:rsid w:val="00B14D41"/>
    <w:rsid w:val="00B151DF"/>
    <w:rsid w:val="00B16B9F"/>
    <w:rsid w:val="00B20113"/>
    <w:rsid w:val="00B2065B"/>
    <w:rsid w:val="00B207AD"/>
    <w:rsid w:val="00B2098B"/>
    <w:rsid w:val="00B21D79"/>
    <w:rsid w:val="00B21DEA"/>
    <w:rsid w:val="00B21F74"/>
    <w:rsid w:val="00B23107"/>
    <w:rsid w:val="00B23359"/>
    <w:rsid w:val="00B249D2"/>
    <w:rsid w:val="00B2505F"/>
    <w:rsid w:val="00B25098"/>
    <w:rsid w:val="00B2697F"/>
    <w:rsid w:val="00B27335"/>
    <w:rsid w:val="00B27F2B"/>
    <w:rsid w:val="00B300F8"/>
    <w:rsid w:val="00B3067B"/>
    <w:rsid w:val="00B3079D"/>
    <w:rsid w:val="00B3094E"/>
    <w:rsid w:val="00B3154A"/>
    <w:rsid w:val="00B31AC8"/>
    <w:rsid w:val="00B330F6"/>
    <w:rsid w:val="00B33ED4"/>
    <w:rsid w:val="00B34203"/>
    <w:rsid w:val="00B34572"/>
    <w:rsid w:val="00B348F7"/>
    <w:rsid w:val="00B34BA2"/>
    <w:rsid w:val="00B3507F"/>
    <w:rsid w:val="00B37253"/>
    <w:rsid w:val="00B406E9"/>
    <w:rsid w:val="00B412F7"/>
    <w:rsid w:val="00B424DF"/>
    <w:rsid w:val="00B4295E"/>
    <w:rsid w:val="00B433F4"/>
    <w:rsid w:val="00B43AB6"/>
    <w:rsid w:val="00B43D31"/>
    <w:rsid w:val="00B43F38"/>
    <w:rsid w:val="00B441B2"/>
    <w:rsid w:val="00B443C5"/>
    <w:rsid w:val="00B4513B"/>
    <w:rsid w:val="00B451BC"/>
    <w:rsid w:val="00B463FE"/>
    <w:rsid w:val="00B4754B"/>
    <w:rsid w:val="00B476AA"/>
    <w:rsid w:val="00B50265"/>
    <w:rsid w:val="00B50BAC"/>
    <w:rsid w:val="00B5107D"/>
    <w:rsid w:val="00B51284"/>
    <w:rsid w:val="00B519C5"/>
    <w:rsid w:val="00B531C3"/>
    <w:rsid w:val="00B539EF"/>
    <w:rsid w:val="00B53A07"/>
    <w:rsid w:val="00B5466F"/>
    <w:rsid w:val="00B55126"/>
    <w:rsid w:val="00B551DA"/>
    <w:rsid w:val="00B5533E"/>
    <w:rsid w:val="00B555CA"/>
    <w:rsid w:val="00B55B05"/>
    <w:rsid w:val="00B573C7"/>
    <w:rsid w:val="00B577C5"/>
    <w:rsid w:val="00B60A6F"/>
    <w:rsid w:val="00B60E4F"/>
    <w:rsid w:val="00B61197"/>
    <w:rsid w:val="00B6175A"/>
    <w:rsid w:val="00B62C0C"/>
    <w:rsid w:val="00B62C59"/>
    <w:rsid w:val="00B62CFD"/>
    <w:rsid w:val="00B64334"/>
    <w:rsid w:val="00B64D10"/>
    <w:rsid w:val="00B6584F"/>
    <w:rsid w:val="00B65F94"/>
    <w:rsid w:val="00B66498"/>
    <w:rsid w:val="00B67D26"/>
    <w:rsid w:val="00B71734"/>
    <w:rsid w:val="00B71859"/>
    <w:rsid w:val="00B733AC"/>
    <w:rsid w:val="00B73530"/>
    <w:rsid w:val="00B742A1"/>
    <w:rsid w:val="00B754DE"/>
    <w:rsid w:val="00B76806"/>
    <w:rsid w:val="00B8231D"/>
    <w:rsid w:val="00B84014"/>
    <w:rsid w:val="00B84A70"/>
    <w:rsid w:val="00B84DE6"/>
    <w:rsid w:val="00B850AA"/>
    <w:rsid w:val="00B864F5"/>
    <w:rsid w:val="00B86DE2"/>
    <w:rsid w:val="00B87D27"/>
    <w:rsid w:val="00B87EC7"/>
    <w:rsid w:val="00B9038A"/>
    <w:rsid w:val="00B90B19"/>
    <w:rsid w:val="00B91592"/>
    <w:rsid w:val="00B91EC8"/>
    <w:rsid w:val="00B92E3B"/>
    <w:rsid w:val="00B935DF"/>
    <w:rsid w:val="00B93A32"/>
    <w:rsid w:val="00B94686"/>
    <w:rsid w:val="00B94850"/>
    <w:rsid w:val="00B94F21"/>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238"/>
    <w:rsid w:val="00BB7976"/>
    <w:rsid w:val="00BC2066"/>
    <w:rsid w:val="00BC39C9"/>
    <w:rsid w:val="00BC4A60"/>
    <w:rsid w:val="00BC4FE0"/>
    <w:rsid w:val="00BC504B"/>
    <w:rsid w:val="00BC53E8"/>
    <w:rsid w:val="00BC5ECB"/>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3A4"/>
    <w:rsid w:val="00BE1695"/>
    <w:rsid w:val="00BE2231"/>
    <w:rsid w:val="00BE27F0"/>
    <w:rsid w:val="00BE302C"/>
    <w:rsid w:val="00BE346E"/>
    <w:rsid w:val="00BE38CE"/>
    <w:rsid w:val="00BE4207"/>
    <w:rsid w:val="00BE5250"/>
    <w:rsid w:val="00BE5E4E"/>
    <w:rsid w:val="00BE6DA8"/>
    <w:rsid w:val="00BE72F1"/>
    <w:rsid w:val="00BF006D"/>
    <w:rsid w:val="00BF024A"/>
    <w:rsid w:val="00BF17AB"/>
    <w:rsid w:val="00BF1E4F"/>
    <w:rsid w:val="00BF208F"/>
    <w:rsid w:val="00BF2D66"/>
    <w:rsid w:val="00BF2D96"/>
    <w:rsid w:val="00BF2DE0"/>
    <w:rsid w:val="00BF333C"/>
    <w:rsid w:val="00BF33D7"/>
    <w:rsid w:val="00BF43F7"/>
    <w:rsid w:val="00BF5694"/>
    <w:rsid w:val="00BF6DA9"/>
    <w:rsid w:val="00BF7191"/>
    <w:rsid w:val="00BF7CA2"/>
    <w:rsid w:val="00C019AD"/>
    <w:rsid w:val="00C01A9E"/>
    <w:rsid w:val="00C01E44"/>
    <w:rsid w:val="00C02F78"/>
    <w:rsid w:val="00C0362E"/>
    <w:rsid w:val="00C04988"/>
    <w:rsid w:val="00C056A2"/>
    <w:rsid w:val="00C05CAA"/>
    <w:rsid w:val="00C0766D"/>
    <w:rsid w:val="00C07826"/>
    <w:rsid w:val="00C07BAF"/>
    <w:rsid w:val="00C1000A"/>
    <w:rsid w:val="00C10AAA"/>
    <w:rsid w:val="00C114FD"/>
    <w:rsid w:val="00C13112"/>
    <w:rsid w:val="00C16692"/>
    <w:rsid w:val="00C1698B"/>
    <w:rsid w:val="00C16DDF"/>
    <w:rsid w:val="00C20646"/>
    <w:rsid w:val="00C20703"/>
    <w:rsid w:val="00C20EA2"/>
    <w:rsid w:val="00C220B7"/>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AA9"/>
    <w:rsid w:val="00C62B13"/>
    <w:rsid w:val="00C62D76"/>
    <w:rsid w:val="00C66DD2"/>
    <w:rsid w:val="00C67E8A"/>
    <w:rsid w:val="00C7065F"/>
    <w:rsid w:val="00C71427"/>
    <w:rsid w:val="00C72447"/>
    <w:rsid w:val="00C7320D"/>
    <w:rsid w:val="00C7324B"/>
    <w:rsid w:val="00C739EC"/>
    <w:rsid w:val="00C73D51"/>
    <w:rsid w:val="00C73EF9"/>
    <w:rsid w:val="00C741B9"/>
    <w:rsid w:val="00C749B2"/>
    <w:rsid w:val="00C74C69"/>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87498"/>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3E3A"/>
    <w:rsid w:val="00CC5191"/>
    <w:rsid w:val="00CC61D1"/>
    <w:rsid w:val="00CC6E65"/>
    <w:rsid w:val="00CC7E3E"/>
    <w:rsid w:val="00CD01B5"/>
    <w:rsid w:val="00CD0372"/>
    <w:rsid w:val="00CD0F30"/>
    <w:rsid w:val="00CD125A"/>
    <w:rsid w:val="00CD148C"/>
    <w:rsid w:val="00CD2F6F"/>
    <w:rsid w:val="00CD4609"/>
    <w:rsid w:val="00CD5B2D"/>
    <w:rsid w:val="00CD5FE4"/>
    <w:rsid w:val="00CD67CA"/>
    <w:rsid w:val="00CE001B"/>
    <w:rsid w:val="00CE0D03"/>
    <w:rsid w:val="00CE1617"/>
    <w:rsid w:val="00CE1C00"/>
    <w:rsid w:val="00CE1F3D"/>
    <w:rsid w:val="00CE4680"/>
    <w:rsid w:val="00CE591C"/>
    <w:rsid w:val="00CE6ABD"/>
    <w:rsid w:val="00CE6D76"/>
    <w:rsid w:val="00CF03C9"/>
    <w:rsid w:val="00CF0990"/>
    <w:rsid w:val="00CF14E4"/>
    <w:rsid w:val="00CF1AD6"/>
    <w:rsid w:val="00CF1BB0"/>
    <w:rsid w:val="00CF2681"/>
    <w:rsid w:val="00CF280E"/>
    <w:rsid w:val="00CF28FD"/>
    <w:rsid w:val="00CF321F"/>
    <w:rsid w:val="00CF32C7"/>
    <w:rsid w:val="00CF35E0"/>
    <w:rsid w:val="00CF3873"/>
    <w:rsid w:val="00CF505D"/>
    <w:rsid w:val="00CF5194"/>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15CD"/>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20DD"/>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01EF"/>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3B2"/>
    <w:rsid w:val="00D96BD3"/>
    <w:rsid w:val="00D96D1B"/>
    <w:rsid w:val="00D9714A"/>
    <w:rsid w:val="00D97CBE"/>
    <w:rsid w:val="00DA0D61"/>
    <w:rsid w:val="00DA0F80"/>
    <w:rsid w:val="00DA2D5C"/>
    <w:rsid w:val="00DA4756"/>
    <w:rsid w:val="00DA4992"/>
    <w:rsid w:val="00DA4B81"/>
    <w:rsid w:val="00DA54FA"/>
    <w:rsid w:val="00DA59A3"/>
    <w:rsid w:val="00DA6C87"/>
    <w:rsid w:val="00DB06C6"/>
    <w:rsid w:val="00DB188B"/>
    <w:rsid w:val="00DB1BFE"/>
    <w:rsid w:val="00DB23EC"/>
    <w:rsid w:val="00DB2934"/>
    <w:rsid w:val="00DB31A2"/>
    <w:rsid w:val="00DB360F"/>
    <w:rsid w:val="00DB39C9"/>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84C"/>
    <w:rsid w:val="00DC4D48"/>
    <w:rsid w:val="00DC5443"/>
    <w:rsid w:val="00DC5C38"/>
    <w:rsid w:val="00DC6C28"/>
    <w:rsid w:val="00DC6E4F"/>
    <w:rsid w:val="00DC79C8"/>
    <w:rsid w:val="00DC7A4F"/>
    <w:rsid w:val="00DD0259"/>
    <w:rsid w:val="00DD030C"/>
    <w:rsid w:val="00DD046A"/>
    <w:rsid w:val="00DD0A89"/>
    <w:rsid w:val="00DD12A5"/>
    <w:rsid w:val="00DD34AD"/>
    <w:rsid w:val="00DD3FD4"/>
    <w:rsid w:val="00DD58F5"/>
    <w:rsid w:val="00DD6A3D"/>
    <w:rsid w:val="00DE3733"/>
    <w:rsid w:val="00DE38EE"/>
    <w:rsid w:val="00DE42BC"/>
    <w:rsid w:val="00DE4D1C"/>
    <w:rsid w:val="00DE5425"/>
    <w:rsid w:val="00DE5C46"/>
    <w:rsid w:val="00DE67F0"/>
    <w:rsid w:val="00DE710B"/>
    <w:rsid w:val="00DE731A"/>
    <w:rsid w:val="00DF059A"/>
    <w:rsid w:val="00DF07A3"/>
    <w:rsid w:val="00DF07CD"/>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0FDF"/>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34F2"/>
    <w:rsid w:val="00E2415E"/>
    <w:rsid w:val="00E2481B"/>
    <w:rsid w:val="00E25A0B"/>
    <w:rsid w:val="00E27978"/>
    <w:rsid w:val="00E27B5A"/>
    <w:rsid w:val="00E30039"/>
    <w:rsid w:val="00E30425"/>
    <w:rsid w:val="00E307D1"/>
    <w:rsid w:val="00E31335"/>
    <w:rsid w:val="00E32621"/>
    <w:rsid w:val="00E352E5"/>
    <w:rsid w:val="00E37769"/>
    <w:rsid w:val="00E40FB0"/>
    <w:rsid w:val="00E416B0"/>
    <w:rsid w:val="00E42100"/>
    <w:rsid w:val="00E43280"/>
    <w:rsid w:val="00E43A37"/>
    <w:rsid w:val="00E43B0C"/>
    <w:rsid w:val="00E4432E"/>
    <w:rsid w:val="00E4489C"/>
    <w:rsid w:val="00E44BFF"/>
    <w:rsid w:val="00E4593D"/>
    <w:rsid w:val="00E468FE"/>
    <w:rsid w:val="00E476A9"/>
    <w:rsid w:val="00E476DE"/>
    <w:rsid w:val="00E47D99"/>
    <w:rsid w:val="00E50863"/>
    <w:rsid w:val="00E50A55"/>
    <w:rsid w:val="00E52775"/>
    <w:rsid w:val="00E53B18"/>
    <w:rsid w:val="00E56707"/>
    <w:rsid w:val="00E61AA5"/>
    <w:rsid w:val="00E61D46"/>
    <w:rsid w:val="00E6215E"/>
    <w:rsid w:val="00E63785"/>
    <w:rsid w:val="00E64291"/>
    <w:rsid w:val="00E643BF"/>
    <w:rsid w:val="00E64E50"/>
    <w:rsid w:val="00E65177"/>
    <w:rsid w:val="00E660D8"/>
    <w:rsid w:val="00E66C85"/>
    <w:rsid w:val="00E66EFC"/>
    <w:rsid w:val="00E71EF5"/>
    <w:rsid w:val="00E721DF"/>
    <w:rsid w:val="00E72C1D"/>
    <w:rsid w:val="00E735B7"/>
    <w:rsid w:val="00E7415A"/>
    <w:rsid w:val="00E74241"/>
    <w:rsid w:val="00E75092"/>
    <w:rsid w:val="00E75B35"/>
    <w:rsid w:val="00E766DC"/>
    <w:rsid w:val="00E76E60"/>
    <w:rsid w:val="00E77E5A"/>
    <w:rsid w:val="00E80318"/>
    <w:rsid w:val="00E81F75"/>
    <w:rsid w:val="00E82415"/>
    <w:rsid w:val="00E82DCB"/>
    <w:rsid w:val="00E836CE"/>
    <w:rsid w:val="00E874A7"/>
    <w:rsid w:val="00E87BB5"/>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3E5E"/>
    <w:rsid w:val="00EA44E9"/>
    <w:rsid w:val="00EA4B2C"/>
    <w:rsid w:val="00EA5E4F"/>
    <w:rsid w:val="00EA6022"/>
    <w:rsid w:val="00EA6C85"/>
    <w:rsid w:val="00EA78F6"/>
    <w:rsid w:val="00EA7E39"/>
    <w:rsid w:val="00EB009E"/>
    <w:rsid w:val="00EB0997"/>
    <w:rsid w:val="00EB3D4F"/>
    <w:rsid w:val="00EB43FE"/>
    <w:rsid w:val="00EB5B68"/>
    <w:rsid w:val="00EB6380"/>
    <w:rsid w:val="00EB7409"/>
    <w:rsid w:val="00EB78AC"/>
    <w:rsid w:val="00EB7950"/>
    <w:rsid w:val="00EB7D0B"/>
    <w:rsid w:val="00EC121A"/>
    <w:rsid w:val="00EC1279"/>
    <w:rsid w:val="00EC12F0"/>
    <w:rsid w:val="00EC1A5E"/>
    <w:rsid w:val="00EC1B68"/>
    <w:rsid w:val="00EC1DB9"/>
    <w:rsid w:val="00EC2674"/>
    <w:rsid w:val="00EC2698"/>
    <w:rsid w:val="00EC2CFD"/>
    <w:rsid w:val="00EC3015"/>
    <w:rsid w:val="00EC3E88"/>
    <w:rsid w:val="00EC45BC"/>
    <w:rsid w:val="00EC46C3"/>
    <w:rsid w:val="00EC4774"/>
    <w:rsid w:val="00EC5EF6"/>
    <w:rsid w:val="00EC6042"/>
    <w:rsid w:val="00EC669F"/>
    <w:rsid w:val="00EC7751"/>
    <w:rsid w:val="00ED05F6"/>
    <w:rsid w:val="00ED2410"/>
    <w:rsid w:val="00ED3ADF"/>
    <w:rsid w:val="00ED553C"/>
    <w:rsid w:val="00ED555E"/>
    <w:rsid w:val="00ED633A"/>
    <w:rsid w:val="00ED7610"/>
    <w:rsid w:val="00ED7758"/>
    <w:rsid w:val="00ED7877"/>
    <w:rsid w:val="00EE0840"/>
    <w:rsid w:val="00EE0DBB"/>
    <w:rsid w:val="00EE10F4"/>
    <w:rsid w:val="00EE19AB"/>
    <w:rsid w:val="00EE1D10"/>
    <w:rsid w:val="00EE2FBF"/>
    <w:rsid w:val="00EE3513"/>
    <w:rsid w:val="00EE36DC"/>
    <w:rsid w:val="00EE6A7B"/>
    <w:rsid w:val="00EE711D"/>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259C"/>
    <w:rsid w:val="00F0346B"/>
    <w:rsid w:val="00F03A97"/>
    <w:rsid w:val="00F03C65"/>
    <w:rsid w:val="00F045C2"/>
    <w:rsid w:val="00F0479D"/>
    <w:rsid w:val="00F05AAC"/>
    <w:rsid w:val="00F064B3"/>
    <w:rsid w:val="00F07525"/>
    <w:rsid w:val="00F07F9E"/>
    <w:rsid w:val="00F12D02"/>
    <w:rsid w:val="00F130E3"/>
    <w:rsid w:val="00F13EEE"/>
    <w:rsid w:val="00F14B31"/>
    <w:rsid w:val="00F14C02"/>
    <w:rsid w:val="00F156F2"/>
    <w:rsid w:val="00F202B9"/>
    <w:rsid w:val="00F208A7"/>
    <w:rsid w:val="00F22A6D"/>
    <w:rsid w:val="00F22AE9"/>
    <w:rsid w:val="00F23389"/>
    <w:rsid w:val="00F247E1"/>
    <w:rsid w:val="00F253F6"/>
    <w:rsid w:val="00F253FD"/>
    <w:rsid w:val="00F25DCF"/>
    <w:rsid w:val="00F25DF9"/>
    <w:rsid w:val="00F27AD7"/>
    <w:rsid w:val="00F3016C"/>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603C"/>
    <w:rsid w:val="00F47751"/>
    <w:rsid w:val="00F5077B"/>
    <w:rsid w:val="00F50D08"/>
    <w:rsid w:val="00F52F0C"/>
    <w:rsid w:val="00F53648"/>
    <w:rsid w:val="00F5378D"/>
    <w:rsid w:val="00F5567F"/>
    <w:rsid w:val="00F55E39"/>
    <w:rsid w:val="00F56142"/>
    <w:rsid w:val="00F56CA7"/>
    <w:rsid w:val="00F57412"/>
    <w:rsid w:val="00F60E85"/>
    <w:rsid w:val="00F6142D"/>
    <w:rsid w:val="00F6172F"/>
    <w:rsid w:val="00F6226B"/>
    <w:rsid w:val="00F62354"/>
    <w:rsid w:val="00F62963"/>
    <w:rsid w:val="00F62C06"/>
    <w:rsid w:val="00F63779"/>
    <w:rsid w:val="00F63BDE"/>
    <w:rsid w:val="00F64573"/>
    <w:rsid w:val="00F64F15"/>
    <w:rsid w:val="00F6580A"/>
    <w:rsid w:val="00F663EF"/>
    <w:rsid w:val="00F70857"/>
    <w:rsid w:val="00F70B70"/>
    <w:rsid w:val="00F71010"/>
    <w:rsid w:val="00F71986"/>
    <w:rsid w:val="00F720F6"/>
    <w:rsid w:val="00F731E1"/>
    <w:rsid w:val="00F732FE"/>
    <w:rsid w:val="00F73E54"/>
    <w:rsid w:val="00F76AC1"/>
    <w:rsid w:val="00F76E00"/>
    <w:rsid w:val="00F76FD2"/>
    <w:rsid w:val="00F77010"/>
    <w:rsid w:val="00F7741D"/>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1E09"/>
    <w:rsid w:val="00F92C78"/>
    <w:rsid w:val="00F934C1"/>
    <w:rsid w:val="00F93F80"/>
    <w:rsid w:val="00F94694"/>
    <w:rsid w:val="00F94A6F"/>
    <w:rsid w:val="00F95226"/>
    <w:rsid w:val="00F96424"/>
    <w:rsid w:val="00F964FF"/>
    <w:rsid w:val="00F9796B"/>
    <w:rsid w:val="00F97F30"/>
    <w:rsid w:val="00FA03E0"/>
    <w:rsid w:val="00FA1E1F"/>
    <w:rsid w:val="00FA1F06"/>
    <w:rsid w:val="00FA23F7"/>
    <w:rsid w:val="00FA317D"/>
    <w:rsid w:val="00FA3372"/>
    <w:rsid w:val="00FA3D3F"/>
    <w:rsid w:val="00FA4E2D"/>
    <w:rsid w:val="00FA5CDA"/>
    <w:rsid w:val="00FA60B7"/>
    <w:rsid w:val="00FA7701"/>
    <w:rsid w:val="00FB03A2"/>
    <w:rsid w:val="00FB04CD"/>
    <w:rsid w:val="00FB0889"/>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AFB"/>
    <w:rsid w:val="00FE1BC4"/>
    <w:rsid w:val="00FE1E3F"/>
    <w:rsid w:val="00FE208A"/>
    <w:rsid w:val="00FE289D"/>
    <w:rsid w:val="00FE2D20"/>
    <w:rsid w:val="00FE3914"/>
    <w:rsid w:val="00FE50E9"/>
    <w:rsid w:val="00FE68A8"/>
    <w:rsid w:val="00FE6DDB"/>
    <w:rsid w:val="00FE7B0F"/>
    <w:rsid w:val="00FE7F3F"/>
    <w:rsid w:val="00FF0090"/>
    <w:rsid w:val="00FF0857"/>
    <w:rsid w:val="00FF0A5B"/>
    <w:rsid w:val="00FF1535"/>
    <w:rsid w:val="00FF20B4"/>
    <w:rsid w:val="00FF3207"/>
    <w:rsid w:val="00FF33F5"/>
    <w:rsid w:val="00FF3B65"/>
    <w:rsid w:val="00FF3D5D"/>
    <w:rsid w:val="00FF4176"/>
    <w:rsid w:val="00FF55E0"/>
    <w:rsid w:val="00FF6BD0"/>
    <w:rsid w:val="00FF706A"/>
    <w:rsid w:val="011032C9"/>
    <w:rsid w:val="01477BCB"/>
    <w:rsid w:val="0165774F"/>
    <w:rsid w:val="017513A9"/>
    <w:rsid w:val="01B11E35"/>
    <w:rsid w:val="01C62B3E"/>
    <w:rsid w:val="021D2E65"/>
    <w:rsid w:val="028407B3"/>
    <w:rsid w:val="02AB3D4B"/>
    <w:rsid w:val="02F2197A"/>
    <w:rsid w:val="03217B69"/>
    <w:rsid w:val="03665B50"/>
    <w:rsid w:val="03BE04CC"/>
    <w:rsid w:val="03E62EB1"/>
    <w:rsid w:val="03EC63C9"/>
    <w:rsid w:val="0413149A"/>
    <w:rsid w:val="0422003D"/>
    <w:rsid w:val="042913CB"/>
    <w:rsid w:val="04FF7556"/>
    <w:rsid w:val="054E19A4"/>
    <w:rsid w:val="05771562"/>
    <w:rsid w:val="05826495"/>
    <w:rsid w:val="05852CF4"/>
    <w:rsid w:val="05927A85"/>
    <w:rsid w:val="05CD5A09"/>
    <w:rsid w:val="060F639F"/>
    <w:rsid w:val="066E7569"/>
    <w:rsid w:val="06B37672"/>
    <w:rsid w:val="078F3BF1"/>
    <w:rsid w:val="07A87B3A"/>
    <w:rsid w:val="080E26A1"/>
    <w:rsid w:val="081A348F"/>
    <w:rsid w:val="088C088F"/>
    <w:rsid w:val="096961E0"/>
    <w:rsid w:val="09B3443D"/>
    <w:rsid w:val="09C1409A"/>
    <w:rsid w:val="0A743D85"/>
    <w:rsid w:val="0A7A1854"/>
    <w:rsid w:val="0B6065BA"/>
    <w:rsid w:val="0B961C47"/>
    <w:rsid w:val="0BD55F69"/>
    <w:rsid w:val="0C152235"/>
    <w:rsid w:val="0C3B6140"/>
    <w:rsid w:val="0CD848B8"/>
    <w:rsid w:val="0D504342"/>
    <w:rsid w:val="0D870F11"/>
    <w:rsid w:val="0DB02216"/>
    <w:rsid w:val="0DC5128C"/>
    <w:rsid w:val="0DD9114E"/>
    <w:rsid w:val="0E0408E9"/>
    <w:rsid w:val="0E1664AC"/>
    <w:rsid w:val="0E1C525D"/>
    <w:rsid w:val="0E260891"/>
    <w:rsid w:val="0E725164"/>
    <w:rsid w:val="0EFE4AC2"/>
    <w:rsid w:val="0F882744"/>
    <w:rsid w:val="0F897152"/>
    <w:rsid w:val="0F8C22AE"/>
    <w:rsid w:val="101F37A7"/>
    <w:rsid w:val="10CD159B"/>
    <w:rsid w:val="10D02C05"/>
    <w:rsid w:val="10D34B99"/>
    <w:rsid w:val="110732FE"/>
    <w:rsid w:val="115B2DE0"/>
    <w:rsid w:val="11802A9D"/>
    <w:rsid w:val="11A27ED6"/>
    <w:rsid w:val="11D14F29"/>
    <w:rsid w:val="12606AD8"/>
    <w:rsid w:val="12A065D5"/>
    <w:rsid w:val="12A46CBE"/>
    <w:rsid w:val="12B207DE"/>
    <w:rsid w:val="12C66037"/>
    <w:rsid w:val="12D91221"/>
    <w:rsid w:val="134C6EF1"/>
    <w:rsid w:val="13693592"/>
    <w:rsid w:val="137E6AE5"/>
    <w:rsid w:val="13C366E3"/>
    <w:rsid w:val="143F0797"/>
    <w:rsid w:val="1451773B"/>
    <w:rsid w:val="149418A3"/>
    <w:rsid w:val="14C0689A"/>
    <w:rsid w:val="14CB202B"/>
    <w:rsid w:val="14CD3A88"/>
    <w:rsid w:val="14EB5FBC"/>
    <w:rsid w:val="15702678"/>
    <w:rsid w:val="159113BF"/>
    <w:rsid w:val="161A6DC6"/>
    <w:rsid w:val="163F0643"/>
    <w:rsid w:val="16C50244"/>
    <w:rsid w:val="16CF733A"/>
    <w:rsid w:val="171638DB"/>
    <w:rsid w:val="172A2E7A"/>
    <w:rsid w:val="172C1744"/>
    <w:rsid w:val="17476AD5"/>
    <w:rsid w:val="176651A7"/>
    <w:rsid w:val="17B2302E"/>
    <w:rsid w:val="17B23574"/>
    <w:rsid w:val="18345ABA"/>
    <w:rsid w:val="1851727E"/>
    <w:rsid w:val="186A5405"/>
    <w:rsid w:val="18932E60"/>
    <w:rsid w:val="189645C0"/>
    <w:rsid w:val="18C82B09"/>
    <w:rsid w:val="18DA146E"/>
    <w:rsid w:val="18FB5139"/>
    <w:rsid w:val="192F2B88"/>
    <w:rsid w:val="194B16A1"/>
    <w:rsid w:val="19762565"/>
    <w:rsid w:val="19AF5A77"/>
    <w:rsid w:val="19B74463"/>
    <w:rsid w:val="19BC232B"/>
    <w:rsid w:val="19D35C0A"/>
    <w:rsid w:val="1A4505F1"/>
    <w:rsid w:val="1A7E4FCF"/>
    <w:rsid w:val="1A8211B0"/>
    <w:rsid w:val="1A8A42CA"/>
    <w:rsid w:val="1AE46560"/>
    <w:rsid w:val="1AED4AA9"/>
    <w:rsid w:val="1B217338"/>
    <w:rsid w:val="1B2A593E"/>
    <w:rsid w:val="1B3D037C"/>
    <w:rsid w:val="1B4C36BB"/>
    <w:rsid w:val="1B5A5C6B"/>
    <w:rsid w:val="1BAB6C8D"/>
    <w:rsid w:val="1C591711"/>
    <w:rsid w:val="1C6F2165"/>
    <w:rsid w:val="1C7539D5"/>
    <w:rsid w:val="1C7F0946"/>
    <w:rsid w:val="1C93342E"/>
    <w:rsid w:val="1CBD1967"/>
    <w:rsid w:val="1D0936F0"/>
    <w:rsid w:val="1D126FDD"/>
    <w:rsid w:val="1D2F75FB"/>
    <w:rsid w:val="1D8B05A9"/>
    <w:rsid w:val="1DCA664E"/>
    <w:rsid w:val="1DEE0E67"/>
    <w:rsid w:val="1DF12B02"/>
    <w:rsid w:val="1DF717DC"/>
    <w:rsid w:val="1E3F080B"/>
    <w:rsid w:val="1E450182"/>
    <w:rsid w:val="1E5D0198"/>
    <w:rsid w:val="1EDA53E2"/>
    <w:rsid w:val="1EE07F7F"/>
    <w:rsid w:val="1F4F72C9"/>
    <w:rsid w:val="1F5327B5"/>
    <w:rsid w:val="1FA977BF"/>
    <w:rsid w:val="1FC3402A"/>
    <w:rsid w:val="1FE94A78"/>
    <w:rsid w:val="20083BF5"/>
    <w:rsid w:val="201A0CF7"/>
    <w:rsid w:val="20510066"/>
    <w:rsid w:val="206E2E3C"/>
    <w:rsid w:val="20C95670"/>
    <w:rsid w:val="20D06740"/>
    <w:rsid w:val="20EF0E4F"/>
    <w:rsid w:val="20FB4104"/>
    <w:rsid w:val="21050673"/>
    <w:rsid w:val="213F215E"/>
    <w:rsid w:val="21493877"/>
    <w:rsid w:val="214F7FD4"/>
    <w:rsid w:val="216D6944"/>
    <w:rsid w:val="21EF2BF7"/>
    <w:rsid w:val="2217457B"/>
    <w:rsid w:val="22245171"/>
    <w:rsid w:val="2235046F"/>
    <w:rsid w:val="22386288"/>
    <w:rsid w:val="22503C1D"/>
    <w:rsid w:val="227B3D94"/>
    <w:rsid w:val="227C521C"/>
    <w:rsid w:val="229B4DEB"/>
    <w:rsid w:val="22DA3E91"/>
    <w:rsid w:val="230E43B2"/>
    <w:rsid w:val="234731C4"/>
    <w:rsid w:val="23553BB3"/>
    <w:rsid w:val="239E5129"/>
    <w:rsid w:val="241067BA"/>
    <w:rsid w:val="24400E1F"/>
    <w:rsid w:val="247C2530"/>
    <w:rsid w:val="247D51DF"/>
    <w:rsid w:val="247E0175"/>
    <w:rsid w:val="248520D7"/>
    <w:rsid w:val="25461B93"/>
    <w:rsid w:val="25755DC7"/>
    <w:rsid w:val="257A1221"/>
    <w:rsid w:val="258F538D"/>
    <w:rsid w:val="26441671"/>
    <w:rsid w:val="26755F3B"/>
    <w:rsid w:val="26A839AE"/>
    <w:rsid w:val="26E0484D"/>
    <w:rsid w:val="27264850"/>
    <w:rsid w:val="27443528"/>
    <w:rsid w:val="27482DA8"/>
    <w:rsid w:val="27595274"/>
    <w:rsid w:val="280B0CBD"/>
    <w:rsid w:val="28174256"/>
    <w:rsid w:val="28312E15"/>
    <w:rsid w:val="283C1DD8"/>
    <w:rsid w:val="28E87C1A"/>
    <w:rsid w:val="29080D00"/>
    <w:rsid w:val="29810EE0"/>
    <w:rsid w:val="299C7E10"/>
    <w:rsid w:val="299E15A9"/>
    <w:rsid w:val="29DB6899"/>
    <w:rsid w:val="2A0C4820"/>
    <w:rsid w:val="2A494F4A"/>
    <w:rsid w:val="2A510C9C"/>
    <w:rsid w:val="2A6C52BE"/>
    <w:rsid w:val="2A805769"/>
    <w:rsid w:val="2A831E2D"/>
    <w:rsid w:val="2ADA11FD"/>
    <w:rsid w:val="2AE03E77"/>
    <w:rsid w:val="2B02634F"/>
    <w:rsid w:val="2B4104F9"/>
    <w:rsid w:val="2BB03D3C"/>
    <w:rsid w:val="2BD05397"/>
    <w:rsid w:val="2C0734F1"/>
    <w:rsid w:val="2C0E4701"/>
    <w:rsid w:val="2C1D6BD5"/>
    <w:rsid w:val="2C546A99"/>
    <w:rsid w:val="2CA44507"/>
    <w:rsid w:val="2CBB4208"/>
    <w:rsid w:val="2CC32C39"/>
    <w:rsid w:val="2CDC0F6F"/>
    <w:rsid w:val="2CE46631"/>
    <w:rsid w:val="2CFD7770"/>
    <w:rsid w:val="2D3A16A4"/>
    <w:rsid w:val="2D606C10"/>
    <w:rsid w:val="2D6D5C07"/>
    <w:rsid w:val="2D7A3971"/>
    <w:rsid w:val="2D921A7D"/>
    <w:rsid w:val="2DA03BFD"/>
    <w:rsid w:val="2DAF2092"/>
    <w:rsid w:val="2EB8264A"/>
    <w:rsid w:val="2F155F21"/>
    <w:rsid w:val="2F914D18"/>
    <w:rsid w:val="2FA87B82"/>
    <w:rsid w:val="30143F05"/>
    <w:rsid w:val="30235B53"/>
    <w:rsid w:val="30F85AFE"/>
    <w:rsid w:val="31996FDB"/>
    <w:rsid w:val="321D7FAE"/>
    <w:rsid w:val="322643C9"/>
    <w:rsid w:val="32383A46"/>
    <w:rsid w:val="327C79C0"/>
    <w:rsid w:val="3296737C"/>
    <w:rsid w:val="32D84909"/>
    <w:rsid w:val="33305A23"/>
    <w:rsid w:val="337A31A4"/>
    <w:rsid w:val="33842D58"/>
    <w:rsid w:val="33C2377D"/>
    <w:rsid w:val="33C318AB"/>
    <w:rsid w:val="33E6570C"/>
    <w:rsid w:val="33F14B85"/>
    <w:rsid w:val="34293A3F"/>
    <w:rsid w:val="34710119"/>
    <w:rsid w:val="347673CF"/>
    <w:rsid w:val="348E47AF"/>
    <w:rsid w:val="34DF325D"/>
    <w:rsid w:val="35444772"/>
    <w:rsid w:val="35586B6B"/>
    <w:rsid w:val="36297FEC"/>
    <w:rsid w:val="364C66D0"/>
    <w:rsid w:val="36566100"/>
    <w:rsid w:val="365F17D9"/>
    <w:rsid w:val="36806E56"/>
    <w:rsid w:val="36C1498C"/>
    <w:rsid w:val="36E763F9"/>
    <w:rsid w:val="36FA25D0"/>
    <w:rsid w:val="3795459A"/>
    <w:rsid w:val="37B3452D"/>
    <w:rsid w:val="384C2872"/>
    <w:rsid w:val="3947656F"/>
    <w:rsid w:val="39560B33"/>
    <w:rsid w:val="39657518"/>
    <w:rsid w:val="398840B5"/>
    <w:rsid w:val="39A8171C"/>
    <w:rsid w:val="39EA702F"/>
    <w:rsid w:val="3AB234E7"/>
    <w:rsid w:val="3ABA54C6"/>
    <w:rsid w:val="3ABF56FA"/>
    <w:rsid w:val="3B1855C6"/>
    <w:rsid w:val="3B1E59BD"/>
    <w:rsid w:val="3B3B31B7"/>
    <w:rsid w:val="3B5D41A9"/>
    <w:rsid w:val="3B6237C2"/>
    <w:rsid w:val="3B8C3A12"/>
    <w:rsid w:val="3BC57B8F"/>
    <w:rsid w:val="3BCA5316"/>
    <w:rsid w:val="3BE056F1"/>
    <w:rsid w:val="3BE159ED"/>
    <w:rsid w:val="3C1F7ED7"/>
    <w:rsid w:val="3C2B4FD9"/>
    <w:rsid w:val="3C4953F6"/>
    <w:rsid w:val="3C7A15FE"/>
    <w:rsid w:val="3C7A2F1B"/>
    <w:rsid w:val="3C9C54B2"/>
    <w:rsid w:val="3CB745C8"/>
    <w:rsid w:val="3CB75C8C"/>
    <w:rsid w:val="3CD842BA"/>
    <w:rsid w:val="3CED04E1"/>
    <w:rsid w:val="3D0F5FEB"/>
    <w:rsid w:val="3D154364"/>
    <w:rsid w:val="3D3922A2"/>
    <w:rsid w:val="3D734A47"/>
    <w:rsid w:val="3D92781D"/>
    <w:rsid w:val="3DAB77F5"/>
    <w:rsid w:val="3DCC2C13"/>
    <w:rsid w:val="3DE82198"/>
    <w:rsid w:val="3E2D1234"/>
    <w:rsid w:val="3E846C23"/>
    <w:rsid w:val="3E884A7C"/>
    <w:rsid w:val="3E913314"/>
    <w:rsid w:val="3EA07B02"/>
    <w:rsid w:val="3EAD0CC4"/>
    <w:rsid w:val="3ED10533"/>
    <w:rsid w:val="3EDE7167"/>
    <w:rsid w:val="3EE649B0"/>
    <w:rsid w:val="3EFE4C27"/>
    <w:rsid w:val="3F3B0C9D"/>
    <w:rsid w:val="3FBB6674"/>
    <w:rsid w:val="3FDD1D9F"/>
    <w:rsid w:val="3FDF4001"/>
    <w:rsid w:val="3FF20EF0"/>
    <w:rsid w:val="3FF81C6C"/>
    <w:rsid w:val="40023ED6"/>
    <w:rsid w:val="40507645"/>
    <w:rsid w:val="409273C5"/>
    <w:rsid w:val="409A272E"/>
    <w:rsid w:val="40AB1B96"/>
    <w:rsid w:val="40AC57AD"/>
    <w:rsid w:val="40C95B0C"/>
    <w:rsid w:val="40DA0D7C"/>
    <w:rsid w:val="40E02836"/>
    <w:rsid w:val="41067DC3"/>
    <w:rsid w:val="4116259D"/>
    <w:rsid w:val="41724CF5"/>
    <w:rsid w:val="418A2378"/>
    <w:rsid w:val="41E37EB6"/>
    <w:rsid w:val="42C86C2C"/>
    <w:rsid w:val="43422FC4"/>
    <w:rsid w:val="434B5F61"/>
    <w:rsid w:val="43B9736F"/>
    <w:rsid w:val="440C56F0"/>
    <w:rsid w:val="44615A3C"/>
    <w:rsid w:val="448D5F45"/>
    <w:rsid w:val="45092B28"/>
    <w:rsid w:val="451166B5"/>
    <w:rsid w:val="451933BF"/>
    <w:rsid w:val="45325A24"/>
    <w:rsid w:val="45381387"/>
    <w:rsid w:val="45970786"/>
    <w:rsid w:val="45BE0526"/>
    <w:rsid w:val="45CC091B"/>
    <w:rsid w:val="45E76415"/>
    <w:rsid w:val="463D6035"/>
    <w:rsid w:val="46521F1E"/>
    <w:rsid w:val="46B87BDD"/>
    <w:rsid w:val="46D5554A"/>
    <w:rsid w:val="46E850EA"/>
    <w:rsid w:val="46F94504"/>
    <w:rsid w:val="471A6376"/>
    <w:rsid w:val="476F2186"/>
    <w:rsid w:val="479D1CC1"/>
    <w:rsid w:val="47C83729"/>
    <w:rsid w:val="47F807CD"/>
    <w:rsid w:val="48454C1B"/>
    <w:rsid w:val="48472F17"/>
    <w:rsid w:val="484D39DA"/>
    <w:rsid w:val="48590EF7"/>
    <w:rsid w:val="48620222"/>
    <w:rsid w:val="48952302"/>
    <w:rsid w:val="48B06C95"/>
    <w:rsid w:val="48BD16AF"/>
    <w:rsid w:val="490C7D41"/>
    <w:rsid w:val="495649FA"/>
    <w:rsid w:val="4A204B14"/>
    <w:rsid w:val="4A4A1C24"/>
    <w:rsid w:val="4A69067C"/>
    <w:rsid w:val="4AB12DCF"/>
    <w:rsid w:val="4AB40015"/>
    <w:rsid w:val="4AE31F58"/>
    <w:rsid w:val="4B054C48"/>
    <w:rsid w:val="4B0D3348"/>
    <w:rsid w:val="4B31189E"/>
    <w:rsid w:val="4B406CC7"/>
    <w:rsid w:val="4BA426B2"/>
    <w:rsid w:val="4C71597A"/>
    <w:rsid w:val="4CEA0599"/>
    <w:rsid w:val="4D441B1E"/>
    <w:rsid w:val="4D4C4DB0"/>
    <w:rsid w:val="4D690508"/>
    <w:rsid w:val="4DB43081"/>
    <w:rsid w:val="4DB52828"/>
    <w:rsid w:val="4DFB054F"/>
    <w:rsid w:val="4E21448E"/>
    <w:rsid w:val="4EA40E15"/>
    <w:rsid w:val="4EC90CCF"/>
    <w:rsid w:val="4ECB040D"/>
    <w:rsid w:val="4EE014EC"/>
    <w:rsid w:val="4EEA5B05"/>
    <w:rsid w:val="4F0D339E"/>
    <w:rsid w:val="4F277882"/>
    <w:rsid w:val="4F2B6026"/>
    <w:rsid w:val="4F46700B"/>
    <w:rsid w:val="4F4A7C2E"/>
    <w:rsid w:val="4F6C1739"/>
    <w:rsid w:val="4F7C445D"/>
    <w:rsid w:val="4FAA3D56"/>
    <w:rsid w:val="4FAC0CFF"/>
    <w:rsid w:val="4FB542D4"/>
    <w:rsid w:val="50242014"/>
    <w:rsid w:val="503F0BFC"/>
    <w:rsid w:val="50916485"/>
    <w:rsid w:val="509A7021"/>
    <w:rsid w:val="50A63F9F"/>
    <w:rsid w:val="50CE4F4B"/>
    <w:rsid w:val="50FF32D2"/>
    <w:rsid w:val="51044A52"/>
    <w:rsid w:val="510B4369"/>
    <w:rsid w:val="512A18AC"/>
    <w:rsid w:val="51424ECF"/>
    <w:rsid w:val="51550EA9"/>
    <w:rsid w:val="517E39D7"/>
    <w:rsid w:val="519A542A"/>
    <w:rsid w:val="51CB6BEB"/>
    <w:rsid w:val="51CD4715"/>
    <w:rsid w:val="51EE06FB"/>
    <w:rsid w:val="52016BD2"/>
    <w:rsid w:val="52151C5C"/>
    <w:rsid w:val="52603BA0"/>
    <w:rsid w:val="527B0E1B"/>
    <w:rsid w:val="52D47D21"/>
    <w:rsid w:val="537230CA"/>
    <w:rsid w:val="53D6609D"/>
    <w:rsid w:val="53FC6ACE"/>
    <w:rsid w:val="54147B52"/>
    <w:rsid w:val="5422216D"/>
    <w:rsid w:val="54660E4D"/>
    <w:rsid w:val="5484665D"/>
    <w:rsid w:val="54E95397"/>
    <w:rsid w:val="558D5808"/>
    <w:rsid w:val="558F5415"/>
    <w:rsid w:val="55961626"/>
    <w:rsid w:val="55FF50B5"/>
    <w:rsid w:val="56073F6A"/>
    <w:rsid w:val="56174349"/>
    <w:rsid w:val="56215A85"/>
    <w:rsid w:val="563C1E65"/>
    <w:rsid w:val="564D060A"/>
    <w:rsid w:val="56BC5F12"/>
    <w:rsid w:val="56BF4844"/>
    <w:rsid w:val="56D95720"/>
    <w:rsid w:val="57155A40"/>
    <w:rsid w:val="575A2A2C"/>
    <w:rsid w:val="575C1CC8"/>
    <w:rsid w:val="5780763F"/>
    <w:rsid w:val="57B40121"/>
    <w:rsid w:val="580C532F"/>
    <w:rsid w:val="586A6BDB"/>
    <w:rsid w:val="586D2BCD"/>
    <w:rsid w:val="587961F1"/>
    <w:rsid w:val="58832326"/>
    <w:rsid w:val="58A957AC"/>
    <w:rsid w:val="58CB6BE3"/>
    <w:rsid w:val="58DF56BC"/>
    <w:rsid w:val="595B4CF8"/>
    <w:rsid w:val="596811C3"/>
    <w:rsid w:val="5991071A"/>
    <w:rsid w:val="59A2740C"/>
    <w:rsid w:val="59B71030"/>
    <w:rsid w:val="59B75A38"/>
    <w:rsid w:val="59BB08D8"/>
    <w:rsid w:val="5A160809"/>
    <w:rsid w:val="5A5D7CC7"/>
    <w:rsid w:val="5AB7186C"/>
    <w:rsid w:val="5AF133E1"/>
    <w:rsid w:val="5C0E0B8D"/>
    <w:rsid w:val="5C37671C"/>
    <w:rsid w:val="5C673325"/>
    <w:rsid w:val="5C757E7F"/>
    <w:rsid w:val="5CC11316"/>
    <w:rsid w:val="5CCB3F43"/>
    <w:rsid w:val="5D5D591D"/>
    <w:rsid w:val="5D783CDA"/>
    <w:rsid w:val="5E67546A"/>
    <w:rsid w:val="5E7509F3"/>
    <w:rsid w:val="5F0A6F31"/>
    <w:rsid w:val="5F2658AB"/>
    <w:rsid w:val="5FC4513D"/>
    <w:rsid w:val="5FC51DA0"/>
    <w:rsid w:val="60232C89"/>
    <w:rsid w:val="60602BF4"/>
    <w:rsid w:val="6080745F"/>
    <w:rsid w:val="61314591"/>
    <w:rsid w:val="6131633F"/>
    <w:rsid w:val="616F47F8"/>
    <w:rsid w:val="626B5458"/>
    <w:rsid w:val="6279306C"/>
    <w:rsid w:val="62982F8C"/>
    <w:rsid w:val="62EF64B1"/>
    <w:rsid w:val="62F7618C"/>
    <w:rsid w:val="63AD56B0"/>
    <w:rsid w:val="63DF4596"/>
    <w:rsid w:val="63F14444"/>
    <w:rsid w:val="642F4DB7"/>
    <w:rsid w:val="644B5969"/>
    <w:rsid w:val="64AA756E"/>
    <w:rsid w:val="64AC28AC"/>
    <w:rsid w:val="64D0523F"/>
    <w:rsid w:val="64D43BB1"/>
    <w:rsid w:val="65037FF2"/>
    <w:rsid w:val="65213759"/>
    <w:rsid w:val="65926EDA"/>
    <w:rsid w:val="65AA7225"/>
    <w:rsid w:val="65D07218"/>
    <w:rsid w:val="661965E1"/>
    <w:rsid w:val="664A6DB3"/>
    <w:rsid w:val="667446D6"/>
    <w:rsid w:val="67527824"/>
    <w:rsid w:val="67661BC6"/>
    <w:rsid w:val="67A7735B"/>
    <w:rsid w:val="67AA59CE"/>
    <w:rsid w:val="68021003"/>
    <w:rsid w:val="68024095"/>
    <w:rsid w:val="68137D28"/>
    <w:rsid w:val="682B7F8C"/>
    <w:rsid w:val="6864090D"/>
    <w:rsid w:val="68E819D9"/>
    <w:rsid w:val="692D1AE1"/>
    <w:rsid w:val="696B5AAF"/>
    <w:rsid w:val="698F4691"/>
    <w:rsid w:val="69903460"/>
    <w:rsid w:val="699851AD"/>
    <w:rsid w:val="69B67D29"/>
    <w:rsid w:val="69C85B3E"/>
    <w:rsid w:val="6B2111D2"/>
    <w:rsid w:val="6BE83A33"/>
    <w:rsid w:val="6C113D26"/>
    <w:rsid w:val="6C1B20C5"/>
    <w:rsid w:val="6C3311BD"/>
    <w:rsid w:val="6C717FC7"/>
    <w:rsid w:val="6CAA3DF3"/>
    <w:rsid w:val="6D0A10DE"/>
    <w:rsid w:val="6D4E6DD0"/>
    <w:rsid w:val="6DD100F1"/>
    <w:rsid w:val="6E2A65EF"/>
    <w:rsid w:val="6E3B4867"/>
    <w:rsid w:val="6E7354E8"/>
    <w:rsid w:val="6EA66D41"/>
    <w:rsid w:val="6F1E6154"/>
    <w:rsid w:val="6F3A26E8"/>
    <w:rsid w:val="6F50760F"/>
    <w:rsid w:val="6F881EDF"/>
    <w:rsid w:val="6FB645DF"/>
    <w:rsid w:val="70131A31"/>
    <w:rsid w:val="702E686B"/>
    <w:rsid w:val="706F0D4A"/>
    <w:rsid w:val="70981225"/>
    <w:rsid w:val="70BE7462"/>
    <w:rsid w:val="71937888"/>
    <w:rsid w:val="719E4CA8"/>
    <w:rsid w:val="71B30A46"/>
    <w:rsid w:val="725B4129"/>
    <w:rsid w:val="733221CE"/>
    <w:rsid w:val="7366378E"/>
    <w:rsid w:val="73712635"/>
    <w:rsid w:val="74445654"/>
    <w:rsid w:val="74461453"/>
    <w:rsid w:val="74614A1C"/>
    <w:rsid w:val="74BF306B"/>
    <w:rsid w:val="74DD43BC"/>
    <w:rsid w:val="752821B9"/>
    <w:rsid w:val="752D5343"/>
    <w:rsid w:val="75457105"/>
    <w:rsid w:val="75846F2D"/>
    <w:rsid w:val="75C60B79"/>
    <w:rsid w:val="75CF60A7"/>
    <w:rsid w:val="76AB70C1"/>
    <w:rsid w:val="76AD3FF9"/>
    <w:rsid w:val="76D252C8"/>
    <w:rsid w:val="76FA2A99"/>
    <w:rsid w:val="771B0675"/>
    <w:rsid w:val="7771546F"/>
    <w:rsid w:val="777D4BE9"/>
    <w:rsid w:val="779A3579"/>
    <w:rsid w:val="77D10621"/>
    <w:rsid w:val="77F51D1A"/>
    <w:rsid w:val="78092C74"/>
    <w:rsid w:val="78E201F2"/>
    <w:rsid w:val="792408D3"/>
    <w:rsid w:val="794C1B10"/>
    <w:rsid w:val="795F350D"/>
    <w:rsid w:val="79866C7A"/>
    <w:rsid w:val="79895EAC"/>
    <w:rsid w:val="799236E7"/>
    <w:rsid w:val="79993AD1"/>
    <w:rsid w:val="79BC7FBE"/>
    <w:rsid w:val="7A04260F"/>
    <w:rsid w:val="7AA428F7"/>
    <w:rsid w:val="7AED106F"/>
    <w:rsid w:val="7B312AF7"/>
    <w:rsid w:val="7B4F5449"/>
    <w:rsid w:val="7B5C32EC"/>
    <w:rsid w:val="7BD32074"/>
    <w:rsid w:val="7C1525C8"/>
    <w:rsid w:val="7C380FE6"/>
    <w:rsid w:val="7C3B0FE1"/>
    <w:rsid w:val="7C8D40C6"/>
    <w:rsid w:val="7C8F68E3"/>
    <w:rsid w:val="7CA227A5"/>
    <w:rsid w:val="7CBC0D5A"/>
    <w:rsid w:val="7CF92B0D"/>
    <w:rsid w:val="7CFC140B"/>
    <w:rsid w:val="7D094F84"/>
    <w:rsid w:val="7D155246"/>
    <w:rsid w:val="7D2B0B2C"/>
    <w:rsid w:val="7D4E057E"/>
    <w:rsid w:val="7D652500"/>
    <w:rsid w:val="7D68356F"/>
    <w:rsid w:val="7D730CDE"/>
    <w:rsid w:val="7DBA31B2"/>
    <w:rsid w:val="7DC2406E"/>
    <w:rsid w:val="7DD17CDB"/>
    <w:rsid w:val="7E2911F2"/>
    <w:rsid w:val="7E4B67C3"/>
    <w:rsid w:val="7EA3383E"/>
    <w:rsid w:val="7ED56104"/>
    <w:rsid w:val="7EE84D92"/>
    <w:rsid w:val="7EEF18BB"/>
    <w:rsid w:val="7F295485"/>
    <w:rsid w:val="7F341DFF"/>
    <w:rsid w:val="7F9FD69F"/>
    <w:rsid w:val="7FE54D11"/>
    <w:rsid w:val="7FF81F25"/>
    <w:rsid w:val="7FFD0D27"/>
    <w:rsid w:val="BCFF7E4B"/>
    <w:rsid w:val="FFFB26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6"/>
    <w:link w:val="46"/>
    <w:qFormat/>
    <w:uiPriority w:val="0"/>
    <w:pPr>
      <w:keepNext/>
      <w:jc w:val="center"/>
      <w:outlineLvl w:val="3"/>
    </w:pPr>
    <w:rPr>
      <w:rFonts w:eastAsia="新宋体"/>
      <w:kern w:val="0"/>
      <w:sz w:val="30"/>
      <w:szCs w:val="21"/>
    </w:rPr>
  </w:style>
  <w:style w:type="paragraph" w:styleId="7">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48"/>
    <w:qFormat/>
    <w:uiPriority w:val="0"/>
    <w:pPr>
      <w:keepNext/>
      <w:jc w:val="center"/>
      <w:outlineLvl w:val="5"/>
    </w:pPr>
    <w:rPr>
      <w:b/>
      <w:kern w:val="0"/>
      <w:sz w:val="44"/>
      <w:szCs w:val="20"/>
    </w:rPr>
  </w:style>
  <w:style w:type="paragraph" w:styleId="9">
    <w:name w:val="heading 7"/>
    <w:basedOn w:val="1"/>
    <w:next w:val="1"/>
    <w:link w:val="49"/>
    <w:qFormat/>
    <w:uiPriority w:val="0"/>
    <w:pPr>
      <w:keepNext/>
      <w:keepLines/>
      <w:spacing w:before="240" w:after="64" w:line="320" w:lineRule="auto"/>
      <w:outlineLvl w:val="6"/>
    </w:pPr>
    <w:rPr>
      <w:b/>
      <w:bCs/>
      <w:kern w:val="0"/>
      <w:sz w:val="24"/>
    </w:rPr>
  </w:style>
  <w:style w:type="paragraph" w:styleId="10">
    <w:name w:val="heading 8"/>
    <w:basedOn w:val="1"/>
    <w:next w:val="1"/>
    <w:link w:val="50"/>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1"/>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53"/>
    <w:semiHidden/>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54"/>
    <w:unhideWhenUsed/>
    <w:qFormat/>
    <w:uiPriority w:val="99"/>
    <w:pPr>
      <w:jc w:val="left"/>
    </w:pPr>
  </w:style>
  <w:style w:type="paragraph" w:styleId="16">
    <w:name w:val="Body Text 3"/>
    <w:basedOn w:val="1"/>
    <w:link w:val="55"/>
    <w:qFormat/>
    <w:uiPriority w:val="0"/>
    <w:pPr>
      <w:spacing w:after="120"/>
    </w:pPr>
    <w:rPr>
      <w:kern w:val="0"/>
      <w:sz w:val="16"/>
      <w:szCs w:val="16"/>
    </w:rPr>
  </w:style>
  <w:style w:type="paragraph" w:styleId="17">
    <w:name w:val="Body Text"/>
    <w:basedOn w:val="1"/>
    <w:link w:val="56"/>
    <w:qFormat/>
    <w:uiPriority w:val="0"/>
    <w:rPr>
      <w:rFonts w:ascii="仿宋_GB2312" w:eastAsia="仿宋_GB2312"/>
      <w:kern w:val="0"/>
      <w:sz w:val="24"/>
      <w:szCs w:val="20"/>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Block Text"/>
    <w:basedOn w:val="1"/>
    <w:next w:val="1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1">
    <w:name w:val="Plain Text"/>
    <w:basedOn w:val="1"/>
    <w:link w:val="58"/>
    <w:qFormat/>
    <w:uiPriority w:val="0"/>
    <w:rPr>
      <w:rFonts w:ascii="宋体" w:hAnsi="Courier New"/>
      <w:kern w:val="0"/>
      <w:sz w:val="20"/>
      <w:szCs w:val="21"/>
    </w:rPr>
  </w:style>
  <w:style w:type="paragraph" w:styleId="22">
    <w:name w:val="Date"/>
    <w:basedOn w:val="1"/>
    <w:next w:val="1"/>
    <w:link w:val="59"/>
    <w:qFormat/>
    <w:uiPriority w:val="0"/>
    <w:rPr>
      <w:kern w:val="0"/>
      <w:sz w:val="24"/>
      <w:szCs w:val="20"/>
    </w:rPr>
  </w:style>
  <w:style w:type="paragraph" w:styleId="23">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4">
    <w:name w:val="Balloon Text"/>
    <w:basedOn w:val="1"/>
    <w:link w:val="61"/>
    <w:semiHidden/>
    <w:qFormat/>
    <w:uiPriority w:val="0"/>
    <w:rPr>
      <w:kern w:val="0"/>
      <w:sz w:val="18"/>
      <w:szCs w:val="18"/>
    </w:rPr>
  </w:style>
  <w:style w:type="paragraph" w:styleId="25">
    <w:name w:val="footer"/>
    <w:basedOn w:val="1"/>
    <w:link w:val="62"/>
    <w:qFormat/>
    <w:uiPriority w:val="99"/>
    <w:pPr>
      <w:tabs>
        <w:tab w:val="center" w:pos="4153"/>
        <w:tab w:val="right" w:pos="8306"/>
      </w:tabs>
      <w:snapToGrid w:val="0"/>
      <w:jc w:val="left"/>
    </w:pPr>
    <w:rPr>
      <w:kern w:val="0"/>
      <w:sz w:val="18"/>
      <w:szCs w:val="20"/>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next w:val="14"/>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5"/>
    <w:next w:val="15"/>
    <w:link w:val="66"/>
    <w:unhideWhenUsed/>
    <w:qFormat/>
    <w:uiPriority w:val="99"/>
    <w:rPr>
      <w:b/>
      <w:bCs/>
    </w:rPr>
  </w:style>
  <w:style w:type="paragraph" w:styleId="33">
    <w:name w:val="Body Text First Indent"/>
    <w:basedOn w:val="17"/>
    <w:link w:val="67"/>
    <w:qFormat/>
    <w:uiPriority w:val="0"/>
    <w:pPr>
      <w:spacing w:after="120"/>
      <w:ind w:firstLine="420" w:firstLineChars="100"/>
    </w:pPr>
    <w:rPr>
      <w:rFonts w:ascii="Times New Roman" w:eastAsia="宋体"/>
      <w:szCs w:val="24"/>
    </w:rPr>
  </w:style>
  <w:style w:type="paragraph" w:styleId="34">
    <w:name w:val="Body Text First Indent 2"/>
    <w:basedOn w:val="18"/>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unhideWhenUsed/>
    <w:qFormat/>
    <w:uiPriority w:val="99"/>
    <w:rPr>
      <w:sz w:val="21"/>
      <w:szCs w:val="21"/>
    </w:rPr>
  </w:style>
  <w:style w:type="character" w:customStyle="1" w:styleId="43">
    <w:name w:val="标题 2 字符"/>
    <w:link w:val="3"/>
    <w:qFormat/>
    <w:uiPriority w:val="0"/>
    <w:rPr>
      <w:rFonts w:ascii="Arial" w:hAnsi="Arial" w:eastAsia="黑体" w:cs="Times New Roman"/>
      <w:b/>
      <w:bCs/>
      <w:sz w:val="32"/>
      <w:szCs w:val="32"/>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3 字符"/>
    <w:link w:val="4"/>
    <w:qFormat/>
    <w:uiPriority w:val="0"/>
    <w:rPr>
      <w:rFonts w:ascii="Times New Roman" w:hAnsi="Times New Roman" w:eastAsia="宋体" w:cs="Times New Roman"/>
      <w:b/>
      <w:bCs/>
      <w:sz w:val="32"/>
      <w:szCs w:val="32"/>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5 字符"/>
    <w:link w:val="7"/>
    <w:qFormat/>
    <w:uiPriority w:val="0"/>
    <w:rPr>
      <w:rFonts w:ascii="Times New Roman" w:hAnsi="Times New Roman" w:eastAsia="宋体" w:cs="Times New Roman"/>
      <w:b/>
      <w:bCs/>
      <w:sz w:val="28"/>
      <w:szCs w:val="28"/>
    </w:rPr>
  </w:style>
  <w:style w:type="character" w:customStyle="1" w:styleId="48">
    <w:name w:val="标题 6 字符"/>
    <w:link w:val="8"/>
    <w:qFormat/>
    <w:uiPriority w:val="0"/>
    <w:rPr>
      <w:rFonts w:ascii="Times New Roman" w:hAnsi="Times New Roman" w:eastAsia="宋体" w:cs="Times New Roman"/>
      <w:b/>
      <w:sz w:val="44"/>
      <w:szCs w:val="20"/>
    </w:rPr>
  </w:style>
  <w:style w:type="character" w:customStyle="1" w:styleId="49">
    <w:name w:val="标题 7 字符"/>
    <w:link w:val="9"/>
    <w:qFormat/>
    <w:uiPriority w:val="0"/>
    <w:rPr>
      <w:rFonts w:ascii="Times New Roman" w:hAnsi="Times New Roman" w:eastAsia="宋体" w:cs="Times New Roman"/>
      <w:b/>
      <w:bCs/>
      <w:sz w:val="24"/>
      <w:szCs w:val="24"/>
    </w:rPr>
  </w:style>
  <w:style w:type="character" w:customStyle="1" w:styleId="50">
    <w:name w:val="标题 8 字符"/>
    <w:link w:val="10"/>
    <w:qFormat/>
    <w:uiPriority w:val="0"/>
    <w:rPr>
      <w:rFonts w:ascii="Arial" w:hAnsi="Arial" w:eastAsia="黑体" w:cs="Times New Roman"/>
      <w:sz w:val="24"/>
      <w:szCs w:val="24"/>
    </w:rPr>
  </w:style>
  <w:style w:type="character" w:customStyle="1" w:styleId="51">
    <w:name w:val="标题 9 字符"/>
    <w:link w:val="11"/>
    <w:qFormat/>
    <w:uiPriority w:val="0"/>
    <w:rPr>
      <w:rFonts w:ascii="Arial" w:hAnsi="Arial" w:eastAsia="黑体" w:cs="Times New Roman"/>
      <w:sz w:val="24"/>
      <w:szCs w:val="21"/>
    </w:rPr>
  </w:style>
  <w:style w:type="character" w:customStyle="1" w:styleId="52">
    <w:name w:val="正文缩进 字符"/>
    <w:link w:val="6"/>
    <w:qFormat/>
    <w:uiPriority w:val="0"/>
    <w:rPr>
      <w:rFonts w:ascii="Times New Roman" w:hAnsi="Times New Roman" w:eastAsia="宋体" w:cs="Times New Roman"/>
      <w:kern w:val="0"/>
      <w:sz w:val="20"/>
      <w:szCs w:val="20"/>
    </w:rPr>
  </w:style>
  <w:style w:type="character" w:customStyle="1" w:styleId="53">
    <w:name w:val="文档结构图 字符"/>
    <w:link w:val="13"/>
    <w:semiHidden/>
    <w:qFormat/>
    <w:uiPriority w:val="0"/>
    <w:rPr>
      <w:szCs w:val="24"/>
      <w:shd w:val="clear" w:color="auto" w:fill="000080"/>
    </w:rPr>
  </w:style>
  <w:style w:type="character" w:customStyle="1" w:styleId="54">
    <w:name w:val="批注文字 字符"/>
    <w:link w:val="15"/>
    <w:qFormat/>
    <w:uiPriority w:val="99"/>
    <w:rPr>
      <w:kern w:val="2"/>
      <w:sz w:val="21"/>
      <w:szCs w:val="24"/>
    </w:rPr>
  </w:style>
  <w:style w:type="character" w:customStyle="1" w:styleId="55">
    <w:name w:val="正文文本 3 字符"/>
    <w:link w:val="16"/>
    <w:qFormat/>
    <w:uiPriority w:val="0"/>
    <w:rPr>
      <w:rFonts w:ascii="Times New Roman" w:hAnsi="Times New Roman" w:eastAsia="宋体" w:cs="Times New Roman"/>
      <w:sz w:val="16"/>
      <w:szCs w:val="16"/>
    </w:rPr>
  </w:style>
  <w:style w:type="character" w:customStyle="1" w:styleId="56">
    <w:name w:val="正文文本 字符"/>
    <w:link w:val="17"/>
    <w:qFormat/>
    <w:uiPriority w:val="0"/>
    <w:rPr>
      <w:rFonts w:ascii="仿宋_GB2312" w:hAnsi="Times New Roman" w:eastAsia="仿宋_GB2312" w:cs="Times New Roman"/>
      <w:sz w:val="24"/>
      <w:szCs w:val="20"/>
    </w:rPr>
  </w:style>
  <w:style w:type="character" w:customStyle="1" w:styleId="57">
    <w:name w:val="正文文本缩进 字符"/>
    <w:link w:val="18"/>
    <w:qFormat/>
    <w:uiPriority w:val="0"/>
    <w:rPr>
      <w:rFonts w:ascii="仿宋_GB2312" w:hAnsi="Times New Roman" w:eastAsia="仿宋_GB2312" w:cs="Times New Roman"/>
      <w:sz w:val="28"/>
      <w:szCs w:val="20"/>
    </w:rPr>
  </w:style>
  <w:style w:type="character" w:customStyle="1" w:styleId="58">
    <w:name w:val="纯文本 字符"/>
    <w:link w:val="21"/>
    <w:qFormat/>
    <w:uiPriority w:val="0"/>
    <w:rPr>
      <w:rFonts w:ascii="宋体" w:hAnsi="Courier New" w:eastAsia="宋体" w:cs="Courier New"/>
      <w:szCs w:val="21"/>
    </w:rPr>
  </w:style>
  <w:style w:type="character" w:customStyle="1" w:styleId="59">
    <w:name w:val="日期 字符"/>
    <w:link w:val="22"/>
    <w:qFormat/>
    <w:uiPriority w:val="0"/>
    <w:rPr>
      <w:rFonts w:ascii="Times New Roman" w:hAnsi="Times New Roman" w:eastAsia="宋体" w:cs="Times New Roman"/>
      <w:sz w:val="24"/>
      <w:szCs w:val="20"/>
    </w:rPr>
  </w:style>
  <w:style w:type="character" w:customStyle="1" w:styleId="60">
    <w:name w:val="正文文本缩进 2 字符"/>
    <w:link w:val="23"/>
    <w:qFormat/>
    <w:uiPriority w:val="0"/>
    <w:rPr>
      <w:rFonts w:ascii="Times New Roman" w:hAnsi="Times New Roman" w:eastAsia="仿宋_GB2312" w:cs="Times New Roman"/>
      <w:sz w:val="28"/>
      <w:szCs w:val="20"/>
    </w:rPr>
  </w:style>
  <w:style w:type="character" w:customStyle="1" w:styleId="61">
    <w:name w:val="批注框文本 字符"/>
    <w:link w:val="24"/>
    <w:semiHidden/>
    <w:qFormat/>
    <w:uiPriority w:val="0"/>
    <w:rPr>
      <w:sz w:val="18"/>
      <w:szCs w:val="18"/>
    </w:rPr>
  </w:style>
  <w:style w:type="character" w:customStyle="1" w:styleId="62">
    <w:name w:val="页脚 字符"/>
    <w:link w:val="25"/>
    <w:qFormat/>
    <w:uiPriority w:val="99"/>
    <w:rPr>
      <w:rFonts w:ascii="Times New Roman" w:hAnsi="Times New Roman" w:eastAsia="宋体" w:cs="Times New Roman"/>
      <w:sz w:val="18"/>
      <w:szCs w:val="20"/>
    </w:rPr>
  </w:style>
  <w:style w:type="character" w:customStyle="1" w:styleId="63">
    <w:name w:val="页眉 字符"/>
    <w:link w:val="26"/>
    <w:qFormat/>
    <w:uiPriority w:val="0"/>
    <w:rPr>
      <w:rFonts w:ascii="Times New Roman" w:hAnsi="Times New Roman" w:eastAsia="宋体" w:cs="Times New Roman"/>
      <w:sz w:val="18"/>
      <w:szCs w:val="18"/>
    </w:rPr>
  </w:style>
  <w:style w:type="character" w:customStyle="1" w:styleId="64">
    <w:name w:val="正文文本缩进 3 字符"/>
    <w:link w:val="29"/>
    <w:qFormat/>
    <w:uiPriority w:val="0"/>
    <w:rPr>
      <w:rFonts w:ascii="Times New Roman" w:hAnsi="Times New Roman" w:eastAsia="宋体" w:cs="Times New Roman"/>
      <w:sz w:val="16"/>
      <w:szCs w:val="16"/>
    </w:rPr>
  </w:style>
  <w:style w:type="character" w:customStyle="1" w:styleId="65">
    <w:name w:val="正文文本 2 字符"/>
    <w:link w:val="30"/>
    <w:qFormat/>
    <w:uiPriority w:val="0"/>
    <w:rPr>
      <w:rFonts w:ascii="Times New Roman" w:hAnsi="Times New Roman" w:eastAsia="宋体" w:cs="Times New Roman"/>
      <w:b/>
      <w:bCs/>
      <w:sz w:val="18"/>
      <w:szCs w:val="24"/>
    </w:rPr>
  </w:style>
  <w:style w:type="character" w:customStyle="1" w:styleId="66">
    <w:name w:val="批注主题 字符"/>
    <w:link w:val="32"/>
    <w:semiHidden/>
    <w:qFormat/>
    <w:uiPriority w:val="99"/>
    <w:rPr>
      <w:b/>
      <w:bCs/>
      <w:kern w:val="2"/>
      <w:sz w:val="21"/>
      <w:szCs w:val="24"/>
    </w:rPr>
  </w:style>
  <w:style w:type="character" w:customStyle="1" w:styleId="67">
    <w:name w:val="正文首行缩进 字符"/>
    <w:link w:val="33"/>
    <w:qFormat/>
    <w:uiPriority w:val="0"/>
    <w:rPr>
      <w:rFonts w:ascii="Times New Roman" w:hAnsi="Times New Roman" w:eastAsia="宋体" w:cs="Times New Roman"/>
      <w:sz w:val="24"/>
      <w:szCs w:val="24"/>
    </w:rPr>
  </w:style>
  <w:style w:type="paragraph" w:customStyle="1" w:styleId="68">
    <w:name w:val="无间隔1"/>
    <w:qFormat/>
    <w:uiPriority w:val="0"/>
    <w:rPr>
      <w:rFonts w:ascii="Times New Roman" w:hAnsi="Times New Roman" w:eastAsia="宋体" w:cs="Calibri"/>
      <w:sz w:val="22"/>
      <w:lang w:val="en-US" w:eastAsia="zh-CN" w:bidi="ar-SA"/>
    </w:rPr>
  </w:style>
  <w:style w:type="paragraph" w:customStyle="1" w:styleId="69">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70">
    <w:name w:val="style4"/>
    <w:basedOn w:val="1"/>
    <w:next w:val="71"/>
    <w:qFormat/>
    <w:uiPriority w:val="0"/>
    <w:pPr>
      <w:widowControl/>
      <w:spacing w:before="280" w:after="280"/>
    </w:pPr>
    <w:rPr>
      <w:rFonts w:ascii="宋体"/>
      <w:sz w:val="18"/>
    </w:rPr>
  </w:style>
  <w:style w:type="paragraph" w:customStyle="1" w:styleId="71">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2">
    <w:name w:val="font11"/>
    <w:qFormat/>
    <w:uiPriority w:val="0"/>
    <w:rPr>
      <w:rFonts w:hint="eastAsia" w:ascii="宋体" w:hAnsi="宋体" w:eastAsia="宋体" w:cs="宋体"/>
      <w:color w:val="000000"/>
      <w:sz w:val="24"/>
      <w:szCs w:val="24"/>
      <w:u w:val="none"/>
    </w:rPr>
  </w:style>
  <w:style w:type="character" w:customStyle="1" w:styleId="73">
    <w:name w:val="font41"/>
    <w:qFormat/>
    <w:uiPriority w:val="0"/>
    <w:rPr>
      <w:rFonts w:hint="eastAsia" w:ascii="宋体" w:hAnsi="宋体" w:eastAsia="宋体" w:cs="宋体"/>
      <w:color w:val="FFCC00"/>
      <w:sz w:val="24"/>
      <w:szCs w:val="24"/>
      <w:u w:val="none"/>
    </w:rPr>
  </w:style>
  <w:style w:type="character" w:customStyle="1" w:styleId="74">
    <w:name w:val="样式 ssss + 宋体 五号1 Char"/>
    <w:link w:val="75"/>
    <w:qFormat/>
    <w:uiPriority w:val="0"/>
    <w:rPr>
      <w:rFonts w:ascii="宋体" w:hAnsi="宋体" w:eastAsia="宋体" w:cs="Times New Roman"/>
      <w:sz w:val="24"/>
      <w:szCs w:val="24"/>
    </w:rPr>
  </w:style>
  <w:style w:type="paragraph" w:customStyle="1" w:styleId="75">
    <w:name w:val="样式 ssss + 宋体 五号1"/>
    <w:basedOn w:val="76"/>
    <w:link w:val="74"/>
    <w:qFormat/>
    <w:uiPriority w:val="0"/>
    <w:rPr>
      <w:rFonts w:ascii="宋体" w:hAnsi="宋体"/>
    </w:rPr>
  </w:style>
  <w:style w:type="paragraph" w:customStyle="1" w:styleId="76">
    <w:name w:val="ssss"/>
    <w:basedOn w:val="1"/>
    <w:link w:val="77"/>
    <w:qFormat/>
    <w:uiPriority w:val="0"/>
    <w:pPr>
      <w:spacing w:line="360" w:lineRule="auto"/>
      <w:ind w:firstLine="480" w:firstLineChars="200"/>
    </w:pPr>
    <w:rPr>
      <w:kern w:val="0"/>
      <w:sz w:val="24"/>
    </w:rPr>
  </w:style>
  <w:style w:type="character" w:customStyle="1" w:styleId="77">
    <w:name w:val="ssss Char1"/>
    <w:link w:val="76"/>
    <w:qFormat/>
    <w:uiPriority w:val="0"/>
    <w:rPr>
      <w:rFonts w:ascii="Times New Roman" w:hAnsi="Times New Roman" w:eastAsia="宋体" w:cs="Times New Roman"/>
      <w:sz w:val="24"/>
      <w:szCs w:val="24"/>
    </w:rPr>
  </w:style>
  <w:style w:type="character" w:customStyle="1" w:styleId="78">
    <w:name w:val="font01"/>
    <w:qFormat/>
    <w:uiPriority w:val="0"/>
    <w:rPr>
      <w:rFonts w:hint="eastAsia" w:ascii="宋体" w:hAnsi="宋体" w:eastAsia="宋体" w:cs="宋体"/>
      <w:color w:val="FF0000"/>
      <w:sz w:val="24"/>
      <w:szCs w:val="24"/>
      <w:u w:val="none"/>
    </w:rPr>
  </w:style>
  <w:style w:type="character" w:customStyle="1" w:styleId="79">
    <w:name w:val="point_normal1"/>
    <w:qFormat/>
    <w:uiPriority w:val="0"/>
    <w:rPr>
      <w:rFonts w:hint="default" w:ascii="Arial" w:hAnsi="Arial" w:cs="Arial"/>
      <w:sz w:val="16"/>
      <w:szCs w:val="16"/>
    </w:rPr>
  </w:style>
  <w:style w:type="character" w:customStyle="1" w:styleId="80">
    <w:name w:val="列出段落 字符"/>
    <w:link w:val="81"/>
    <w:qFormat/>
    <w:locked/>
    <w:uiPriority w:val="99"/>
  </w:style>
  <w:style w:type="paragraph" w:styleId="81">
    <w:name w:val="List Paragraph"/>
    <w:basedOn w:val="1"/>
    <w:link w:val="80"/>
    <w:qFormat/>
    <w:uiPriority w:val="99"/>
    <w:pPr>
      <w:ind w:firstLine="420" w:firstLineChars="200"/>
    </w:pPr>
    <w:rPr>
      <w:kern w:val="0"/>
      <w:sz w:val="20"/>
      <w:szCs w:val="20"/>
    </w:rPr>
  </w:style>
  <w:style w:type="character" w:customStyle="1" w:styleId="82">
    <w:name w:val="文档结构图 Char1"/>
    <w:semiHidden/>
    <w:qFormat/>
    <w:uiPriority w:val="99"/>
    <w:rPr>
      <w:rFonts w:ascii="宋体" w:hAnsi="Times New Roman" w:eastAsia="宋体" w:cs="Times New Roman"/>
      <w:sz w:val="18"/>
      <w:szCs w:val="18"/>
    </w:rPr>
  </w:style>
  <w:style w:type="character" w:customStyle="1" w:styleId="83">
    <w:name w:val="普通正文 Char"/>
    <w:link w:val="84"/>
    <w:qFormat/>
    <w:uiPriority w:val="0"/>
    <w:rPr>
      <w:rFonts w:ascii="Arial" w:hAnsi="Arial"/>
      <w:sz w:val="24"/>
      <w:szCs w:val="24"/>
    </w:rPr>
  </w:style>
  <w:style w:type="paragraph" w:customStyle="1" w:styleId="84">
    <w:name w:val="普通正文"/>
    <w:basedOn w:val="1"/>
    <w:link w:val="8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5">
    <w:name w:val="FA正文 Char"/>
    <w:link w:val="86"/>
    <w:qFormat/>
    <w:uiPriority w:val="0"/>
    <w:rPr>
      <w:rFonts w:ascii="宋体" w:hAnsi="宋体" w:eastAsia="宋体" w:cs="Times New Roman"/>
      <w:sz w:val="28"/>
      <w:szCs w:val="28"/>
    </w:rPr>
  </w:style>
  <w:style w:type="paragraph" w:customStyle="1" w:styleId="86">
    <w:name w:val="FA正文"/>
    <w:basedOn w:val="1"/>
    <w:link w:val="85"/>
    <w:qFormat/>
    <w:uiPriority w:val="0"/>
    <w:pPr>
      <w:tabs>
        <w:tab w:val="left" w:pos="3375"/>
      </w:tabs>
      <w:spacing w:line="440" w:lineRule="atLeast"/>
      <w:ind w:firstLine="538" w:firstLineChars="192"/>
    </w:pPr>
    <w:rPr>
      <w:rFonts w:ascii="宋体" w:hAnsi="宋体"/>
      <w:kern w:val="0"/>
      <w:sz w:val="28"/>
      <w:szCs w:val="28"/>
    </w:rPr>
  </w:style>
  <w:style w:type="character" w:customStyle="1" w:styleId="87">
    <w:name w:val="正文缩进2格 Char"/>
    <w:link w:val="88"/>
    <w:qFormat/>
    <w:uiPriority w:val="0"/>
    <w:rPr>
      <w:rFonts w:ascii="仿宋_GB2312" w:hAnsi="宋体" w:eastAsia="仿宋_GB2312" w:cs="Times New Roman"/>
      <w:sz w:val="31"/>
      <w:szCs w:val="28"/>
    </w:rPr>
  </w:style>
  <w:style w:type="paragraph" w:customStyle="1" w:styleId="88">
    <w:name w:val="正文缩进2格"/>
    <w:basedOn w:val="1"/>
    <w:link w:val="87"/>
    <w:qFormat/>
    <w:uiPriority w:val="0"/>
    <w:pPr>
      <w:spacing w:line="600" w:lineRule="exact"/>
      <w:ind w:firstLine="639" w:firstLineChars="206"/>
    </w:pPr>
    <w:rPr>
      <w:rFonts w:ascii="仿宋_GB2312" w:hAnsi="宋体" w:eastAsia="仿宋_GB2312"/>
      <w:kern w:val="0"/>
      <w:sz w:val="31"/>
      <w:szCs w:val="28"/>
    </w:rPr>
  </w:style>
  <w:style w:type="character" w:customStyle="1" w:styleId="89">
    <w:name w:val="cn_text1"/>
    <w:qFormat/>
    <w:uiPriority w:val="0"/>
    <w:rPr>
      <w:rFonts w:hint="default" w:ascii="ˎ̥" w:hAnsi="ˎ̥"/>
      <w:color w:val="003399"/>
      <w:spacing w:val="15"/>
      <w:sz w:val="18"/>
      <w:szCs w:val="18"/>
    </w:rPr>
  </w:style>
  <w:style w:type="character" w:customStyle="1" w:styleId="90">
    <w:name w:val="ssss Char"/>
    <w:qFormat/>
    <w:uiPriority w:val="0"/>
    <w:rPr>
      <w:rFonts w:eastAsia="宋体"/>
      <w:kern w:val="2"/>
      <w:sz w:val="24"/>
      <w:szCs w:val="24"/>
      <w:lang w:val="en-US" w:eastAsia="zh-CN" w:bidi="ar-SA"/>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样式 正文文本缩进 3 + 四号"/>
    <w:basedOn w:val="29"/>
    <w:qFormat/>
    <w:uiPriority w:val="0"/>
    <w:pPr>
      <w:spacing w:after="0" w:line="360" w:lineRule="auto"/>
      <w:ind w:left="0" w:leftChars="0" w:firstLine="437"/>
    </w:pPr>
    <w:rPr>
      <w:sz w:val="24"/>
      <w:szCs w:val="21"/>
    </w:rPr>
  </w:style>
  <w:style w:type="paragraph" w:customStyle="1" w:styleId="95">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9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7">
    <w:name w:val="正文缩进1"/>
    <w:basedOn w:val="1"/>
    <w:qFormat/>
    <w:uiPriority w:val="0"/>
    <w:pPr>
      <w:widowControl/>
      <w:ind w:firstLine="420"/>
      <w:jc w:val="left"/>
    </w:pPr>
    <w:rPr>
      <w:kern w:val="0"/>
    </w:rPr>
  </w:style>
  <w:style w:type="paragraph" w:customStyle="1" w:styleId="9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99">
    <w:name w:val="样式 样式 ssss + 宋体 五号 + 首行缩进:  2 字符"/>
    <w:basedOn w:val="100"/>
    <w:qFormat/>
    <w:uiPriority w:val="0"/>
    <w:pPr>
      <w:ind w:firstLine="480"/>
    </w:pPr>
  </w:style>
  <w:style w:type="paragraph" w:customStyle="1" w:styleId="100">
    <w:name w:val="样式 ssss + 宋体 五号"/>
    <w:basedOn w:val="76"/>
    <w:qFormat/>
    <w:uiPriority w:val="0"/>
    <w:pPr>
      <w:ind w:firstLine="420"/>
    </w:pPr>
    <w:rPr>
      <w:rFonts w:ascii="宋体" w:hAnsi="宋体" w:cs="宋体"/>
      <w:szCs w:val="20"/>
    </w:rPr>
  </w:style>
  <w:style w:type="paragraph" w:customStyle="1" w:styleId="101">
    <w:name w:val="Char Char Char Char"/>
    <w:basedOn w:val="1"/>
    <w:qFormat/>
    <w:uiPriority w:val="0"/>
    <w:rPr>
      <w:rFonts w:ascii="Tahoma" w:hAnsi="Tahoma"/>
      <w:sz w:val="24"/>
      <w:szCs w:val="20"/>
    </w:rPr>
  </w:style>
  <w:style w:type="paragraph" w:customStyle="1" w:styleId="102">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4">
    <w:name w:val="标题-----3"/>
    <w:basedOn w:val="4"/>
    <w:qFormat/>
    <w:uiPriority w:val="0"/>
    <w:pPr>
      <w:spacing w:before="0" w:after="0" w:line="240" w:lineRule="auto"/>
      <w:outlineLvl w:val="0"/>
    </w:pPr>
    <w:rPr>
      <w:rFonts w:ascii="宋体" w:hAnsi="宋体"/>
      <w:b w:val="0"/>
      <w:bCs w:val="0"/>
      <w:sz w:val="28"/>
      <w:szCs w:val="28"/>
    </w:rPr>
  </w:style>
  <w:style w:type="paragraph" w:customStyle="1" w:styleId="105">
    <w:name w:val="Char Char Char Char Char Char Char Char Char Char Char Char Char"/>
    <w:basedOn w:val="1"/>
    <w:qFormat/>
    <w:uiPriority w:val="0"/>
  </w:style>
  <w:style w:type="paragraph" w:customStyle="1" w:styleId="106">
    <w:name w:val="表格正文"/>
    <w:basedOn w:val="1"/>
    <w:qFormat/>
    <w:uiPriority w:val="0"/>
    <w:pPr>
      <w:spacing w:line="360" w:lineRule="auto"/>
      <w:jc w:val="left"/>
    </w:pPr>
    <w:rPr>
      <w:rFonts w:ascii="Calibri" w:hAnsi="Calibri"/>
      <w:color w:val="000000"/>
      <w:szCs w:val="28"/>
    </w:rPr>
  </w:style>
  <w:style w:type="paragraph" w:customStyle="1" w:styleId="107">
    <w:name w:val="Char Char Char Char1"/>
    <w:basedOn w:val="1"/>
    <w:qFormat/>
    <w:uiPriority w:val="0"/>
    <w:rPr>
      <w:rFonts w:ascii="Tahoma" w:hAnsi="Tahoma"/>
      <w:sz w:val="24"/>
      <w:szCs w:val="20"/>
    </w:rPr>
  </w:style>
  <w:style w:type="paragraph" w:customStyle="1" w:styleId="108">
    <w:name w:val="Char Char Char"/>
    <w:basedOn w:val="1"/>
    <w:qFormat/>
    <w:uiPriority w:val="0"/>
    <w:rPr>
      <w:rFonts w:ascii="Tahoma" w:hAnsi="Tahoma"/>
      <w:sz w:val="24"/>
      <w:szCs w:val="20"/>
    </w:rPr>
  </w:style>
  <w:style w:type="paragraph" w:customStyle="1" w:styleId="109">
    <w:name w:val="样式 ssss + 居中"/>
    <w:basedOn w:val="76"/>
    <w:qFormat/>
    <w:uiPriority w:val="0"/>
    <w:pPr>
      <w:jc w:val="center"/>
    </w:pPr>
    <w:rPr>
      <w:rFonts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列出段落1"/>
    <w:basedOn w:val="1"/>
    <w:qFormat/>
    <w:uiPriority w:val="34"/>
    <w:pPr>
      <w:widowControl/>
      <w:ind w:left="720"/>
      <w:contextualSpacing/>
      <w:jc w:val="left"/>
    </w:pPr>
    <w:rPr>
      <w:kern w:val="0"/>
      <w:sz w:val="24"/>
      <w:lang w:eastAsia="en-US" w:bidi="en-US"/>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样式8"/>
    <w:basedOn w:val="8"/>
    <w:qFormat/>
    <w:uiPriority w:val="0"/>
    <w:pPr>
      <w:tabs>
        <w:tab w:val="left" w:pos="1152"/>
      </w:tabs>
    </w:pPr>
  </w:style>
  <w:style w:type="paragraph" w:customStyle="1" w:styleId="11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Char Char 字元 字元 字元 Char Char Char Char"/>
    <w:basedOn w:val="1"/>
    <w:qFormat/>
    <w:uiPriority w:val="0"/>
    <w:pPr>
      <w:adjustRightInd w:val="0"/>
      <w:spacing w:line="360" w:lineRule="auto"/>
    </w:pPr>
    <w:rPr>
      <w:kern w:val="0"/>
      <w:sz w:val="24"/>
      <w:szCs w:val="20"/>
    </w:rPr>
  </w:style>
  <w:style w:type="paragraph" w:customStyle="1" w:styleId="117">
    <w:name w:val="Char Char Char Char Char Char Char Char Char Char Char Char Char1"/>
    <w:basedOn w:val="1"/>
    <w:qFormat/>
    <w:uiPriority w:val="0"/>
    <w:rPr>
      <w:sz w:val="24"/>
    </w:rPr>
  </w:style>
  <w:style w:type="paragraph" w:customStyle="1" w:styleId="1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表格"/>
    <w:basedOn w:val="1"/>
    <w:qFormat/>
    <w:uiPriority w:val="0"/>
    <w:rPr>
      <w:rFonts w:ascii="Arial" w:hAnsi="Arial"/>
      <w:sz w:val="24"/>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样式1"/>
    <w:basedOn w:val="1"/>
    <w:qFormat/>
    <w:uiPriority w:val="0"/>
    <w:pPr>
      <w:spacing w:before="120" w:after="120" w:line="360" w:lineRule="auto"/>
      <w:ind w:firstLine="480" w:firstLineChars="200"/>
    </w:pPr>
    <w:rPr>
      <w:sz w:val="24"/>
      <w:szCs w:val="20"/>
    </w:rPr>
  </w:style>
  <w:style w:type="paragraph" w:customStyle="1" w:styleId="1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Char Char Char Char Char Char Char Char Char Char"/>
    <w:basedOn w:val="1"/>
    <w:qFormat/>
    <w:uiPriority w:val="0"/>
    <w:rPr>
      <w:rFonts w:ascii="Tahoma" w:hAnsi="Tahoma"/>
      <w:sz w:val="24"/>
      <w:szCs w:val="20"/>
    </w:rPr>
  </w:style>
  <w:style w:type="paragraph" w:customStyle="1" w:styleId="125">
    <w:name w:val="Char1"/>
    <w:basedOn w:val="1"/>
    <w:qFormat/>
    <w:uiPriority w:val="0"/>
    <w:pPr>
      <w:tabs>
        <w:tab w:val="left" w:pos="360"/>
      </w:tabs>
    </w:pPr>
    <w:rPr>
      <w:sz w:val="24"/>
    </w:rPr>
  </w:style>
  <w:style w:type="paragraph" w:customStyle="1" w:styleId="126">
    <w:name w:val="Header2"/>
    <w:basedOn w:val="1"/>
    <w:qFormat/>
    <w:uiPriority w:val="0"/>
    <w:pPr>
      <w:numPr>
        <w:ilvl w:val="0"/>
        <w:numId w:val="1"/>
      </w:numPr>
    </w:p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table" w:customStyle="1" w:styleId="130">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font51"/>
    <w:qFormat/>
    <w:uiPriority w:val="0"/>
    <w:rPr>
      <w:rFonts w:hint="default" w:ascii="Times New Roman" w:hAnsi="Times New Roman" w:cs="Times New Roman"/>
      <w:color w:val="000000"/>
      <w:sz w:val="20"/>
      <w:szCs w:val="20"/>
      <w:u w:val="none"/>
    </w:rPr>
  </w:style>
  <w:style w:type="character" w:customStyle="1" w:styleId="132">
    <w:name w:val="font61"/>
    <w:qFormat/>
    <w:uiPriority w:val="0"/>
    <w:rPr>
      <w:rFonts w:hint="default" w:ascii="Times New Roman" w:hAnsi="Times New Roman" w:cs="Times New Roman"/>
      <w:color w:val="000000"/>
      <w:sz w:val="21"/>
      <w:szCs w:val="21"/>
      <w:u w:val="none"/>
    </w:rPr>
  </w:style>
  <w:style w:type="character" w:customStyle="1" w:styleId="133">
    <w:name w:val="font71"/>
    <w:qFormat/>
    <w:uiPriority w:val="0"/>
    <w:rPr>
      <w:rFonts w:hint="eastAsia" w:ascii="宋体" w:hAnsi="宋体" w:eastAsia="宋体" w:cs="宋体"/>
      <w:color w:val="000000"/>
      <w:sz w:val="22"/>
      <w:szCs w:val="22"/>
      <w:u w:val="none"/>
    </w:rPr>
  </w:style>
  <w:style w:type="paragraph" w:customStyle="1" w:styleId="134">
    <w:name w:val="表格CXH"/>
    <w:basedOn w:val="1"/>
    <w:qFormat/>
    <w:uiPriority w:val="0"/>
    <w:pPr>
      <w:spacing w:line="276" w:lineRule="auto"/>
    </w:pPr>
    <w:rPr>
      <w:rFonts w:ascii="等线" w:hAnsi="等线"/>
    </w:rPr>
  </w:style>
  <w:style w:type="paragraph" w:customStyle="1" w:styleId="135">
    <w:name w:val="首行缩进"/>
    <w:basedOn w:val="1"/>
    <w:qFormat/>
    <w:uiPriority w:val="0"/>
    <w:pPr>
      <w:ind w:firstLine="480" w:firstLineChars="200"/>
    </w:pPr>
    <w:rPr>
      <w:szCs w:val="20"/>
      <w:lang w:val="zh-CN"/>
    </w:rPr>
  </w:style>
  <w:style w:type="paragraph" w:customStyle="1" w:styleId="136">
    <w:name w:val="sh3"/>
    <w:basedOn w:val="1"/>
    <w:qFormat/>
    <w:uiPriority w:val="0"/>
    <w:pPr>
      <w:spacing w:line="460" w:lineRule="exact"/>
      <w:jc w:val="left"/>
    </w:pPr>
    <w:rPr>
      <w:rFonts w:ascii="宋体" w:hAnsi="宋体"/>
      <w:b/>
      <w:szCs w:val="21"/>
    </w:rPr>
  </w:style>
  <w:style w:type="paragraph" w:customStyle="1" w:styleId="137">
    <w:name w:val="批注文字1"/>
    <w:basedOn w:val="1"/>
    <w:unhideWhenUsed/>
    <w:qFormat/>
    <w:uiPriority w:val="99"/>
    <w:pPr>
      <w:jc w:val="left"/>
    </w:pPr>
  </w:style>
  <w:style w:type="paragraph" w:customStyle="1" w:styleId="138">
    <w:name w:val="Table Paragraph"/>
    <w:basedOn w:val="1"/>
    <w:qFormat/>
    <w:uiPriority w:val="0"/>
    <w:pPr>
      <w:autoSpaceDE w:val="0"/>
      <w:autoSpaceDN w:val="0"/>
      <w:adjustRightInd w:val="0"/>
      <w:jc w:val="left"/>
    </w:pPr>
    <w:rPr>
      <w:kern w:val="0"/>
      <w:sz w:val="24"/>
    </w:rPr>
  </w:style>
  <w:style w:type="paragraph" w:customStyle="1" w:styleId="139">
    <w:name w:val="null3"/>
    <w:qFormat/>
    <w:uiPriority w:val="0"/>
    <w:rPr>
      <w:rFonts w:hint="eastAsia" w:ascii="Calibri" w:hAnsi="Calibri" w:eastAsia="宋体" w:cs="Times New Roman"/>
      <w:lang w:val="en-US" w:eastAsia="zh-CN" w:bidi="ar-SA"/>
    </w:rPr>
  </w:style>
  <w:style w:type="paragraph" w:customStyle="1" w:styleId="140">
    <w:name w:val="_Style 3"/>
    <w:basedOn w:val="1"/>
    <w:qFormat/>
    <w:uiPriority w:val="0"/>
    <w:pPr>
      <w:ind w:firstLine="420" w:firstLineChars="200"/>
    </w:pPr>
    <w:rPr>
      <w:sz w:val="20"/>
    </w:rPr>
  </w:style>
  <w:style w:type="paragraph" w:customStyle="1" w:styleId="141">
    <w:name w:val="_Style 1"/>
    <w:basedOn w:val="1"/>
    <w:qFormat/>
    <w:uiPriority w:val="0"/>
    <w:pPr>
      <w:widowControl/>
      <w:spacing w:before="120" w:after="120"/>
      <w:ind w:left="720" w:firstLine="200" w:firstLineChars="200"/>
      <w:contextualSpacing/>
      <w:jc w:val="left"/>
    </w:pPr>
    <w:rPr>
      <w:rFonts w:ascii="Calibri" w:hAnsi="Calibri"/>
      <w:iCs/>
      <w:color w:val="17365D"/>
      <w:kern w:val="0"/>
      <w:szCs w:val="20"/>
    </w:rPr>
  </w:style>
  <w:style w:type="paragraph" w:customStyle="1" w:styleId="142">
    <w:name w:val="图例"/>
    <w:basedOn w:val="1"/>
    <w:qFormat/>
    <w:uiPriority w:val="0"/>
    <w:pPr>
      <w:spacing w:before="120" w:after="120" w:line="360" w:lineRule="auto"/>
      <w:jc w:val="center"/>
    </w:pPr>
    <w:rPr>
      <w:rFonts w:eastAsia="仿宋_GB2312"/>
      <w:b/>
      <w:sz w:val="24"/>
      <w:szCs w:val="20"/>
    </w:rPr>
  </w:style>
  <w:style w:type="paragraph" w:customStyle="1" w:styleId="143">
    <w:name w:val="正文首行缩进11"/>
    <w:basedOn w:val="144"/>
    <w:qFormat/>
    <w:uiPriority w:val="0"/>
    <w:pPr>
      <w:spacing w:line="360" w:lineRule="auto"/>
      <w:ind w:firstLine="200"/>
    </w:pPr>
    <w:rPr>
      <w:rFonts w:ascii="仿宋_GB2312" w:hAnsi="Times New Roman" w:eastAsia="仿宋_GB2312"/>
      <w:sz w:val="30"/>
      <w:szCs w:val="30"/>
    </w:rPr>
  </w:style>
  <w:style w:type="paragraph" w:customStyle="1" w:styleId="144">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8682</Words>
  <Characters>9156</Characters>
  <Lines>161</Lines>
  <Paragraphs>45</Paragraphs>
  <TotalTime>3</TotalTime>
  <ScaleCrop>false</ScaleCrop>
  <LinksUpToDate>false</LinksUpToDate>
  <CharactersWithSpaces>9218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2024-01-20T06:00:00Z</dcterms:created>
  <dc:creator>User</dc:creator>
  <cp:lastModifiedBy>爱笑 °</cp:lastModifiedBy>
  <cp:lastPrinted>2026-01-12T01:51:00Z</cp:lastPrinted>
  <dcterms:modified xsi:type="dcterms:W3CDTF">2026-03-23T08:33:51Z</dcterms:modified>
  <dc:title>南通市Ⅹ项目</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AD3692F3C8FF4FC1838B7F7FA399D775_13</vt:lpwstr>
  </property>
  <property fmtid="{D5CDD505-2E9C-101B-9397-08002B2CF9AE}" pid="4" name="KSOTemplateDocerSaveRecord">
    <vt:lpwstr>eyJoZGlkIjoiMTg1MzgwZWEzZWM0Yjg4NjA2ZDJjNzNhNjY2ZTg5NWIiLCJ1c2VySWQiOiIyOTEzMjA0ODYifQ==</vt:lpwstr>
  </property>
</Properties>
</file>