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宋体" w:hAnsi="宋体" w:eastAsia="宋体" w:cs="宋体"/>
          <w:sz w:val="44"/>
          <w:szCs w:val="44"/>
          <w:highlight w:val="none"/>
        </w:rPr>
      </w:pPr>
    </w:p>
    <w:p>
      <w:pPr>
        <w:spacing w:line="590" w:lineRule="exact"/>
        <w:jc w:val="center"/>
        <w:rPr>
          <w:rFonts w:hint="eastAsia" w:ascii="宋体" w:hAnsi="宋体" w:eastAsia="宋体" w:cs="宋体"/>
          <w:sz w:val="44"/>
          <w:szCs w:val="44"/>
          <w:highlight w:val="none"/>
        </w:rPr>
      </w:pP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spacing w:before="157" w:beforeLines="50" w:after="157" w:afterLines="50" w:line="480" w:lineRule="auto"/>
        <w:jc w:val="center"/>
        <w:textAlignment w:val="auto"/>
        <w:rPr>
          <w:rFonts w:hint="eastAsia" w:ascii="宋体" w:hAnsi="宋体" w:eastAsia="宋体" w:cs="宋体"/>
          <w:color w:val="auto"/>
          <w:sz w:val="44"/>
          <w:szCs w:val="44"/>
          <w:highlight w:val="none"/>
          <w:shd w:val="clear" w:color="auto" w:fill="auto"/>
          <w:lang w:eastAsia="zh-CN"/>
        </w:rPr>
      </w:pPr>
      <w:r>
        <w:rPr>
          <w:rFonts w:hint="eastAsia" w:ascii="宋体" w:hAnsi="宋体" w:eastAsia="宋体" w:cs="宋体"/>
          <w:color w:val="auto"/>
          <w:sz w:val="44"/>
          <w:szCs w:val="44"/>
          <w:highlight w:val="none"/>
          <w:shd w:val="clear" w:color="auto" w:fill="auto"/>
          <w:lang w:eastAsia="zh-CN"/>
        </w:rPr>
        <w:t>南通市崇川文化旅游发展有限公司2023-202</w:t>
      </w:r>
      <w:r>
        <w:rPr>
          <w:rFonts w:hint="eastAsia" w:ascii="宋体" w:hAnsi="宋体" w:eastAsia="宋体" w:cs="宋体"/>
          <w:color w:val="auto"/>
          <w:sz w:val="44"/>
          <w:szCs w:val="44"/>
          <w:highlight w:val="none"/>
          <w:shd w:val="clear" w:color="auto" w:fill="auto"/>
          <w:lang w:val="en-US" w:eastAsia="zh-CN"/>
        </w:rPr>
        <w:t>5</w:t>
      </w:r>
      <w:r>
        <w:rPr>
          <w:rFonts w:hint="eastAsia" w:ascii="宋体" w:hAnsi="宋体" w:eastAsia="宋体" w:cs="宋体"/>
          <w:color w:val="auto"/>
          <w:sz w:val="44"/>
          <w:szCs w:val="44"/>
          <w:highlight w:val="none"/>
          <w:shd w:val="clear" w:color="auto" w:fill="auto"/>
          <w:lang w:eastAsia="zh-CN"/>
        </w:rPr>
        <w:t>年度经营性物业处置服务机构项目（</w:t>
      </w:r>
      <w:r>
        <w:rPr>
          <w:rFonts w:hint="eastAsia" w:ascii="宋体" w:hAnsi="宋体" w:eastAsia="宋体" w:cs="宋体"/>
          <w:color w:val="auto"/>
          <w:sz w:val="44"/>
          <w:szCs w:val="44"/>
          <w:highlight w:val="none"/>
          <w:shd w:val="clear" w:color="auto" w:fill="auto"/>
          <w:lang w:val="en-US" w:eastAsia="zh-CN"/>
        </w:rPr>
        <w:t>二次</w:t>
      </w:r>
      <w:r>
        <w:rPr>
          <w:rFonts w:hint="eastAsia" w:ascii="宋体" w:hAnsi="宋体" w:eastAsia="宋体" w:cs="宋体"/>
          <w:color w:val="auto"/>
          <w:sz w:val="44"/>
          <w:szCs w:val="44"/>
          <w:highlight w:val="none"/>
          <w:shd w:val="clear" w:color="auto" w:fill="auto"/>
          <w:lang w:eastAsia="zh-CN"/>
        </w:rPr>
        <w:t>）</w:t>
      </w:r>
    </w:p>
    <w:p>
      <w:pPr>
        <w:spacing w:line="590" w:lineRule="exact"/>
        <w:jc w:val="center"/>
        <w:rPr>
          <w:rFonts w:ascii="宋体" w:hAnsi="宋体" w:eastAsia="宋体" w:cs="宋体"/>
          <w:b/>
          <w:bCs/>
          <w:sz w:val="32"/>
          <w:szCs w:val="32"/>
          <w:highlight w:val="none"/>
        </w:rPr>
      </w:pPr>
    </w:p>
    <w:p>
      <w:pPr>
        <w:spacing w:line="590" w:lineRule="exact"/>
        <w:jc w:val="center"/>
        <w:rPr>
          <w:rFonts w:ascii="宋体" w:hAnsi="宋体" w:eastAsia="宋体" w:cs="宋体"/>
          <w:b/>
          <w:bCs/>
          <w:sz w:val="32"/>
          <w:szCs w:val="32"/>
          <w:highlight w:val="none"/>
        </w:rPr>
      </w:pPr>
    </w:p>
    <w:p>
      <w:pPr>
        <w:spacing w:line="590" w:lineRule="exact"/>
        <w:jc w:val="center"/>
        <w:rPr>
          <w:rFonts w:ascii="宋体" w:hAnsi="宋体" w:eastAsia="宋体" w:cs="宋体"/>
          <w:b/>
          <w:bCs/>
          <w:sz w:val="32"/>
          <w:szCs w:val="32"/>
          <w:highlight w:val="none"/>
        </w:rPr>
      </w:pPr>
    </w:p>
    <w:p>
      <w:pPr>
        <w:tabs>
          <w:tab w:val="left" w:pos="1050"/>
          <w:tab w:val="right" w:leader="dot" w:pos="9402"/>
        </w:tabs>
        <w:spacing w:line="590" w:lineRule="exact"/>
        <w:jc w:val="center"/>
        <w:rPr>
          <w:rFonts w:ascii="宋体" w:hAnsi="宋体" w:eastAsia="宋体" w:cs="宋体"/>
          <w:b/>
          <w:bCs/>
          <w:sz w:val="44"/>
          <w:szCs w:val="44"/>
          <w:highlight w:val="none"/>
        </w:rPr>
      </w:pPr>
    </w:p>
    <w:p>
      <w:pPr>
        <w:tabs>
          <w:tab w:val="left" w:pos="1050"/>
          <w:tab w:val="right" w:leader="dot" w:pos="9402"/>
        </w:tabs>
        <w:spacing w:line="590" w:lineRule="exact"/>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公开招标文件</w:t>
      </w:r>
    </w:p>
    <w:p>
      <w:pPr>
        <w:snapToGrid w:val="0"/>
        <w:spacing w:line="590" w:lineRule="exact"/>
        <w:jc w:val="center"/>
        <w:rPr>
          <w:rFonts w:ascii="宋体" w:hAnsi="宋体" w:eastAsia="宋体" w:cs="宋体"/>
          <w:sz w:val="32"/>
          <w:szCs w:val="32"/>
          <w:highlight w:val="none"/>
        </w:rPr>
      </w:pPr>
    </w:p>
    <w:p>
      <w:pPr>
        <w:snapToGrid w:val="0"/>
        <w:spacing w:line="590" w:lineRule="exact"/>
        <w:jc w:val="center"/>
        <w:rPr>
          <w:rFonts w:ascii="宋体" w:hAnsi="宋体" w:eastAsia="宋体" w:cs="宋体"/>
          <w:sz w:val="32"/>
          <w:szCs w:val="32"/>
          <w:highlight w:val="none"/>
        </w:rPr>
      </w:pPr>
      <w:r>
        <w:rPr>
          <w:rFonts w:hint="eastAsia" w:ascii="宋体" w:hAnsi="宋体" w:eastAsia="宋体" w:cs="宋体"/>
          <w:sz w:val="32"/>
          <w:szCs w:val="32"/>
          <w:highlight w:val="none"/>
        </w:rPr>
        <w:t>（资格后审）</w:t>
      </w:r>
    </w:p>
    <w:p>
      <w:pPr>
        <w:snapToGrid w:val="0"/>
        <w:spacing w:line="590" w:lineRule="exact"/>
        <w:jc w:val="center"/>
        <w:rPr>
          <w:rFonts w:ascii="宋体" w:hAnsi="宋体" w:eastAsia="宋体" w:cs="宋体"/>
          <w:sz w:val="32"/>
          <w:szCs w:val="32"/>
          <w:highlight w:val="none"/>
        </w:rPr>
      </w:pPr>
    </w:p>
    <w:p>
      <w:pPr>
        <w:spacing w:line="590" w:lineRule="exact"/>
        <w:rPr>
          <w:rFonts w:ascii="宋体" w:hAnsi="宋体" w:eastAsia="宋体" w:cs="宋体"/>
          <w:sz w:val="32"/>
          <w:szCs w:val="32"/>
          <w:highlight w:val="none"/>
        </w:rPr>
      </w:pPr>
    </w:p>
    <w:p>
      <w:pPr>
        <w:rPr>
          <w:rFonts w:ascii="宋体" w:hAnsi="宋体" w:eastAsia="宋体" w:cs="宋体"/>
          <w:sz w:val="32"/>
          <w:szCs w:val="32"/>
          <w:highlight w:val="none"/>
        </w:rPr>
      </w:pPr>
    </w:p>
    <w:p>
      <w:pPr>
        <w:rPr>
          <w:rFonts w:ascii="宋体" w:hAnsi="宋体" w:eastAsia="宋体" w:cs="宋体"/>
          <w:sz w:val="32"/>
          <w:szCs w:val="32"/>
          <w:highlight w:val="none"/>
        </w:rPr>
      </w:pPr>
    </w:p>
    <w:p>
      <w:pPr>
        <w:pStyle w:val="12"/>
        <w:rPr>
          <w:rFonts w:ascii="宋体" w:hAnsi="宋体" w:eastAsia="宋体" w:cs="宋体"/>
          <w:sz w:val="32"/>
          <w:szCs w:val="32"/>
          <w:highlight w:val="none"/>
        </w:rPr>
      </w:pPr>
    </w:p>
    <w:p>
      <w:pPr>
        <w:rPr>
          <w:rFonts w:ascii="宋体" w:hAnsi="宋体" w:eastAsia="宋体" w:cs="宋体"/>
          <w:sz w:val="32"/>
          <w:szCs w:val="32"/>
          <w:highlight w:val="none"/>
        </w:rPr>
      </w:pPr>
    </w:p>
    <w:p>
      <w:pPr>
        <w:pStyle w:val="12"/>
        <w:rPr>
          <w:rFonts w:ascii="宋体" w:hAnsi="宋体" w:eastAsia="宋体" w:cs="宋体"/>
          <w:highlight w:val="none"/>
        </w:rPr>
      </w:pPr>
    </w:p>
    <w:p>
      <w:pPr>
        <w:tabs>
          <w:tab w:val="left" w:pos="1050"/>
          <w:tab w:val="right" w:leader="dot" w:pos="9402"/>
        </w:tabs>
        <w:spacing w:line="590" w:lineRule="exact"/>
        <w:ind w:firstLine="1280" w:firstLineChars="400"/>
        <w:jc w:val="left"/>
        <w:rPr>
          <w:rFonts w:ascii="宋体" w:hAnsi="宋体" w:eastAsia="宋体" w:cs="宋体"/>
          <w:sz w:val="32"/>
          <w:szCs w:val="32"/>
          <w:highlight w:val="none"/>
        </w:rPr>
      </w:pPr>
      <w:r>
        <w:rPr>
          <w:rFonts w:hint="eastAsia" w:ascii="宋体" w:hAnsi="宋体" w:eastAsia="宋体" w:cs="宋体"/>
          <w:sz w:val="32"/>
          <w:szCs w:val="32"/>
          <w:highlight w:val="none"/>
        </w:rPr>
        <w:t>采购单位：南通市崇川文化旅游发展有限公司</w:t>
      </w:r>
    </w:p>
    <w:p>
      <w:pPr>
        <w:tabs>
          <w:tab w:val="left" w:pos="1050"/>
          <w:tab w:val="right" w:leader="dot" w:pos="9402"/>
        </w:tabs>
        <w:spacing w:line="590" w:lineRule="exact"/>
        <w:ind w:firstLine="1280" w:firstLineChars="400"/>
        <w:jc w:val="left"/>
        <w:rPr>
          <w:rFonts w:ascii="宋体" w:hAnsi="宋体" w:eastAsia="宋体" w:cs="宋体"/>
          <w:sz w:val="32"/>
          <w:szCs w:val="32"/>
          <w:highlight w:val="none"/>
        </w:rPr>
      </w:pPr>
      <w:r>
        <w:rPr>
          <w:rFonts w:hint="eastAsia" w:ascii="宋体" w:hAnsi="宋体" w:eastAsia="宋体" w:cs="宋体"/>
          <w:sz w:val="32"/>
          <w:szCs w:val="32"/>
          <w:highlight w:val="none"/>
        </w:rPr>
        <w:t>采购代理机构：江苏海审工程咨询有限公司</w:t>
      </w:r>
    </w:p>
    <w:p>
      <w:pPr>
        <w:tabs>
          <w:tab w:val="left" w:pos="1050"/>
          <w:tab w:val="right" w:leader="dot" w:pos="9402"/>
        </w:tabs>
        <w:spacing w:line="590" w:lineRule="exact"/>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二〇二三年</w:t>
      </w:r>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lang w:val="en-US" w:eastAsia="zh-CN"/>
        </w:rPr>
        <w:t>二十二</w:t>
      </w:r>
      <w:r>
        <w:rPr>
          <w:rFonts w:hint="eastAsia" w:ascii="宋体" w:hAnsi="宋体" w:eastAsia="宋体" w:cs="宋体"/>
          <w:color w:val="auto"/>
          <w:sz w:val="32"/>
          <w:szCs w:val="32"/>
          <w:highlight w:val="none"/>
        </w:rPr>
        <w:t>日</w:t>
      </w:r>
    </w:p>
    <w:p>
      <w:pPr>
        <w:pageBreakBefore/>
        <w:spacing w:line="590" w:lineRule="exact"/>
        <w:jc w:val="center"/>
        <w:outlineLvl w:val="0"/>
        <w:rPr>
          <w:rFonts w:ascii="宋体" w:hAnsi="宋体" w:eastAsia="宋体" w:cs="宋体"/>
          <w:b/>
          <w:bCs/>
          <w:sz w:val="32"/>
          <w:szCs w:val="32"/>
          <w:highlight w:val="none"/>
        </w:rPr>
      </w:pPr>
      <w:r>
        <w:rPr>
          <w:rFonts w:hint="eastAsia" w:ascii="宋体" w:hAnsi="宋体" w:eastAsia="宋体" w:cs="宋体"/>
          <w:b/>
          <w:bCs/>
          <w:sz w:val="32"/>
          <w:szCs w:val="32"/>
          <w:highlight w:val="none"/>
        </w:rPr>
        <w:t>目 录</w:t>
      </w:r>
    </w:p>
    <w:p>
      <w:pPr>
        <w:tabs>
          <w:tab w:val="right" w:leader="dot" w:pos="9072"/>
        </w:tabs>
        <w:adjustRightInd w:val="0"/>
        <w:spacing w:line="590" w:lineRule="exact"/>
        <w:ind w:right="-2"/>
        <w:jc w:val="center"/>
        <w:textAlignment w:val="baseline"/>
        <w:rPr>
          <w:rFonts w:ascii="宋体" w:hAnsi="宋体" w:eastAsia="宋体" w:cs="宋体"/>
          <w:sz w:val="32"/>
          <w:szCs w:val="32"/>
          <w:highlight w:val="none"/>
        </w:rPr>
      </w:pPr>
      <w:r>
        <w:rPr>
          <w:rFonts w:hint="eastAsia" w:ascii="宋体" w:hAnsi="宋体" w:eastAsia="宋体" w:cs="宋体"/>
          <w:sz w:val="32"/>
          <w:szCs w:val="32"/>
          <w:highlight w:val="none"/>
        </w:rPr>
        <w:t>第一章 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t>3</w:t>
      </w:r>
    </w:p>
    <w:p>
      <w:pPr>
        <w:tabs>
          <w:tab w:val="right" w:leader="dot" w:pos="9072"/>
        </w:tabs>
        <w:adjustRightInd w:val="0"/>
        <w:spacing w:line="590" w:lineRule="exact"/>
        <w:ind w:right="-2"/>
        <w:jc w:val="center"/>
        <w:textAlignment w:val="baseline"/>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第二章 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lang w:val="en-US" w:eastAsia="zh-CN"/>
        </w:rPr>
        <w:t>6</w:t>
      </w:r>
    </w:p>
    <w:p>
      <w:pPr>
        <w:tabs>
          <w:tab w:val="right" w:leader="dot" w:pos="9072"/>
        </w:tabs>
        <w:adjustRightInd w:val="0"/>
        <w:spacing w:line="590" w:lineRule="exact"/>
        <w:ind w:right="-2"/>
        <w:jc w:val="center"/>
        <w:textAlignment w:val="baseline"/>
        <w:rPr>
          <w:rFonts w:ascii="宋体" w:hAnsi="宋体" w:eastAsia="宋体" w:cs="宋体"/>
          <w:sz w:val="32"/>
          <w:szCs w:val="32"/>
          <w:highlight w:val="none"/>
        </w:rPr>
      </w:pPr>
      <w:r>
        <w:rPr>
          <w:rFonts w:hint="eastAsia" w:ascii="宋体" w:hAnsi="宋体" w:eastAsia="宋体" w:cs="宋体"/>
          <w:sz w:val="32"/>
          <w:szCs w:val="32"/>
          <w:highlight w:val="none"/>
        </w:rPr>
        <w:t>第三章 项目需求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t>10</w:t>
      </w:r>
    </w:p>
    <w:p>
      <w:pPr>
        <w:tabs>
          <w:tab w:val="right" w:leader="dot" w:pos="9072"/>
        </w:tabs>
        <w:adjustRightInd w:val="0"/>
        <w:spacing w:line="590" w:lineRule="exact"/>
        <w:ind w:right="-2"/>
        <w:jc w:val="center"/>
        <w:textAlignment w:val="baseline"/>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第四章 评标程序和方法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t>1</w:t>
      </w:r>
      <w:r>
        <w:rPr>
          <w:rFonts w:hint="eastAsia" w:ascii="宋体" w:hAnsi="宋体" w:eastAsia="宋体" w:cs="宋体"/>
          <w:sz w:val="32"/>
          <w:szCs w:val="32"/>
          <w:highlight w:val="none"/>
          <w:lang w:val="en-US" w:eastAsia="zh-CN"/>
        </w:rPr>
        <w:t>2</w:t>
      </w:r>
    </w:p>
    <w:p>
      <w:pPr>
        <w:tabs>
          <w:tab w:val="right" w:leader="dot" w:pos="9072"/>
        </w:tabs>
        <w:adjustRightInd w:val="0"/>
        <w:spacing w:line="590" w:lineRule="exact"/>
        <w:ind w:right="-2"/>
        <w:jc w:val="center"/>
        <w:textAlignment w:val="baseline"/>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t>第五章 合同的授予和履约</w:t>
      </w:r>
      <w:r>
        <w:rPr>
          <w:rFonts w:hint="eastAsia" w:ascii="宋体" w:hAnsi="宋体" w:eastAsia="宋体" w:cs="宋体"/>
          <w:sz w:val="32"/>
          <w:szCs w:val="32"/>
          <w:highlight w:val="none"/>
        </w:rPr>
        <w:tab/>
      </w:r>
      <w:r>
        <w:rPr>
          <w:rFonts w:hint="eastAsia" w:ascii="宋体" w:hAnsi="宋体" w:eastAsia="宋体" w:cs="宋体"/>
          <w:sz w:val="32"/>
          <w:szCs w:val="32"/>
          <w:highlight w:val="none"/>
          <w:lang w:val="en-US" w:eastAsia="zh-CN"/>
        </w:rPr>
        <w:t>20</w:t>
      </w:r>
    </w:p>
    <w:p>
      <w:pPr>
        <w:tabs>
          <w:tab w:val="right" w:leader="dot" w:pos="9072"/>
        </w:tabs>
        <w:adjustRightInd w:val="0"/>
        <w:spacing w:line="590" w:lineRule="exact"/>
        <w:ind w:right="-2"/>
        <w:jc w:val="center"/>
        <w:textAlignment w:val="baseline"/>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t>第六章 质疑与投诉</w:t>
      </w:r>
      <w:r>
        <w:rPr>
          <w:rFonts w:hint="eastAsia" w:ascii="宋体" w:hAnsi="宋体" w:eastAsia="宋体" w:cs="宋体"/>
          <w:sz w:val="32"/>
          <w:szCs w:val="32"/>
          <w:highlight w:val="none"/>
        </w:rPr>
        <w:tab/>
      </w:r>
      <w:r>
        <w:rPr>
          <w:rFonts w:hint="eastAsia" w:ascii="宋体" w:hAnsi="宋体" w:eastAsia="宋体" w:cs="宋体"/>
          <w:sz w:val="32"/>
          <w:szCs w:val="32"/>
          <w:highlight w:val="none"/>
          <w:lang w:val="en-US" w:eastAsia="zh-CN"/>
        </w:rPr>
        <w:t>24</w:t>
      </w:r>
    </w:p>
    <w:p>
      <w:pPr>
        <w:tabs>
          <w:tab w:val="right" w:leader="dot" w:pos="9072"/>
        </w:tabs>
        <w:adjustRightInd w:val="0"/>
        <w:spacing w:line="590" w:lineRule="exact"/>
        <w:ind w:right="-2"/>
        <w:jc w:val="center"/>
        <w:textAlignment w:val="baseline"/>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第七章 投标文件的组成及格式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t>2</w:t>
      </w:r>
      <w:r>
        <w:rPr>
          <w:rFonts w:hint="eastAsia" w:ascii="宋体" w:hAnsi="宋体" w:eastAsia="宋体" w:cs="宋体"/>
          <w:sz w:val="32"/>
          <w:szCs w:val="32"/>
          <w:highlight w:val="none"/>
          <w:lang w:val="en-US" w:eastAsia="zh-CN"/>
        </w:rPr>
        <w:t>7</w:t>
      </w:r>
    </w:p>
    <w:p>
      <w:pPr>
        <w:spacing w:line="590" w:lineRule="exact"/>
        <w:rPr>
          <w:rFonts w:ascii="宋体" w:hAnsi="宋体" w:eastAsia="宋体" w:cs="宋体"/>
          <w:kern w:val="0"/>
          <w:sz w:val="32"/>
          <w:szCs w:val="32"/>
          <w:highlight w:val="none"/>
        </w:rPr>
      </w:pPr>
    </w:p>
    <w:p>
      <w:pPr>
        <w:spacing w:line="590" w:lineRule="exact"/>
        <w:rPr>
          <w:rFonts w:ascii="宋体" w:hAnsi="宋体" w:eastAsia="宋体" w:cs="宋体"/>
          <w:kern w:val="0"/>
          <w:sz w:val="32"/>
          <w:szCs w:val="32"/>
          <w:highlight w:val="none"/>
        </w:rPr>
      </w:pPr>
    </w:p>
    <w:p>
      <w:pPr>
        <w:spacing w:line="590" w:lineRule="exact"/>
        <w:rPr>
          <w:rFonts w:ascii="宋体" w:hAnsi="宋体" w:eastAsia="宋体" w:cs="宋体"/>
          <w:kern w:val="0"/>
          <w:sz w:val="32"/>
          <w:szCs w:val="32"/>
          <w:highlight w:val="none"/>
        </w:rPr>
      </w:pPr>
    </w:p>
    <w:p>
      <w:pPr>
        <w:spacing w:line="590" w:lineRule="exact"/>
        <w:rPr>
          <w:rFonts w:ascii="宋体" w:hAnsi="宋体" w:eastAsia="宋体" w:cs="宋体"/>
          <w:kern w:val="0"/>
          <w:sz w:val="32"/>
          <w:szCs w:val="32"/>
          <w:highlight w:val="none"/>
        </w:rPr>
      </w:pPr>
    </w:p>
    <w:p>
      <w:pPr>
        <w:spacing w:line="590" w:lineRule="exact"/>
        <w:rPr>
          <w:rFonts w:ascii="宋体" w:hAnsi="宋体" w:eastAsia="宋体" w:cs="宋体"/>
          <w:kern w:val="0"/>
          <w:sz w:val="32"/>
          <w:szCs w:val="32"/>
          <w:highlight w:val="none"/>
        </w:rPr>
      </w:pPr>
    </w:p>
    <w:p>
      <w:pPr>
        <w:spacing w:line="590" w:lineRule="exact"/>
        <w:rPr>
          <w:rFonts w:ascii="宋体" w:hAnsi="宋体" w:eastAsia="宋体" w:cs="宋体"/>
          <w:kern w:val="0"/>
          <w:sz w:val="32"/>
          <w:szCs w:val="32"/>
          <w:highlight w:val="none"/>
        </w:rPr>
      </w:pPr>
    </w:p>
    <w:p>
      <w:pPr>
        <w:spacing w:line="590" w:lineRule="exact"/>
        <w:rPr>
          <w:rFonts w:ascii="宋体" w:hAnsi="宋体" w:eastAsia="宋体" w:cs="宋体"/>
          <w:kern w:val="0"/>
          <w:sz w:val="32"/>
          <w:szCs w:val="32"/>
          <w:highlight w:val="none"/>
        </w:rPr>
      </w:pPr>
    </w:p>
    <w:p>
      <w:pPr>
        <w:spacing w:line="590" w:lineRule="exact"/>
        <w:rPr>
          <w:rFonts w:ascii="宋体" w:hAnsi="宋体" w:eastAsia="宋体" w:cs="宋体"/>
          <w:kern w:val="0"/>
          <w:sz w:val="32"/>
          <w:szCs w:val="32"/>
          <w:highlight w:val="none"/>
        </w:rPr>
      </w:pPr>
    </w:p>
    <w:p>
      <w:pPr>
        <w:pStyle w:val="12"/>
        <w:spacing w:line="590" w:lineRule="exact"/>
        <w:rPr>
          <w:rFonts w:ascii="宋体" w:hAnsi="宋体" w:eastAsia="宋体" w:cs="宋体"/>
          <w:kern w:val="0"/>
          <w:sz w:val="32"/>
          <w:szCs w:val="32"/>
          <w:highlight w:val="none"/>
        </w:rPr>
      </w:pPr>
    </w:p>
    <w:p>
      <w:pPr>
        <w:spacing w:line="590" w:lineRule="exact"/>
        <w:rPr>
          <w:rFonts w:ascii="宋体" w:hAnsi="宋体" w:eastAsia="宋体" w:cs="宋体"/>
          <w:kern w:val="0"/>
          <w:sz w:val="32"/>
          <w:szCs w:val="32"/>
          <w:highlight w:val="none"/>
        </w:rPr>
      </w:pPr>
    </w:p>
    <w:p>
      <w:pPr>
        <w:pStyle w:val="12"/>
        <w:spacing w:line="590" w:lineRule="exact"/>
        <w:rPr>
          <w:rFonts w:ascii="宋体" w:hAnsi="宋体" w:eastAsia="宋体" w:cs="宋体"/>
          <w:sz w:val="32"/>
          <w:szCs w:val="32"/>
          <w:highlight w:val="none"/>
        </w:rPr>
      </w:pPr>
    </w:p>
    <w:p>
      <w:pPr>
        <w:spacing w:line="590" w:lineRule="exact"/>
        <w:rPr>
          <w:rFonts w:ascii="宋体" w:hAnsi="宋体" w:eastAsia="宋体" w:cs="宋体"/>
          <w:kern w:val="0"/>
          <w:sz w:val="32"/>
          <w:szCs w:val="32"/>
          <w:highlight w:val="none"/>
        </w:rPr>
      </w:pPr>
    </w:p>
    <w:p>
      <w:pPr>
        <w:spacing w:line="360" w:lineRule="auto"/>
        <w:rPr>
          <w:rFonts w:ascii="宋体" w:hAnsi="宋体" w:eastAsia="宋体" w:cs="宋体"/>
          <w:b/>
          <w:bCs/>
          <w:highlight w:val="none"/>
        </w:rPr>
      </w:pPr>
    </w:p>
    <w:p>
      <w:pPr>
        <w:rPr>
          <w:rFonts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snapToGrid w:val="0"/>
        <w:spacing w:line="360" w:lineRule="auto"/>
        <w:rPr>
          <w:rFonts w:ascii="宋体" w:hAnsi="宋体" w:eastAsia="宋体" w:cs="宋体"/>
          <w:b/>
          <w:bCs/>
          <w:highlight w:val="none"/>
        </w:rPr>
      </w:pPr>
      <w:r>
        <w:rPr>
          <w:rFonts w:hint="eastAsia" w:ascii="宋体" w:hAnsi="宋体" w:eastAsia="宋体" w:cs="宋体"/>
          <w:b/>
          <w:bCs/>
          <w:highlight w:val="none"/>
        </w:rPr>
        <w:t>尊敬的投标供应商（以下称投标人）：</w:t>
      </w:r>
    </w:p>
    <w:p>
      <w:pPr>
        <w:snapToGrid w:val="0"/>
        <w:spacing w:line="360" w:lineRule="auto"/>
        <w:ind w:firstLine="482" w:firstLineChars="200"/>
        <w:rPr>
          <w:rFonts w:ascii="宋体" w:hAnsi="宋体" w:eastAsia="宋体" w:cs="宋体"/>
          <w:highlight w:val="none"/>
        </w:rPr>
      </w:pPr>
      <w:r>
        <w:rPr>
          <w:rFonts w:hint="eastAsia" w:ascii="宋体" w:hAnsi="宋体" w:eastAsia="宋体" w:cs="宋体"/>
          <w:b/>
          <w:bCs/>
          <w:highlight w:val="none"/>
        </w:rPr>
        <w:t>欢迎参加本采购项目的公开招标。为了保证本项目招标顺利进行，请在制作投标文件之前，仔细阅读本公开招标文件的各项条款，并按要求制作和递交投标文件。谢谢合作！</w:t>
      </w:r>
    </w:p>
    <w:p>
      <w:pPr>
        <w:tabs>
          <w:tab w:val="left" w:pos="1050"/>
          <w:tab w:val="left" w:pos="2375"/>
          <w:tab w:val="center" w:pos="4818"/>
          <w:tab w:val="right" w:leader="dot" w:pos="9402"/>
        </w:tabs>
        <w:spacing w:before="312" w:beforeLines="100" w:after="156" w:afterLines="50" w:line="360" w:lineRule="auto"/>
        <w:jc w:val="center"/>
        <w:outlineLvl w:val="0"/>
        <w:rPr>
          <w:rFonts w:ascii="宋体" w:hAnsi="宋体" w:eastAsia="宋体" w:cs="宋体"/>
          <w:b/>
          <w:bCs/>
          <w:sz w:val="32"/>
          <w:szCs w:val="32"/>
          <w:highlight w:val="none"/>
        </w:rPr>
      </w:pPr>
      <w:bookmarkStart w:id="0" w:name="_Toc363573853"/>
      <w:bookmarkEnd w:id="0"/>
      <w:r>
        <w:rPr>
          <w:rFonts w:hint="eastAsia" w:ascii="宋体" w:hAnsi="宋体" w:eastAsia="宋体" w:cs="宋体"/>
          <w:b/>
          <w:bCs/>
          <w:sz w:val="32"/>
          <w:szCs w:val="32"/>
          <w:highlight w:val="none"/>
        </w:rPr>
        <w:t>第一章 招标公告</w:t>
      </w:r>
    </w:p>
    <w:p>
      <w:pPr>
        <w:pBdr>
          <w:top w:val="single" w:color="auto" w:sz="4" w:space="1"/>
          <w:left w:val="single" w:color="auto" w:sz="4" w:space="4"/>
          <w:bottom w:val="single" w:color="auto" w:sz="4" w:space="5"/>
          <w:right w:val="single" w:color="auto" w:sz="4" w:space="0"/>
        </w:pBdr>
        <w:spacing w:line="360" w:lineRule="auto"/>
        <w:rPr>
          <w:rFonts w:ascii="宋体" w:hAnsi="宋体" w:eastAsia="宋体" w:cs="宋体"/>
          <w:b/>
          <w:bCs/>
          <w:highlight w:val="none"/>
        </w:rPr>
      </w:pPr>
      <w:bookmarkStart w:id="1" w:name="_Hlk23325252"/>
      <w:bookmarkEnd w:id="1"/>
      <w:bookmarkStart w:id="2" w:name="_Hlk22000923"/>
      <w:bookmarkEnd w:id="2"/>
      <w:bookmarkStart w:id="3" w:name="_Hlk46362535"/>
      <w:bookmarkEnd w:id="3"/>
      <w:bookmarkStart w:id="4" w:name="_Hlk67480463"/>
      <w:bookmarkEnd w:id="4"/>
      <w:bookmarkStart w:id="5" w:name="_Hlk47464923"/>
      <w:bookmarkEnd w:id="5"/>
      <w:bookmarkStart w:id="6" w:name="_Hlk55401191"/>
      <w:bookmarkStart w:id="7" w:name="_Hlk87607646"/>
      <w:r>
        <w:rPr>
          <w:rFonts w:hint="eastAsia" w:ascii="宋体" w:hAnsi="宋体" w:eastAsia="宋体" w:cs="宋体"/>
          <w:b/>
          <w:bCs/>
          <w:highlight w:val="none"/>
        </w:rPr>
        <w:t>项目概况</w:t>
      </w:r>
      <w:bookmarkEnd w:id="6"/>
    </w:p>
    <w:p>
      <w:pPr>
        <w:pBdr>
          <w:top w:val="single" w:color="auto" w:sz="4" w:space="1"/>
          <w:left w:val="single" w:color="auto" w:sz="4" w:space="4"/>
          <w:bottom w:val="single" w:color="auto" w:sz="4" w:space="5"/>
          <w:right w:val="single" w:color="auto" w:sz="4" w:space="0"/>
        </w:pBdr>
        <w:spacing w:line="360" w:lineRule="auto"/>
        <w:ind w:firstLine="482" w:firstLineChars="200"/>
        <w:rPr>
          <w:rFonts w:ascii="宋体" w:hAnsi="宋体" w:eastAsia="宋体" w:cs="宋体"/>
          <w:b/>
          <w:bCs/>
          <w:highlight w:val="none"/>
        </w:rPr>
      </w:pPr>
      <w:r>
        <w:rPr>
          <w:rFonts w:hint="eastAsia" w:ascii="宋体" w:hAnsi="宋体" w:eastAsia="宋体" w:cs="宋体"/>
          <w:b/>
          <w:bCs/>
          <w:highlight w:val="none"/>
          <w:u w:val="single"/>
          <w:lang w:eastAsia="zh-CN"/>
        </w:rPr>
        <w:t>南通市崇川文化旅游发展有限公司2023-202</w:t>
      </w:r>
      <w:r>
        <w:rPr>
          <w:rFonts w:hint="eastAsia" w:ascii="宋体" w:hAnsi="宋体" w:eastAsia="宋体" w:cs="宋体"/>
          <w:b/>
          <w:bCs/>
          <w:highlight w:val="none"/>
          <w:u w:val="single"/>
          <w:lang w:val="en-US" w:eastAsia="zh-CN"/>
        </w:rPr>
        <w:t>5</w:t>
      </w:r>
      <w:r>
        <w:rPr>
          <w:rFonts w:hint="eastAsia" w:ascii="宋体" w:hAnsi="宋体" w:eastAsia="宋体" w:cs="宋体"/>
          <w:b/>
          <w:bCs/>
          <w:highlight w:val="none"/>
          <w:u w:val="single"/>
          <w:lang w:eastAsia="zh-CN"/>
        </w:rPr>
        <w:t>年度经营性物业处置服务机构项目（</w:t>
      </w:r>
      <w:r>
        <w:rPr>
          <w:rFonts w:hint="eastAsia" w:ascii="宋体" w:hAnsi="宋体" w:eastAsia="宋体" w:cs="宋体"/>
          <w:b/>
          <w:bCs/>
          <w:highlight w:val="none"/>
          <w:u w:val="single"/>
          <w:lang w:val="en-US" w:eastAsia="zh-CN"/>
        </w:rPr>
        <w:t>二次</w:t>
      </w:r>
      <w:r>
        <w:rPr>
          <w:rFonts w:hint="eastAsia" w:ascii="宋体" w:hAnsi="宋体" w:eastAsia="宋体" w:cs="宋体"/>
          <w:b/>
          <w:bCs/>
          <w:highlight w:val="none"/>
          <w:u w:val="single"/>
          <w:lang w:eastAsia="zh-CN"/>
        </w:rPr>
        <w:t>）</w:t>
      </w:r>
      <w:r>
        <w:rPr>
          <w:rFonts w:hint="eastAsia" w:ascii="宋体" w:hAnsi="宋体" w:eastAsia="宋体" w:cs="宋体"/>
          <w:b/>
          <w:bCs/>
          <w:highlight w:val="none"/>
        </w:rPr>
        <w:t>的潜在供应商应在</w:t>
      </w:r>
      <w:r>
        <w:rPr>
          <w:rFonts w:hint="eastAsia" w:ascii="宋体" w:hAnsi="宋体" w:eastAsia="宋体" w:cs="宋体"/>
          <w:b/>
          <w:bCs/>
          <w:highlight w:val="none"/>
          <w:u w:val="single"/>
        </w:rPr>
        <w:t>“南通市崇川区人民政府网 (www.chongchuan.gov.cn)→我要看→公示公告”栏内</w:t>
      </w:r>
      <w:r>
        <w:rPr>
          <w:rFonts w:hint="eastAsia" w:ascii="宋体" w:hAnsi="宋体" w:eastAsia="宋体" w:cs="宋体"/>
          <w:b/>
          <w:bCs/>
          <w:highlight w:val="none"/>
        </w:rPr>
        <w:t>获取采购文件，并于</w:t>
      </w:r>
      <w:r>
        <w:rPr>
          <w:rFonts w:hint="eastAsia" w:ascii="宋体" w:hAnsi="宋体" w:eastAsia="宋体" w:cs="宋体"/>
          <w:b/>
          <w:bCs/>
          <w:color w:val="0000FF"/>
          <w:highlight w:val="none"/>
          <w:u w:val="single"/>
        </w:rPr>
        <w:t>2023年</w:t>
      </w:r>
      <w:r>
        <w:rPr>
          <w:rFonts w:hint="eastAsia" w:ascii="宋体" w:hAnsi="宋体" w:eastAsia="宋体" w:cs="宋体"/>
          <w:b/>
          <w:bCs/>
          <w:color w:val="0000FF"/>
          <w:highlight w:val="none"/>
          <w:u w:val="single"/>
          <w:lang w:val="en-US" w:eastAsia="zh-CN"/>
        </w:rPr>
        <w:t>9</w:t>
      </w:r>
      <w:r>
        <w:rPr>
          <w:rFonts w:hint="eastAsia" w:ascii="宋体" w:hAnsi="宋体" w:eastAsia="宋体" w:cs="宋体"/>
          <w:b/>
          <w:bCs/>
          <w:color w:val="0000FF"/>
          <w:highlight w:val="none"/>
          <w:u w:val="single"/>
        </w:rPr>
        <w:t>月</w:t>
      </w:r>
      <w:r>
        <w:rPr>
          <w:rFonts w:hint="eastAsia" w:ascii="宋体" w:hAnsi="宋体" w:eastAsia="宋体" w:cs="宋体"/>
          <w:b/>
          <w:bCs/>
          <w:color w:val="0000FF"/>
          <w:highlight w:val="none"/>
          <w:u w:val="single"/>
          <w:lang w:val="en-US" w:eastAsia="zh-CN"/>
        </w:rPr>
        <w:t>12</w:t>
      </w:r>
      <w:r>
        <w:rPr>
          <w:rFonts w:hint="eastAsia" w:ascii="宋体" w:hAnsi="宋体" w:eastAsia="宋体" w:cs="宋体"/>
          <w:b/>
          <w:bCs/>
          <w:color w:val="0000FF"/>
          <w:highlight w:val="none"/>
          <w:u w:val="single"/>
        </w:rPr>
        <w:t>日</w:t>
      </w:r>
      <w:r>
        <w:rPr>
          <w:rFonts w:hint="eastAsia" w:ascii="宋体" w:hAnsi="宋体" w:eastAsia="宋体" w:cs="宋体"/>
          <w:b/>
          <w:bCs/>
          <w:color w:val="0000FF"/>
          <w:highlight w:val="none"/>
          <w:u w:val="single"/>
          <w:lang w:val="en-US" w:eastAsia="zh-CN"/>
        </w:rPr>
        <w:t>9</w:t>
      </w:r>
      <w:r>
        <w:rPr>
          <w:rFonts w:hint="eastAsia" w:ascii="宋体" w:hAnsi="宋体" w:eastAsia="宋体" w:cs="宋体"/>
          <w:b/>
          <w:bCs/>
          <w:color w:val="0000FF"/>
          <w:highlight w:val="none"/>
          <w:u w:val="single"/>
        </w:rPr>
        <w:t>时</w:t>
      </w:r>
      <w:r>
        <w:rPr>
          <w:rFonts w:hint="eastAsia" w:ascii="宋体" w:hAnsi="宋体" w:eastAsia="宋体" w:cs="宋体"/>
          <w:b/>
          <w:bCs/>
          <w:color w:val="0000FF"/>
          <w:highlight w:val="none"/>
          <w:u w:val="single"/>
          <w:lang w:val="en-US" w:eastAsia="zh-CN"/>
        </w:rPr>
        <w:t>30</w:t>
      </w:r>
      <w:r>
        <w:rPr>
          <w:rFonts w:hint="eastAsia" w:ascii="宋体" w:hAnsi="宋体" w:eastAsia="宋体" w:cs="宋体"/>
          <w:b/>
          <w:bCs/>
          <w:color w:val="0000FF"/>
          <w:highlight w:val="none"/>
          <w:u w:val="single"/>
        </w:rPr>
        <w:t>分</w:t>
      </w:r>
      <w:r>
        <w:rPr>
          <w:rFonts w:hint="eastAsia" w:ascii="宋体" w:hAnsi="宋体" w:eastAsia="宋体" w:cs="宋体"/>
          <w:b/>
          <w:bCs/>
          <w:highlight w:val="none"/>
        </w:rPr>
        <w:t>前提交投标文件。</w:t>
      </w:r>
    </w:p>
    <w:p>
      <w:pPr>
        <w:snapToGrid w:val="0"/>
        <w:spacing w:before="312" w:beforeLines="100" w:line="360" w:lineRule="auto"/>
        <w:ind w:left="-2" w:leftChars="-1" w:firstLine="431"/>
        <w:rPr>
          <w:rFonts w:ascii="宋体" w:hAnsi="宋体" w:eastAsia="宋体" w:cs="宋体"/>
          <w:highlight w:val="none"/>
        </w:rPr>
      </w:pPr>
      <w:r>
        <w:rPr>
          <w:rFonts w:hint="eastAsia" w:ascii="宋体" w:hAnsi="宋体" w:eastAsia="宋体" w:cs="宋体"/>
          <w:highlight w:val="none"/>
          <w:u w:val="single"/>
        </w:rPr>
        <w:t>江苏海审工程咨询有限公司</w:t>
      </w:r>
      <w:r>
        <w:rPr>
          <w:rFonts w:hint="eastAsia" w:ascii="宋体" w:hAnsi="宋体" w:eastAsia="宋体" w:cs="宋体"/>
          <w:highlight w:val="none"/>
        </w:rPr>
        <w:t>（以下称采购代理机构）受</w:t>
      </w:r>
      <w:r>
        <w:rPr>
          <w:rFonts w:hint="eastAsia" w:ascii="宋体" w:hAnsi="宋体" w:eastAsia="宋体" w:cs="宋体"/>
          <w:highlight w:val="none"/>
          <w:u w:val="single"/>
        </w:rPr>
        <w:t>南通市崇川文化旅游发展有限公司</w:t>
      </w:r>
      <w:r>
        <w:rPr>
          <w:rFonts w:hint="eastAsia" w:ascii="宋体" w:hAnsi="宋体" w:eastAsia="宋体" w:cs="宋体"/>
          <w:highlight w:val="none"/>
        </w:rPr>
        <w:t>（以下称采购人）的委托，就采购人所需</w:t>
      </w:r>
      <w:r>
        <w:rPr>
          <w:rFonts w:hint="eastAsia" w:ascii="宋体" w:hAnsi="宋体" w:eastAsia="宋体" w:cs="宋体"/>
          <w:highlight w:val="none"/>
          <w:u w:val="single"/>
          <w:lang w:eastAsia="zh-CN"/>
        </w:rPr>
        <w:t>南通市崇川文化旅游发展有限公司2023-202</w:t>
      </w:r>
      <w:r>
        <w:rPr>
          <w:rFonts w:hint="eastAsia" w:ascii="宋体" w:hAnsi="宋体" w:eastAsia="宋体" w:cs="宋体"/>
          <w:highlight w:val="none"/>
          <w:u w:val="single"/>
          <w:lang w:val="en-US" w:eastAsia="zh-CN"/>
        </w:rPr>
        <w:t>5</w:t>
      </w:r>
      <w:r>
        <w:rPr>
          <w:rFonts w:hint="eastAsia" w:ascii="宋体" w:hAnsi="宋体" w:eastAsia="宋体" w:cs="宋体"/>
          <w:highlight w:val="none"/>
          <w:u w:val="single"/>
          <w:lang w:eastAsia="zh-CN"/>
        </w:rPr>
        <w:t>年度经营性物业处置服务机构项目（</w:t>
      </w:r>
      <w:r>
        <w:rPr>
          <w:rFonts w:hint="eastAsia" w:ascii="宋体" w:hAnsi="宋体" w:eastAsia="宋体" w:cs="宋体"/>
          <w:highlight w:val="none"/>
          <w:u w:val="single"/>
          <w:lang w:val="en-US" w:eastAsia="zh-CN"/>
        </w:rPr>
        <w:t>二次</w:t>
      </w:r>
      <w:r>
        <w:rPr>
          <w:rFonts w:hint="eastAsia" w:ascii="宋体" w:hAnsi="宋体" w:eastAsia="宋体" w:cs="宋体"/>
          <w:highlight w:val="none"/>
          <w:u w:val="single"/>
          <w:lang w:eastAsia="zh-CN"/>
        </w:rPr>
        <w:t>）</w:t>
      </w:r>
      <w:r>
        <w:rPr>
          <w:rFonts w:hint="eastAsia" w:ascii="宋体" w:hAnsi="宋体" w:eastAsia="宋体" w:cs="宋体"/>
          <w:highlight w:val="none"/>
        </w:rPr>
        <w:t>组织公开招标采购，诚邀符合资格条件的潜在供应商参加投标。</w:t>
      </w:r>
    </w:p>
    <w:p>
      <w:pPr>
        <w:snapToGrid w:val="0"/>
        <w:spacing w:line="360" w:lineRule="auto"/>
        <w:ind w:left="-2" w:leftChars="-1" w:firstLine="431"/>
        <w:outlineLvl w:val="1"/>
        <w:rPr>
          <w:rFonts w:ascii="宋体" w:hAnsi="宋体" w:eastAsia="宋体" w:cs="宋体"/>
          <w:highlight w:val="none"/>
        </w:rPr>
      </w:pPr>
      <w:r>
        <w:rPr>
          <w:rFonts w:hint="eastAsia" w:ascii="宋体" w:hAnsi="宋体" w:eastAsia="宋体" w:cs="宋体"/>
          <w:highlight w:val="none"/>
        </w:rPr>
        <w:t>一、项目基本情况：</w:t>
      </w:r>
    </w:p>
    <w:p>
      <w:pPr>
        <w:snapToGrid w:val="0"/>
        <w:spacing w:line="360" w:lineRule="auto"/>
        <w:ind w:left="-2" w:leftChars="-1" w:firstLine="431"/>
        <w:rPr>
          <w:rFonts w:ascii="宋体" w:hAnsi="宋体" w:eastAsia="宋体" w:cs="宋体"/>
          <w:highlight w:val="none"/>
        </w:rPr>
      </w:pPr>
      <w:bookmarkStart w:id="8" w:name="_Hlk75125590"/>
      <w:bookmarkEnd w:id="8"/>
      <w:r>
        <w:rPr>
          <w:rFonts w:hint="eastAsia" w:ascii="宋体" w:hAnsi="宋体" w:eastAsia="宋体" w:cs="宋体"/>
          <w:highlight w:val="none"/>
        </w:rPr>
        <w:t>1.项目名称：</w:t>
      </w:r>
      <w:r>
        <w:rPr>
          <w:rFonts w:hint="eastAsia" w:ascii="宋体" w:hAnsi="宋体" w:eastAsia="宋体" w:cs="宋体"/>
          <w:highlight w:val="none"/>
          <w:lang w:eastAsia="zh-CN"/>
        </w:rPr>
        <w:t>南通市崇川文化旅游发展有限公司2023-202</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年度经营性物业处置服务机构项目</w:t>
      </w:r>
      <w:r>
        <w:rPr>
          <w:rFonts w:hint="eastAsia" w:ascii="宋体" w:hAnsi="宋体" w:eastAsia="宋体" w:cs="宋体"/>
          <w:highlight w:val="none"/>
        </w:rPr>
        <w:t>；</w:t>
      </w:r>
    </w:p>
    <w:p>
      <w:pPr>
        <w:snapToGrid w:val="0"/>
        <w:spacing w:line="360" w:lineRule="auto"/>
        <w:ind w:left="-2" w:leftChars="-1" w:firstLine="431"/>
        <w:rPr>
          <w:rFonts w:ascii="宋体" w:hAnsi="宋体" w:eastAsia="宋体" w:cs="宋体"/>
          <w:highlight w:val="none"/>
        </w:rPr>
      </w:pPr>
      <w:r>
        <w:rPr>
          <w:rFonts w:hint="eastAsia" w:ascii="宋体" w:hAnsi="宋体" w:eastAsia="宋体" w:cs="宋体"/>
          <w:highlight w:val="none"/>
        </w:rPr>
        <w:t>2.采购方式：公开招标；</w:t>
      </w:r>
    </w:p>
    <w:p>
      <w:pPr>
        <w:snapToGrid w:val="0"/>
        <w:spacing w:line="360" w:lineRule="auto"/>
        <w:ind w:left="-2" w:leftChars="-1" w:firstLine="431"/>
        <w:rPr>
          <w:rFonts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.采购需求：</w:t>
      </w:r>
      <w:bookmarkStart w:id="9" w:name="_Hlk78736512"/>
      <w:bookmarkEnd w:id="9"/>
      <w:r>
        <w:rPr>
          <w:rFonts w:hint="eastAsia" w:ascii="宋体" w:hAnsi="宋体" w:eastAsia="宋体" w:cs="宋体"/>
          <w:highlight w:val="none"/>
          <w:lang w:eastAsia="zh-CN"/>
        </w:rPr>
        <w:t>南通市崇川文化旅游发展有限公司2023-202</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年度经营性物业处置服务机构项目</w:t>
      </w:r>
      <w:r>
        <w:rPr>
          <w:rFonts w:hint="eastAsia" w:ascii="宋体" w:hAnsi="宋体" w:eastAsia="宋体" w:cs="宋体"/>
          <w:highlight w:val="none"/>
        </w:rPr>
        <w:t>，具体详见本项目招标文件第三章；</w:t>
      </w:r>
    </w:p>
    <w:p>
      <w:pPr>
        <w:snapToGrid w:val="0"/>
        <w:spacing w:line="360" w:lineRule="auto"/>
        <w:ind w:left="-2" w:leftChars="-1" w:firstLine="431"/>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.服务期限：</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年；</w:t>
      </w:r>
    </w:p>
    <w:p>
      <w:pPr>
        <w:snapToGrid w:val="0"/>
        <w:spacing w:line="360" w:lineRule="auto"/>
        <w:ind w:left="-2" w:leftChars="-1" w:firstLine="431"/>
        <w:rPr>
          <w:rFonts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.联合体：</w:t>
      </w:r>
      <w:r>
        <w:rPr>
          <w:rFonts w:hint="eastAsia" w:ascii="宋体" w:hAnsi="宋体" w:eastAsia="宋体" w:cs="宋体"/>
          <w:b/>
          <w:bCs/>
          <w:highlight w:val="none"/>
        </w:rPr>
        <w:t>不接受</w:t>
      </w:r>
      <w:r>
        <w:rPr>
          <w:rFonts w:hint="eastAsia" w:ascii="宋体" w:hAnsi="宋体" w:eastAsia="宋体" w:cs="宋体"/>
          <w:highlight w:val="none"/>
        </w:rPr>
        <w:t>多个供应商组成联合体参与本项目的采购活动。</w:t>
      </w:r>
    </w:p>
    <w:p>
      <w:pPr>
        <w:snapToGrid w:val="0"/>
        <w:spacing w:line="360" w:lineRule="auto"/>
        <w:ind w:left="-2" w:leftChars="-1" w:firstLine="431"/>
        <w:outlineLvl w:val="1"/>
        <w:rPr>
          <w:rFonts w:ascii="宋体" w:hAnsi="宋体" w:eastAsia="宋体" w:cs="宋体"/>
          <w:highlight w:val="none"/>
        </w:rPr>
      </w:pPr>
      <w:r>
        <w:rPr>
          <w:rFonts w:hint="eastAsia" w:ascii="宋体" w:hAnsi="宋体" w:eastAsia="宋体" w:cs="宋体"/>
          <w:highlight w:val="none"/>
        </w:rPr>
        <w:t>二、供应商资格</w:t>
      </w:r>
    </w:p>
    <w:p>
      <w:pPr>
        <w:autoSpaceDE w:val="0"/>
        <w:autoSpaceDN w:val="0"/>
        <w:adjustRightInd w:val="0"/>
        <w:spacing w:line="360" w:lineRule="auto"/>
        <w:ind w:firstLine="429"/>
        <w:jc w:val="left"/>
        <w:rPr>
          <w:rFonts w:ascii="宋体" w:hAnsi="宋体" w:eastAsia="宋体" w:cs="宋体"/>
          <w:highlight w:val="none"/>
        </w:rPr>
      </w:pPr>
      <w:r>
        <w:rPr>
          <w:rFonts w:hint="eastAsia" w:ascii="宋体" w:hAnsi="宋体" w:eastAsia="宋体" w:cs="宋体"/>
          <w:highlight w:val="none"/>
        </w:rPr>
        <w:t>1.投标人须为在中华人民共和国境内注册，具有独立承担民事责任能力的主体；具有良好的商业信誉和健全的财务会计制度；具有履行合同所必需的设备和专业技术能力；有依法缴纳税收和社会保障资金的良好记录；参加采购活动前三年内，在经营活动中没有重大违法记录；</w:t>
      </w:r>
    </w:p>
    <w:p>
      <w:pPr>
        <w:autoSpaceDE w:val="0"/>
        <w:autoSpaceDN w:val="0"/>
        <w:adjustRightInd w:val="0"/>
        <w:spacing w:line="360" w:lineRule="auto"/>
        <w:ind w:firstLine="429"/>
        <w:jc w:val="left"/>
        <w:rPr>
          <w:rFonts w:ascii="宋体" w:hAnsi="宋体" w:eastAsia="宋体" w:cs="宋体"/>
          <w:highlight w:val="none"/>
        </w:rPr>
      </w:pPr>
      <w:r>
        <w:rPr>
          <w:rFonts w:hint="eastAsia" w:ascii="宋体" w:hAnsi="宋体" w:eastAsia="宋体" w:cs="宋体"/>
          <w:highlight w:val="none"/>
        </w:rPr>
        <w:t>2.未被“信用中国”网站（www.creditchina.gov.cn）、“中国政府采购网”（www.ccgp.gov.cn）列入失信被执行人、重大税收违法案件当事人名单、政府采购严重违法失信行为记录名单；</w:t>
      </w:r>
    </w:p>
    <w:p>
      <w:pPr>
        <w:autoSpaceDE w:val="0"/>
        <w:autoSpaceDN w:val="0"/>
        <w:adjustRightInd w:val="0"/>
        <w:spacing w:line="360" w:lineRule="auto"/>
        <w:ind w:firstLine="429"/>
        <w:jc w:val="left"/>
        <w:rPr>
          <w:rFonts w:hint="eastAsia" w:ascii="宋体" w:hAnsi="宋体" w:eastAsia="宋体" w:cs="宋体"/>
          <w:highlight w:val="none"/>
        </w:rPr>
      </w:pPr>
      <w:r>
        <w:rPr>
          <w:rFonts w:hint="eastAsia" w:ascii="宋体" w:hAnsi="宋体" w:eastAsia="宋体" w:cs="宋体"/>
          <w:highlight w:val="none"/>
        </w:rPr>
        <w:t>3.本项目的特定资格要求：</w:t>
      </w:r>
      <w:bookmarkStart w:id="10" w:name="_Hlk87401842"/>
    </w:p>
    <w:p>
      <w:pPr>
        <w:autoSpaceDE w:val="0"/>
        <w:autoSpaceDN w:val="0"/>
        <w:adjustRightInd w:val="0"/>
        <w:spacing w:line="360" w:lineRule="auto"/>
        <w:ind w:firstLine="429"/>
        <w:jc w:val="left"/>
        <w:rPr>
          <w:rFonts w:hint="eastAsia" w:ascii="宋体" w:hAnsi="宋体" w:eastAsia="宋体" w:cs="宋体"/>
          <w:color w:val="auto"/>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投标人具有有</w:t>
      </w:r>
      <w:r>
        <w:rPr>
          <w:rFonts w:hint="eastAsia" w:ascii="宋体" w:hAnsi="宋体" w:eastAsia="宋体" w:cs="宋体"/>
          <w:color w:val="auto"/>
          <w:highlight w:val="none"/>
        </w:rPr>
        <w:t>效的拍卖经营批准证书</w:t>
      </w:r>
      <w:r>
        <w:rPr>
          <w:rFonts w:hint="eastAsia" w:ascii="宋体" w:hAnsi="宋体" w:eastAsia="宋体" w:cs="宋体"/>
          <w:color w:val="auto"/>
          <w:highlight w:val="none"/>
          <w:lang w:eastAsia="zh-CN"/>
        </w:rPr>
        <w:t>；</w:t>
      </w:r>
    </w:p>
    <w:p>
      <w:pPr>
        <w:autoSpaceDE w:val="0"/>
        <w:autoSpaceDN w:val="0"/>
        <w:adjustRightInd w:val="0"/>
        <w:spacing w:line="360" w:lineRule="auto"/>
        <w:ind w:firstLine="429"/>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（2）2020年8月1日（以</w:t>
      </w:r>
      <w:r>
        <w:rPr>
          <w:rFonts w:hint="eastAsia" w:ascii="宋体" w:hAnsi="宋体" w:eastAsia="宋体" w:cs="宋体"/>
          <w:kern w:val="2"/>
          <w:sz w:val="24"/>
          <w:szCs w:val="24"/>
          <w:highlight w:val="none"/>
          <w:lang w:val="en-US" w:eastAsia="zh-CN" w:bidi="ar-SA"/>
        </w:rPr>
        <w:t>委托拍卖或拍租合同签订时间为准）以来，投标人有至少有过1次</w:t>
      </w:r>
      <w:r>
        <w:rPr>
          <w:rFonts w:hint="eastAsia" w:ascii="宋体" w:hAnsi="宋体" w:eastAsia="宋体" w:cs="宋体"/>
          <w:b w:val="0"/>
          <w:bCs w:val="0"/>
          <w:color w:val="auto"/>
          <w:kern w:val="2"/>
          <w:sz w:val="24"/>
          <w:szCs w:val="24"/>
          <w:highlight w:val="none"/>
          <w:lang w:val="en-US" w:eastAsia="zh-CN" w:bidi="ar-SA"/>
        </w:rPr>
        <w:t>南通市（区、县）国有资产拍卖（租）</w:t>
      </w:r>
      <w:r>
        <w:rPr>
          <w:rFonts w:hint="eastAsia" w:ascii="宋体" w:hAnsi="宋体" w:eastAsia="宋体" w:cs="宋体"/>
          <w:color w:val="auto"/>
          <w:kern w:val="2"/>
          <w:sz w:val="24"/>
          <w:szCs w:val="24"/>
          <w:highlight w:val="none"/>
          <w:lang w:val="en-US" w:eastAsia="zh-CN" w:bidi="ar-SA"/>
        </w:rPr>
        <w:t>成功</w:t>
      </w:r>
      <w:r>
        <w:rPr>
          <w:rFonts w:hint="eastAsia" w:ascii="宋体" w:hAnsi="宋体" w:eastAsia="宋体" w:cs="宋体"/>
          <w:kern w:val="2"/>
          <w:sz w:val="24"/>
          <w:szCs w:val="24"/>
          <w:highlight w:val="none"/>
          <w:lang w:val="en-US" w:eastAsia="zh-CN" w:bidi="ar-SA"/>
        </w:rPr>
        <w:t>服务案例的，提供有效的合同及相关证明材料复印件并加盖单位公章。</w:t>
      </w:r>
    </w:p>
    <w:bookmarkEnd w:id="10"/>
    <w:p>
      <w:pPr>
        <w:numPr>
          <w:ilvl w:val="0"/>
          <w:numId w:val="1"/>
        </w:numPr>
        <w:autoSpaceDE w:val="0"/>
        <w:autoSpaceDN w:val="0"/>
        <w:adjustRightInd w:val="0"/>
        <w:spacing w:line="360" w:lineRule="auto"/>
        <w:ind w:firstLine="429"/>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拟派项目负责人具有有效的拍卖师执业注册记录卡（注册在投标单位）。</w:t>
      </w:r>
    </w:p>
    <w:p>
      <w:pPr>
        <w:numPr>
          <w:ilvl w:val="0"/>
          <w:numId w:val="1"/>
        </w:numPr>
        <w:autoSpaceDE w:val="0"/>
        <w:autoSpaceDN w:val="0"/>
        <w:adjustRightInd w:val="0"/>
        <w:spacing w:line="360" w:lineRule="auto"/>
        <w:ind w:firstLine="429"/>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拟派项目负责人为投标单位正式人员【提供社保机构出具的由投标人为其缴纳的连续6个月</w:t>
      </w:r>
      <w:r>
        <w:rPr>
          <w:rFonts w:hint="eastAsia" w:ascii="宋体" w:hAnsi="宋体" w:eastAsia="宋体" w:cs="宋体"/>
          <w:color w:val="auto"/>
          <w:highlight w:val="none"/>
          <w:lang w:val="en-US" w:eastAsia="zh-CN"/>
        </w:rPr>
        <w:t>（2023年2月-2023年7月）</w:t>
      </w:r>
      <w:r>
        <w:rPr>
          <w:rFonts w:hint="eastAsia" w:ascii="宋体" w:hAnsi="宋体" w:eastAsia="宋体" w:cs="宋体"/>
          <w:highlight w:val="none"/>
          <w:lang w:val="en-US" w:eastAsia="zh-CN"/>
        </w:rPr>
        <w:t>社保缴费记录】。</w:t>
      </w:r>
    </w:p>
    <w:p>
      <w:pPr>
        <w:autoSpaceDE w:val="0"/>
        <w:autoSpaceDN w:val="0"/>
        <w:adjustRightInd w:val="0"/>
        <w:spacing w:line="360" w:lineRule="auto"/>
        <w:ind w:firstLine="429"/>
        <w:jc w:val="left"/>
        <w:rPr>
          <w:rFonts w:ascii="宋体" w:hAnsi="宋体" w:eastAsia="宋体" w:cs="宋体"/>
          <w:highlight w:val="none"/>
        </w:rPr>
      </w:pPr>
      <w:r>
        <w:rPr>
          <w:rFonts w:hint="eastAsia" w:ascii="宋体" w:hAnsi="宋体" w:eastAsia="宋体" w:cs="宋体"/>
          <w:highlight w:val="none"/>
        </w:rPr>
        <w:t>三、招标文件的获取</w:t>
      </w:r>
    </w:p>
    <w:p>
      <w:pPr>
        <w:autoSpaceDE w:val="0"/>
        <w:autoSpaceDN w:val="0"/>
        <w:adjustRightInd w:val="0"/>
        <w:spacing w:line="360" w:lineRule="auto"/>
        <w:ind w:firstLine="429"/>
        <w:jc w:val="left"/>
        <w:rPr>
          <w:rFonts w:ascii="宋体" w:hAnsi="宋体" w:eastAsia="宋体" w:cs="宋体"/>
          <w:highlight w:val="none"/>
        </w:rPr>
      </w:pPr>
      <w:r>
        <w:rPr>
          <w:rFonts w:hint="eastAsia" w:ascii="宋体" w:hAnsi="宋体" w:eastAsia="宋体" w:cs="宋体"/>
          <w:highlight w:val="none"/>
        </w:rPr>
        <w:t>有意愿参与本项目投标的供应商，请于本公告日起至开标截止时间前，到“南通市崇川区人民政府网 (www.chongchuan.gov.cn)→我要看→公示公告”栏内下载本项目的招标文件。</w:t>
      </w:r>
    </w:p>
    <w:p>
      <w:pPr>
        <w:autoSpaceDE w:val="0"/>
        <w:autoSpaceDN w:val="0"/>
        <w:adjustRightInd w:val="0"/>
        <w:spacing w:line="360" w:lineRule="auto"/>
        <w:ind w:firstLine="429"/>
        <w:jc w:val="left"/>
        <w:rPr>
          <w:rFonts w:ascii="宋体" w:hAnsi="宋体" w:eastAsia="宋体" w:cs="宋体"/>
          <w:highlight w:val="none"/>
        </w:rPr>
      </w:pPr>
      <w:bookmarkStart w:id="11" w:name="_Hlk75130176"/>
      <w:bookmarkEnd w:id="11"/>
      <w:r>
        <w:rPr>
          <w:rFonts w:hint="eastAsia" w:ascii="宋体" w:hAnsi="宋体" w:eastAsia="宋体" w:cs="宋体"/>
          <w:highlight w:val="none"/>
        </w:rPr>
        <w:t>四、提交投标文件截止时间、开标时间和地点</w:t>
      </w:r>
    </w:p>
    <w:p>
      <w:pPr>
        <w:autoSpaceDE w:val="0"/>
        <w:autoSpaceDN w:val="0"/>
        <w:adjustRightInd w:val="0"/>
        <w:spacing w:line="360" w:lineRule="auto"/>
        <w:ind w:firstLine="429"/>
        <w:rPr>
          <w:rFonts w:ascii="宋体" w:hAnsi="宋体" w:eastAsia="宋体" w:cs="宋体"/>
          <w:kern w:val="0"/>
          <w:highlight w:val="none"/>
        </w:rPr>
      </w:pPr>
      <w:r>
        <w:rPr>
          <w:rFonts w:hint="eastAsia" w:ascii="宋体" w:hAnsi="宋体" w:eastAsia="宋体" w:cs="宋体"/>
          <w:kern w:val="0"/>
          <w:highlight w:val="none"/>
        </w:rPr>
        <w:t>1.投标文件的提交</w:t>
      </w:r>
    </w:p>
    <w:p>
      <w:pPr>
        <w:autoSpaceDE w:val="0"/>
        <w:autoSpaceDN w:val="0"/>
        <w:adjustRightInd w:val="0"/>
        <w:spacing w:line="360" w:lineRule="auto"/>
        <w:ind w:firstLine="429"/>
        <w:rPr>
          <w:rFonts w:ascii="宋体" w:hAnsi="宋体" w:eastAsia="宋体" w:cs="宋体"/>
          <w:kern w:val="0"/>
          <w:highlight w:val="none"/>
        </w:rPr>
      </w:pPr>
      <w:r>
        <w:rPr>
          <w:rFonts w:hint="eastAsia" w:ascii="宋体" w:hAnsi="宋体" w:eastAsia="宋体" w:cs="宋体"/>
          <w:kern w:val="0"/>
          <w:highlight w:val="none"/>
        </w:rPr>
        <w:t>（1）接收人：采购代理机构。</w:t>
      </w:r>
    </w:p>
    <w:p>
      <w:pPr>
        <w:autoSpaceDE w:val="0"/>
        <w:autoSpaceDN w:val="0"/>
        <w:adjustRightInd w:val="0"/>
        <w:spacing w:line="360" w:lineRule="auto"/>
        <w:ind w:firstLine="429"/>
        <w:rPr>
          <w:rFonts w:ascii="宋体" w:hAnsi="宋体" w:eastAsia="宋体" w:cs="宋体"/>
          <w:kern w:val="0"/>
          <w:highlight w:val="none"/>
        </w:rPr>
      </w:pPr>
      <w:r>
        <w:rPr>
          <w:rFonts w:hint="eastAsia" w:ascii="宋体" w:hAnsi="宋体" w:eastAsia="宋体" w:cs="宋体"/>
          <w:kern w:val="0"/>
          <w:highlight w:val="none"/>
        </w:rPr>
        <w:t>（2）接收</w:t>
      </w:r>
      <w:r>
        <w:rPr>
          <w:rFonts w:hint="eastAsia" w:ascii="宋体" w:hAnsi="宋体" w:eastAsia="宋体" w:cs="宋体"/>
          <w:bCs/>
          <w:kern w:val="0"/>
          <w:highlight w:val="none"/>
        </w:rPr>
        <w:t>截止时间：</w:t>
      </w:r>
      <w:r>
        <w:rPr>
          <w:rFonts w:hint="eastAsia" w:ascii="宋体" w:hAnsi="宋体" w:eastAsia="宋体" w:cs="宋体"/>
          <w:b/>
          <w:color w:val="0000FF"/>
          <w:kern w:val="0"/>
          <w:highlight w:val="none"/>
          <w:u w:val="thick" w:color="FF0000"/>
        </w:rPr>
        <w:t>2023年</w:t>
      </w:r>
      <w:r>
        <w:rPr>
          <w:rFonts w:hint="eastAsia" w:ascii="宋体" w:hAnsi="宋体" w:eastAsia="宋体" w:cs="宋体"/>
          <w:b/>
          <w:color w:val="0000FF"/>
          <w:kern w:val="0"/>
          <w:highlight w:val="none"/>
          <w:u w:val="thick" w:color="FF0000"/>
          <w:lang w:val="en-US" w:eastAsia="zh-CN"/>
        </w:rPr>
        <w:t>9</w:t>
      </w:r>
      <w:r>
        <w:rPr>
          <w:rFonts w:hint="eastAsia" w:ascii="宋体" w:hAnsi="宋体" w:eastAsia="宋体" w:cs="宋体"/>
          <w:b/>
          <w:color w:val="0000FF"/>
          <w:kern w:val="0"/>
          <w:highlight w:val="none"/>
          <w:u w:val="thick" w:color="FF0000"/>
        </w:rPr>
        <w:t>月</w:t>
      </w:r>
      <w:r>
        <w:rPr>
          <w:rFonts w:hint="eastAsia" w:ascii="宋体" w:hAnsi="宋体" w:eastAsia="宋体" w:cs="宋体"/>
          <w:b/>
          <w:color w:val="0000FF"/>
          <w:kern w:val="0"/>
          <w:highlight w:val="none"/>
          <w:u w:val="thick" w:color="FF0000"/>
          <w:lang w:val="en-US" w:eastAsia="zh-CN"/>
        </w:rPr>
        <w:t>12</w:t>
      </w:r>
      <w:r>
        <w:rPr>
          <w:rFonts w:hint="eastAsia" w:ascii="宋体" w:hAnsi="宋体" w:eastAsia="宋体" w:cs="宋体"/>
          <w:b/>
          <w:color w:val="0000FF"/>
          <w:kern w:val="0"/>
          <w:highlight w:val="none"/>
          <w:u w:val="thick" w:color="FF0000"/>
        </w:rPr>
        <w:t>日</w:t>
      </w:r>
      <w:r>
        <w:rPr>
          <w:rFonts w:hint="eastAsia" w:ascii="宋体" w:hAnsi="宋体" w:eastAsia="宋体" w:cs="宋体"/>
          <w:b/>
          <w:color w:val="0000FF"/>
          <w:kern w:val="0"/>
          <w:highlight w:val="none"/>
          <w:u w:val="thick" w:color="FF0000"/>
          <w:lang w:val="en-US" w:eastAsia="zh-CN"/>
        </w:rPr>
        <w:t>9</w:t>
      </w:r>
      <w:r>
        <w:rPr>
          <w:rFonts w:hint="eastAsia" w:ascii="宋体" w:hAnsi="宋体" w:eastAsia="宋体" w:cs="宋体"/>
          <w:b/>
          <w:color w:val="0000FF"/>
          <w:kern w:val="0"/>
          <w:highlight w:val="none"/>
          <w:u w:val="thick" w:color="FF0000"/>
        </w:rPr>
        <w:t>时</w:t>
      </w:r>
      <w:r>
        <w:rPr>
          <w:rFonts w:hint="eastAsia" w:ascii="宋体" w:hAnsi="宋体" w:eastAsia="宋体" w:cs="宋体"/>
          <w:b/>
          <w:color w:val="0000FF"/>
          <w:kern w:val="0"/>
          <w:highlight w:val="none"/>
          <w:u w:val="thick" w:color="FF0000"/>
          <w:lang w:val="en-US" w:eastAsia="zh-CN"/>
        </w:rPr>
        <w:t>30</w:t>
      </w:r>
      <w:r>
        <w:rPr>
          <w:rFonts w:hint="eastAsia" w:ascii="宋体" w:hAnsi="宋体" w:eastAsia="宋体" w:cs="宋体"/>
          <w:b/>
          <w:color w:val="0000FF"/>
          <w:kern w:val="0"/>
          <w:highlight w:val="none"/>
          <w:u w:val="thick" w:color="FF0000"/>
        </w:rPr>
        <w:t>分</w:t>
      </w:r>
      <w:r>
        <w:rPr>
          <w:rFonts w:hint="eastAsia" w:ascii="宋体" w:hAnsi="宋体" w:eastAsia="宋体" w:cs="宋体"/>
          <w:color w:val="0000FF"/>
          <w:kern w:val="0"/>
          <w:highlight w:val="none"/>
        </w:rPr>
        <w:t>。</w:t>
      </w:r>
    </w:p>
    <w:p>
      <w:pPr>
        <w:autoSpaceDE w:val="0"/>
        <w:autoSpaceDN w:val="0"/>
        <w:adjustRightInd w:val="0"/>
        <w:spacing w:line="360" w:lineRule="auto"/>
        <w:ind w:firstLine="429"/>
        <w:rPr>
          <w:rFonts w:ascii="宋体" w:hAnsi="宋体" w:eastAsia="宋体" w:cs="宋体"/>
          <w:color w:val="auto"/>
          <w:kern w:val="0"/>
          <w:highlight w:val="none"/>
        </w:rPr>
      </w:pPr>
      <w:r>
        <w:rPr>
          <w:rFonts w:hint="eastAsia" w:ascii="宋体" w:hAnsi="宋体" w:eastAsia="宋体" w:cs="宋体"/>
          <w:color w:val="auto"/>
          <w:kern w:val="0"/>
          <w:highlight w:val="none"/>
        </w:rPr>
        <w:t>（3）接收地址：</w:t>
      </w:r>
      <w:r>
        <w:rPr>
          <w:rFonts w:hint="eastAsia" w:ascii="宋体" w:hAnsi="宋体" w:eastAsia="宋体" w:cs="宋体"/>
          <w:color w:val="auto"/>
          <w:kern w:val="0"/>
          <w:highlight w:val="none"/>
          <w:u w:val="single"/>
        </w:rPr>
        <w:t>南通市崇川区濠东路15号（文旅公司）四楼会议室</w:t>
      </w:r>
      <w:r>
        <w:rPr>
          <w:rFonts w:hint="eastAsia" w:ascii="宋体" w:hAnsi="宋体" w:eastAsia="宋体" w:cs="宋体"/>
          <w:color w:val="auto"/>
          <w:kern w:val="0"/>
          <w:highlight w:val="none"/>
        </w:rPr>
        <w:t>，如有变动另行通知。</w:t>
      </w:r>
    </w:p>
    <w:p>
      <w:pPr>
        <w:snapToGrid w:val="0"/>
        <w:spacing w:line="360" w:lineRule="auto"/>
        <w:ind w:firstLine="494" w:firstLineChars="206"/>
        <w:rPr>
          <w:rFonts w:ascii="宋体" w:hAnsi="宋体" w:eastAsia="宋体" w:cs="宋体"/>
          <w:highlight w:val="none"/>
        </w:rPr>
      </w:pPr>
      <w:bookmarkStart w:id="12" w:name="_Hlk65148204"/>
      <w:bookmarkEnd w:id="12"/>
      <w:bookmarkStart w:id="13" w:name="_Hlk79625161"/>
      <w:bookmarkEnd w:id="13"/>
      <w:r>
        <w:rPr>
          <w:rFonts w:hint="eastAsia" w:ascii="宋体" w:hAnsi="宋体" w:eastAsia="宋体" w:cs="宋体"/>
          <w:highlight w:val="none"/>
        </w:rPr>
        <w:t>2.开标时间：</w:t>
      </w:r>
      <w:r>
        <w:rPr>
          <w:rFonts w:hint="eastAsia" w:ascii="宋体" w:hAnsi="宋体" w:eastAsia="宋体" w:cs="宋体"/>
          <w:b/>
          <w:color w:val="0000FF"/>
          <w:kern w:val="0"/>
          <w:highlight w:val="none"/>
          <w:u w:val="thick" w:color="FF0000"/>
        </w:rPr>
        <w:t>2023年</w:t>
      </w:r>
      <w:r>
        <w:rPr>
          <w:rFonts w:hint="eastAsia" w:ascii="宋体" w:hAnsi="宋体" w:eastAsia="宋体" w:cs="宋体"/>
          <w:b/>
          <w:color w:val="0000FF"/>
          <w:kern w:val="0"/>
          <w:highlight w:val="none"/>
          <w:u w:val="thick" w:color="FF0000"/>
          <w:lang w:val="en-US" w:eastAsia="zh-CN"/>
        </w:rPr>
        <w:t>9</w:t>
      </w:r>
      <w:r>
        <w:rPr>
          <w:rFonts w:hint="eastAsia" w:ascii="宋体" w:hAnsi="宋体" w:eastAsia="宋体" w:cs="宋体"/>
          <w:b/>
          <w:color w:val="0000FF"/>
          <w:kern w:val="0"/>
          <w:highlight w:val="none"/>
          <w:u w:val="thick" w:color="FF0000"/>
        </w:rPr>
        <w:t>月</w:t>
      </w:r>
      <w:r>
        <w:rPr>
          <w:rFonts w:hint="eastAsia" w:ascii="宋体" w:hAnsi="宋体" w:eastAsia="宋体" w:cs="宋体"/>
          <w:b/>
          <w:color w:val="0000FF"/>
          <w:kern w:val="0"/>
          <w:highlight w:val="none"/>
          <w:u w:val="thick" w:color="FF0000"/>
          <w:lang w:val="en-US" w:eastAsia="zh-CN"/>
        </w:rPr>
        <w:t>12</w:t>
      </w:r>
      <w:r>
        <w:rPr>
          <w:rFonts w:hint="eastAsia" w:ascii="宋体" w:hAnsi="宋体" w:eastAsia="宋体" w:cs="宋体"/>
          <w:b/>
          <w:color w:val="0000FF"/>
          <w:kern w:val="0"/>
          <w:highlight w:val="none"/>
          <w:u w:val="thick" w:color="FF0000"/>
        </w:rPr>
        <w:t>日</w:t>
      </w:r>
      <w:r>
        <w:rPr>
          <w:rFonts w:hint="eastAsia" w:ascii="宋体" w:hAnsi="宋体" w:eastAsia="宋体" w:cs="宋体"/>
          <w:b/>
          <w:color w:val="0000FF"/>
          <w:kern w:val="0"/>
          <w:highlight w:val="none"/>
          <w:u w:val="thick" w:color="FF0000"/>
          <w:lang w:val="en-US" w:eastAsia="zh-CN"/>
        </w:rPr>
        <w:t>9</w:t>
      </w:r>
      <w:bookmarkStart w:id="36" w:name="_GoBack"/>
      <w:bookmarkEnd w:id="36"/>
      <w:r>
        <w:rPr>
          <w:rFonts w:hint="eastAsia" w:ascii="宋体" w:hAnsi="宋体" w:eastAsia="宋体" w:cs="宋体"/>
          <w:b/>
          <w:color w:val="0000FF"/>
          <w:kern w:val="0"/>
          <w:highlight w:val="none"/>
          <w:u w:val="thick" w:color="FF0000"/>
        </w:rPr>
        <w:t>时</w:t>
      </w:r>
      <w:r>
        <w:rPr>
          <w:rFonts w:hint="eastAsia" w:ascii="宋体" w:hAnsi="宋体" w:eastAsia="宋体" w:cs="宋体"/>
          <w:b/>
          <w:color w:val="0000FF"/>
          <w:kern w:val="0"/>
          <w:highlight w:val="none"/>
          <w:u w:val="thick" w:color="FF0000"/>
          <w:lang w:val="en-US" w:eastAsia="zh-CN"/>
        </w:rPr>
        <w:t>30</w:t>
      </w:r>
      <w:r>
        <w:rPr>
          <w:rFonts w:hint="eastAsia" w:ascii="宋体" w:hAnsi="宋体" w:eastAsia="宋体" w:cs="宋体"/>
          <w:b/>
          <w:color w:val="0000FF"/>
          <w:kern w:val="0"/>
          <w:highlight w:val="none"/>
          <w:u w:val="thick" w:color="FF0000"/>
        </w:rPr>
        <w:t>分</w:t>
      </w:r>
      <w:r>
        <w:rPr>
          <w:rFonts w:hint="eastAsia" w:ascii="宋体" w:hAnsi="宋体" w:eastAsia="宋体" w:cs="宋体"/>
          <w:color w:val="0000FF"/>
          <w:highlight w:val="none"/>
        </w:rPr>
        <w:t>。</w:t>
      </w:r>
    </w:p>
    <w:p>
      <w:pPr>
        <w:snapToGrid w:val="0"/>
        <w:spacing w:line="360" w:lineRule="auto"/>
        <w:ind w:firstLine="494" w:firstLineChars="206"/>
        <w:rPr>
          <w:rFonts w:ascii="宋体" w:hAnsi="宋体" w:eastAsia="宋体" w:cs="宋体"/>
          <w:color w:val="auto"/>
          <w:highlight w:val="none"/>
        </w:rPr>
      </w:pPr>
      <w:r>
        <w:rPr>
          <w:rFonts w:hint="eastAsia" w:ascii="宋体" w:hAnsi="宋体" w:eastAsia="宋体" w:cs="宋体"/>
          <w:color w:val="auto"/>
          <w:highlight w:val="none"/>
        </w:rPr>
        <w:t>3.开标地点：</w:t>
      </w:r>
      <w:r>
        <w:rPr>
          <w:rFonts w:hint="eastAsia" w:ascii="宋体" w:hAnsi="宋体" w:eastAsia="宋体" w:cs="宋体"/>
          <w:color w:val="auto"/>
          <w:highlight w:val="none"/>
          <w:u w:val="single"/>
        </w:rPr>
        <w:t>南通市崇川区濠东路15号（文旅公司）四楼会议室</w:t>
      </w:r>
      <w:r>
        <w:rPr>
          <w:rFonts w:hint="eastAsia" w:ascii="宋体" w:hAnsi="宋体" w:eastAsia="宋体" w:cs="宋体"/>
          <w:color w:val="auto"/>
          <w:highlight w:val="none"/>
        </w:rPr>
        <w:t>，如有变动另行通知。</w:t>
      </w:r>
    </w:p>
    <w:p>
      <w:pPr>
        <w:snapToGrid w:val="0"/>
        <w:spacing w:line="360" w:lineRule="auto"/>
        <w:ind w:firstLine="431"/>
        <w:outlineLvl w:val="1"/>
        <w:rPr>
          <w:rFonts w:ascii="宋体" w:hAnsi="宋体" w:eastAsia="宋体" w:cs="宋体"/>
          <w:kern w:val="0"/>
          <w:highlight w:val="none"/>
        </w:rPr>
      </w:pPr>
      <w:r>
        <w:rPr>
          <w:rFonts w:hint="eastAsia" w:ascii="宋体" w:hAnsi="宋体" w:eastAsia="宋体" w:cs="宋体"/>
          <w:highlight w:val="none"/>
        </w:rPr>
        <w:t>五、公告期限</w:t>
      </w:r>
    </w:p>
    <w:p>
      <w:pPr>
        <w:snapToGrid w:val="0"/>
        <w:spacing w:line="360" w:lineRule="auto"/>
        <w:ind w:firstLine="494" w:firstLineChars="206"/>
        <w:rPr>
          <w:rFonts w:ascii="宋体" w:hAnsi="宋体" w:eastAsia="宋体" w:cs="宋体"/>
          <w:highlight w:val="none"/>
        </w:rPr>
      </w:pPr>
      <w:r>
        <w:rPr>
          <w:rFonts w:hint="eastAsia" w:ascii="宋体" w:hAnsi="宋体" w:eastAsia="宋体" w:cs="宋体"/>
          <w:kern w:val="0"/>
          <w:highlight w:val="none"/>
        </w:rPr>
        <w:t>自本公告发布之日起5个工作日。</w:t>
      </w:r>
      <w:bookmarkStart w:id="14" w:name="_Toc363573854"/>
      <w:bookmarkEnd w:id="14"/>
    </w:p>
    <w:p>
      <w:pPr>
        <w:snapToGrid w:val="0"/>
        <w:spacing w:line="360" w:lineRule="auto"/>
        <w:ind w:firstLine="431"/>
        <w:outlineLvl w:val="1"/>
        <w:rPr>
          <w:rFonts w:ascii="宋体" w:hAnsi="宋体" w:eastAsia="宋体" w:cs="宋体"/>
          <w:highlight w:val="none"/>
        </w:rPr>
      </w:pPr>
      <w:r>
        <w:rPr>
          <w:rFonts w:hint="eastAsia" w:ascii="宋体" w:hAnsi="宋体" w:eastAsia="宋体" w:cs="宋体"/>
          <w:highlight w:val="none"/>
        </w:rPr>
        <w:t>六、投标保证金</w:t>
      </w:r>
    </w:p>
    <w:p>
      <w:pPr>
        <w:snapToGrid w:val="0"/>
        <w:spacing w:line="360" w:lineRule="auto"/>
        <w:ind w:firstLine="431"/>
        <w:outlineLvl w:val="1"/>
        <w:rPr>
          <w:rFonts w:ascii="宋体" w:hAnsi="宋体" w:eastAsia="宋体" w:cs="宋体"/>
          <w:highlight w:val="none"/>
        </w:rPr>
      </w:pPr>
      <w:r>
        <w:rPr>
          <w:rFonts w:hint="eastAsia" w:ascii="宋体" w:hAnsi="宋体" w:eastAsia="宋体" w:cs="宋体"/>
          <w:highlight w:val="none"/>
        </w:rPr>
        <w:t>投标保证金金额：人民币</w:t>
      </w:r>
      <w:r>
        <w:rPr>
          <w:rFonts w:hint="eastAsia" w:ascii="宋体" w:hAnsi="宋体" w:eastAsia="宋体" w:cs="宋体"/>
          <w:highlight w:val="none"/>
          <w:u w:val="single"/>
          <w:lang w:val="en-US" w:eastAsia="zh-CN"/>
        </w:rPr>
        <w:t>3000</w:t>
      </w:r>
      <w:r>
        <w:rPr>
          <w:rFonts w:hint="eastAsia" w:ascii="宋体" w:hAnsi="宋体" w:eastAsia="宋体" w:cs="宋体"/>
          <w:highlight w:val="none"/>
        </w:rPr>
        <w:t>元（现金，密封在信封或档案袋内，并在封袋上注明单位名称，在开标时和投标文件同时递交，请勿和投标文件</w:t>
      </w:r>
      <w:r>
        <w:rPr>
          <w:rFonts w:hint="eastAsia" w:ascii="宋体" w:hAnsi="宋体" w:eastAsia="宋体" w:cs="宋体"/>
          <w:highlight w:val="none"/>
          <w:lang w:val="en-US" w:eastAsia="zh-CN"/>
        </w:rPr>
        <w:t>合并</w:t>
      </w:r>
      <w:r>
        <w:rPr>
          <w:rFonts w:hint="eastAsia" w:ascii="宋体" w:hAnsi="宋体" w:eastAsia="宋体" w:cs="宋体"/>
          <w:highlight w:val="none"/>
        </w:rPr>
        <w:t>密封）</w:t>
      </w:r>
    </w:p>
    <w:p>
      <w:pPr>
        <w:snapToGrid w:val="0"/>
        <w:spacing w:line="360" w:lineRule="auto"/>
        <w:ind w:firstLine="431"/>
        <w:outlineLvl w:val="1"/>
        <w:rPr>
          <w:rFonts w:ascii="宋体" w:hAnsi="宋体" w:eastAsia="宋体" w:cs="宋体"/>
          <w:highlight w:val="none"/>
        </w:rPr>
      </w:pPr>
      <w:r>
        <w:rPr>
          <w:rFonts w:hint="eastAsia" w:ascii="宋体" w:hAnsi="宋体" w:eastAsia="宋体" w:cs="宋体"/>
          <w:highlight w:val="none"/>
        </w:rPr>
        <w:t>七、对本次招标提出询问，请按以下方式联系</w:t>
      </w:r>
    </w:p>
    <w:p>
      <w:pPr>
        <w:snapToGrid w:val="0"/>
        <w:spacing w:line="360" w:lineRule="auto"/>
        <w:ind w:firstLine="431"/>
        <w:rPr>
          <w:rFonts w:ascii="宋体" w:hAnsi="宋体" w:eastAsia="宋体" w:cs="宋体"/>
          <w:highlight w:val="none"/>
        </w:rPr>
      </w:pPr>
      <w:r>
        <w:rPr>
          <w:rFonts w:hint="eastAsia" w:ascii="宋体" w:hAnsi="宋体" w:eastAsia="宋体" w:cs="宋体"/>
          <w:highlight w:val="none"/>
        </w:rPr>
        <w:t>1.采购人信息</w:t>
      </w:r>
    </w:p>
    <w:p>
      <w:pPr>
        <w:snapToGrid w:val="0"/>
        <w:spacing w:line="360" w:lineRule="auto"/>
        <w:ind w:firstLine="431"/>
        <w:rPr>
          <w:rFonts w:ascii="宋体" w:hAnsi="宋体" w:eastAsia="宋体" w:cs="宋体"/>
          <w:highlight w:val="none"/>
        </w:rPr>
      </w:pPr>
      <w:r>
        <w:rPr>
          <w:rFonts w:hint="eastAsia" w:ascii="宋体" w:hAnsi="宋体" w:eastAsia="宋体" w:cs="宋体"/>
          <w:highlight w:val="none"/>
        </w:rPr>
        <w:t>名称：南通市崇川文化旅游发展有限公司；</w:t>
      </w:r>
    </w:p>
    <w:p>
      <w:pPr>
        <w:snapToGrid w:val="0"/>
        <w:spacing w:line="360" w:lineRule="auto"/>
        <w:ind w:firstLine="431"/>
        <w:rPr>
          <w:rFonts w:ascii="宋体" w:hAnsi="宋体" w:eastAsia="宋体" w:cs="宋体"/>
          <w:highlight w:val="none"/>
        </w:rPr>
      </w:pPr>
      <w:r>
        <w:rPr>
          <w:rFonts w:hint="eastAsia" w:ascii="宋体" w:hAnsi="宋体" w:eastAsia="宋体" w:cs="宋体"/>
          <w:highlight w:val="none"/>
        </w:rPr>
        <w:t>联系人：冯先生；</w:t>
      </w:r>
    </w:p>
    <w:p>
      <w:pPr>
        <w:snapToGrid w:val="0"/>
        <w:spacing w:line="360" w:lineRule="auto"/>
        <w:ind w:left="-2" w:leftChars="-1" w:firstLine="431"/>
        <w:rPr>
          <w:rFonts w:ascii="宋体" w:hAnsi="宋体" w:eastAsia="宋体" w:cs="宋体"/>
          <w:highlight w:val="none"/>
        </w:rPr>
      </w:pPr>
      <w:r>
        <w:rPr>
          <w:rFonts w:hint="eastAsia" w:ascii="宋体" w:hAnsi="宋体" w:eastAsia="宋体" w:cs="宋体"/>
          <w:highlight w:val="none"/>
        </w:rPr>
        <w:t>联系电话：</w:t>
      </w:r>
      <w:r>
        <w:rPr>
          <w:rFonts w:hint="eastAsia" w:ascii="宋体" w:hAnsi="宋体" w:eastAsia="宋体" w:cs="宋体"/>
          <w:highlight w:val="none"/>
          <w:lang w:val="en-US" w:eastAsia="zh-CN"/>
        </w:rPr>
        <w:t>15358647888</w:t>
      </w:r>
      <w:r>
        <w:rPr>
          <w:rFonts w:hint="eastAsia" w:ascii="宋体" w:hAnsi="宋体" w:eastAsia="宋体" w:cs="宋体"/>
          <w:highlight w:val="none"/>
        </w:rPr>
        <w:t>。</w:t>
      </w:r>
    </w:p>
    <w:p>
      <w:pPr>
        <w:snapToGrid w:val="0"/>
        <w:spacing w:line="360" w:lineRule="auto"/>
        <w:ind w:left="-2" w:leftChars="-1" w:firstLine="431"/>
        <w:rPr>
          <w:rFonts w:ascii="宋体" w:hAnsi="宋体" w:eastAsia="宋体" w:cs="宋体"/>
          <w:highlight w:val="none"/>
        </w:rPr>
      </w:pPr>
      <w:r>
        <w:rPr>
          <w:rFonts w:hint="eastAsia" w:ascii="宋体" w:hAnsi="宋体" w:eastAsia="宋体" w:cs="宋体"/>
          <w:highlight w:val="none"/>
        </w:rPr>
        <w:t>2.采购代理机构信息：</w:t>
      </w:r>
    </w:p>
    <w:bookmarkEnd w:id="7"/>
    <w:p>
      <w:pPr>
        <w:snapToGrid w:val="0"/>
        <w:spacing w:line="360" w:lineRule="auto"/>
        <w:ind w:left="-2" w:leftChars="-1" w:firstLine="431"/>
        <w:rPr>
          <w:rFonts w:ascii="宋体" w:hAnsi="宋体" w:eastAsia="宋体" w:cs="宋体"/>
          <w:highlight w:val="none"/>
        </w:rPr>
      </w:pPr>
      <w:r>
        <w:rPr>
          <w:rFonts w:hint="eastAsia" w:ascii="宋体" w:hAnsi="宋体" w:eastAsia="宋体" w:cs="宋体"/>
          <w:highlight w:val="none"/>
        </w:rPr>
        <w:t>名称：江苏海审工程咨询有限公司；</w:t>
      </w:r>
    </w:p>
    <w:p>
      <w:pPr>
        <w:snapToGrid w:val="0"/>
        <w:spacing w:line="360" w:lineRule="auto"/>
        <w:ind w:left="-2" w:leftChars="-1" w:firstLine="431"/>
        <w:rPr>
          <w:rFonts w:ascii="宋体" w:hAnsi="宋体" w:eastAsia="宋体" w:cs="宋体"/>
          <w:highlight w:val="none"/>
        </w:rPr>
      </w:pPr>
      <w:r>
        <w:rPr>
          <w:rFonts w:hint="eastAsia" w:ascii="宋体" w:hAnsi="宋体" w:eastAsia="宋体" w:cs="宋体"/>
          <w:highlight w:val="none"/>
        </w:rPr>
        <w:t>联系人：</w:t>
      </w:r>
      <w:r>
        <w:rPr>
          <w:rFonts w:hint="eastAsia" w:ascii="宋体" w:hAnsi="宋体" w:eastAsia="宋体" w:cs="宋体"/>
          <w:highlight w:val="none"/>
          <w:lang w:val="en-US" w:eastAsia="zh-CN"/>
        </w:rPr>
        <w:t>张倩</w:t>
      </w:r>
      <w:r>
        <w:rPr>
          <w:rFonts w:hint="eastAsia" w:ascii="宋体" w:hAnsi="宋体" w:eastAsia="宋体" w:cs="宋体"/>
          <w:highlight w:val="none"/>
        </w:rPr>
        <w:t>；</w:t>
      </w:r>
    </w:p>
    <w:p>
      <w:pPr>
        <w:snapToGrid w:val="0"/>
        <w:spacing w:line="360" w:lineRule="auto"/>
        <w:ind w:left="-2" w:leftChars="-1" w:firstLine="431"/>
        <w:rPr>
          <w:rFonts w:ascii="宋体" w:hAnsi="宋体" w:eastAsia="宋体" w:cs="宋体"/>
          <w:highlight w:val="none"/>
        </w:rPr>
      </w:pPr>
      <w:r>
        <w:rPr>
          <w:rFonts w:hint="eastAsia" w:ascii="宋体" w:hAnsi="宋体" w:eastAsia="宋体" w:cs="宋体"/>
          <w:highlight w:val="none"/>
        </w:rPr>
        <w:t>联系电话：</w:t>
      </w:r>
      <w:r>
        <w:rPr>
          <w:rFonts w:hint="eastAsia" w:ascii="宋体" w:hAnsi="宋体" w:eastAsia="宋体" w:cs="宋体"/>
          <w:highlight w:val="none"/>
          <w:lang w:val="en-US" w:eastAsia="zh-CN"/>
        </w:rPr>
        <w:t>18205155828</w:t>
      </w:r>
      <w:r>
        <w:rPr>
          <w:rFonts w:hint="eastAsia" w:ascii="宋体" w:hAnsi="宋体" w:eastAsia="宋体" w:cs="宋体"/>
          <w:highlight w:val="none"/>
        </w:rPr>
        <w:t>。</w:t>
      </w:r>
    </w:p>
    <w:p>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tabs>
          <w:tab w:val="left" w:pos="1050"/>
          <w:tab w:val="left" w:pos="2375"/>
          <w:tab w:val="center" w:pos="4818"/>
          <w:tab w:val="right" w:leader="dot" w:pos="9402"/>
        </w:tabs>
        <w:spacing w:before="312" w:beforeLines="100" w:after="156" w:afterLines="50"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第二章 投标人须知</w:t>
      </w:r>
    </w:p>
    <w:p>
      <w:pPr>
        <w:snapToGrid w:val="0"/>
        <w:spacing w:line="360" w:lineRule="auto"/>
        <w:ind w:firstLine="480" w:firstLineChars="200"/>
        <w:outlineLvl w:val="1"/>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一、说明</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color w:val="000000" w:themeColor="text1"/>
          <w:highlight w:val="none"/>
          <w14:textFill>
            <w14:solidFill>
              <w14:schemeClr w14:val="tx1"/>
            </w14:solidFill>
          </w14:textFill>
        </w:rPr>
        <w:t>1.本招标文件仅适用于江苏海审工程咨询有限公司</w:t>
      </w:r>
      <w:r>
        <w:rPr>
          <w:rFonts w:hint="eastAsia" w:ascii="宋体" w:hAnsi="宋体" w:eastAsia="宋体" w:cs="宋体"/>
          <w:highlight w:val="none"/>
        </w:rPr>
        <w:t>组织的招标采购活动。</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2.本次招标采购活动及因本次招标产生的合同受中国法律制约和保护。</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3.本招标文件的解释权属于本项目采购代理机构。</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供应商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5.供应商应认真审阅本招标文件中的所有事项、格式、条款和规范要求等，如果供应商没有按照招标文件要求提交投标文件，或者投标文件没有对招标文件做出实质性响应，有可能被拒绝参与投标。</w:t>
      </w:r>
    </w:p>
    <w:p>
      <w:pPr>
        <w:snapToGrid w:val="0"/>
        <w:spacing w:line="360" w:lineRule="auto"/>
        <w:ind w:firstLine="480" w:firstLineChars="200"/>
        <w:rPr>
          <w:rFonts w:ascii="宋体" w:hAnsi="宋体" w:eastAsia="宋体" w:cs="宋体"/>
          <w:b/>
          <w:bCs/>
          <w:highlight w:val="none"/>
        </w:rPr>
      </w:pPr>
      <w:r>
        <w:rPr>
          <w:rFonts w:hint="eastAsia" w:ascii="宋体" w:hAnsi="宋体" w:eastAsia="宋体" w:cs="宋体"/>
          <w:highlight w:val="none"/>
        </w:rPr>
        <w:t>6.</w:t>
      </w:r>
      <w:r>
        <w:rPr>
          <w:rFonts w:hint="eastAsia" w:ascii="宋体" w:hAnsi="宋体" w:eastAsia="宋体" w:cs="宋体"/>
          <w:b/>
          <w:bCs/>
          <w:highlight w:val="none"/>
        </w:rPr>
        <w:t>本采购文件内所称的“以上”、“以下”、“内”、“以内”</w:t>
      </w:r>
      <w:r>
        <w:rPr>
          <w:rFonts w:hint="eastAsia" w:ascii="宋体" w:hAnsi="宋体" w:eastAsia="宋体" w:cs="宋体"/>
          <w:b/>
          <w:bCs/>
          <w:highlight w:val="none"/>
          <w:lang w:val="en-US" w:eastAsia="zh-CN"/>
        </w:rPr>
        <w:t>均</w:t>
      </w:r>
      <w:r>
        <w:rPr>
          <w:rFonts w:hint="eastAsia" w:ascii="宋体" w:hAnsi="宋体" w:eastAsia="宋体" w:cs="宋体"/>
          <w:b/>
          <w:bCs/>
          <w:highlight w:val="none"/>
        </w:rPr>
        <w:t>包括本数；所称的“不足”、“少于”</w:t>
      </w:r>
      <w:r>
        <w:rPr>
          <w:rFonts w:hint="eastAsia" w:ascii="宋体" w:hAnsi="宋体" w:eastAsia="宋体" w:cs="宋体"/>
          <w:b/>
          <w:bCs/>
          <w:highlight w:val="none"/>
          <w:lang w:val="en-US" w:eastAsia="zh-CN"/>
        </w:rPr>
        <w:t>均</w:t>
      </w:r>
      <w:r>
        <w:rPr>
          <w:rFonts w:hint="eastAsia" w:ascii="宋体" w:hAnsi="宋体" w:eastAsia="宋体" w:cs="宋体"/>
          <w:b/>
          <w:bCs/>
          <w:highlight w:val="none"/>
        </w:rPr>
        <w:t>不包括本数，除非采购文件中有明确所指。</w:t>
      </w:r>
    </w:p>
    <w:p>
      <w:pPr>
        <w:snapToGrid w:val="0"/>
        <w:spacing w:line="360" w:lineRule="auto"/>
        <w:ind w:firstLine="480" w:firstLineChars="200"/>
        <w:rPr>
          <w:rFonts w:ascii="宋体" w:hAnsi="宋体" w:eastAsia="宋体" w:cs="宋体"/>
          <w:highlight w:val="none"/>
        </w:rPr>
      </w:pPr>
      <w:bookmarkStart w:id="15" w:name="_Hlk69659517"/>
      <w:bookmarkEnd w:id="15"/>
      <w:r>
        <w:rPr>
          <w:rFonts w:hint="eastAsia" w:ascii="宋体" w:hAnsi="宋体" w:eastAsia="宋体" w:cs="宋体"/>
          <w:highlight w:val="none"/>
        </w:rPr>
        <w:t>7.法定代表人为同一个人的两个及两个以上法人，母公司、全资子公司及其控股公司，都不得在同一采购项目相同标段中同时参加投标，一经发现，将视同围标处理。</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8.供应商应认真对照资格要求，如不符合要求，无意或故意参与投标响应的，所产生的一切后果由供应商承担。若投标人提供虚假材料的，将作无效响应处理。</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9.非采购人的原因，中标的供应商</w:t>
      </w:r>
      <w:r>
        <w:rPr>
          <w:rFonts w:hint="eastAsia" w:ascii="宋体" w:hAnsi="宋体" w:eastAsia="宋体" w:cs="宋体"/>
          <w:b/>
          <w:bCs/>
          <w:highlight w:val="none"/>
        </w:rPr>
        <w:t>（以下称“中标人”）</w:t>
      </w:r>
      <w:r>
        <w:rPr>
          <w:rFonts w:hint="eastAsia" w:ascii="宋体" w:hAnsi="宋体" w:eastAsia="宋体" w:cs="宋体"/>
          <w:highlight w:val="none"/>
        </w:rPr>
        <w:t>放弃中标资格的将其列入采购黑名单。</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10.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p>
    <w:p>
      <w:pPr>
        <w:snapToGrid w:val="0"/>
        <w:spacing w:line="360" w:lineRule="auto"/>
        <w:ind w:firstLine="480" w:firstLineChars="200"/>
        <w:outlineLvl w:val="1"/>
        <w:rPr>
          <w:rFonts w:ascii="宋体" w:hAnsi="宋体" w:eastAsia="宋体" w:cs="宋体"/>
          <w:highlight w:val="none"/>
        </w:rPr>
      </w:pPr>
      <w:r>
        <w:rPr>
          <w:rFonts w:hint="eastAsia" w:ascii="宋体" w:hAnsi="宋体" w:eastAsia="宋体" w:cs="宋体"/>
          <w:highlight w:val="none"/>
        </w:rPr>
        <w:t>二、词语释义</w:t>
      </w:r>
    </w:p>
    <w:p>
      <w:pPr>
        <w:snapToGrid w:val="0"/>
        <w:spacing w:line="360" w:lineRule="auto"/>
        <w:ind w:firstLine="480" w:firstLineChars="200"/>
        <w:rPr>
          <w:rFonts w:ascii="宋体" w:hAnsi="宋体" w:eastAsia="宋体" w:cs="宋体"/>
          <w:highlight w:val="none"/>
        </w:rPr>
      </w:pPr>
      <w:bookmarkStart w:id="16" w:name="_Hlk69659745"/>
      <w:bookmarkEnd w:id="16"/>
      <w:r>
        <w:rPr>
          <w:rFonts w:hint="eastAsia" w:ascii="宋体" w:hAnsi="宋体" w:eastAsia="宋体" w:cs="宋体"/>
          <w:highlight w:val="none"/>
        </w:rPr>
        <w:t>1.采购人：本项目指依法进行采购的国有企业。</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2.采购代理机构：本项目指依法接受采购人委托，从事货物、工程和服务等采购业务的采购代理机构。</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3.本项目采购文件内的“供应商”：指响应招标采购、参加本项目招标响应的法人或其他组织。</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4.单位负责人：指单位法定代表人或者法律、行政法规规定代表单位行使职权的主要负责人。</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5.直接控股：是指供应商的控股股东或者实际控制人。</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6.管理关系：指不具有出资持股关系的其他单位之间存在的管理与被管理关系。</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7.响应：根据采购人或采购代理机构发布的采购文件，编制响应文件并按规定参与采购活动的行为。</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8.合同：采供双方根据采购文件和中标的响应文件及中标通知书规定的内容，签署的以书面形式所达成的协议，包括所有的附件、附录和构成协议的所有文件。</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9.甲方（采购人）：合同中明确规定的实际购买服务的国有企业。</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10.乙方（供应商）：本项目合同中规定的向采购人提供服务的法人或其他组织。</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11.服务：系指本采购文件规定乙方应承担的与提供项目需求服务有关的各项服务和合同中规定乙方应承担的其他义务。</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12.知识产权:指专利权、商标权、著作权等无形财产专有权的统称。</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13.</w:t>
      </w:r>
      <w:bookmarkStart w:id="17" w:name="_Hlk85292975"/>
      <w:r>
        <w:rPr>
          <w:rFonts w:hint="eastAsia" w:ascii="宋体" w:hAnsi="宋体" w:eastAsia="宋体" w:cs="宋体"/>
          <w:highlight w:val="none"/>
        </w:rPr>
        <w:t>天:日历日；工作日：指排除国家法定节假日、休息日外的其余日历日；时间：除特别说明，均指北京时间。</w:t>
      </w:r>
      <w:bookmarkEnd w:id="17"/>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14.合同价款:根据合同规定,乙方在正确地履行合同义务后甲方应支付乙方的价款。</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15.不可抗力:不能预见、不能避免并且不能克服的客观情况。</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16.实质性响应：满足有关本次采购标的、数量、质量、价款或者报酬、履行期限、履行地点和方式、违约责任和解决争议方法等要求。</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17.书面形式：指书面文字、合同书、信件等可有形地表现所载内容的形式。</w:t>
      </w:r>
    </w:p>
    <w:p>
      <w:pPr>
        <w:snapToGrid w:val="0"/>
        <w:spacing w:line="360" w:lineRule="auto"/>
        <w:ind w:firstLine="480" w:firstLineChars="200"/>
        <w:outlineLvl w:val="1"/>
        <w:rPr>
          <w:rFonts w:ascii="宋体" w:hAnsi="宋体" w:eastAsia="宋体" w:cs="宋体"/>
          <w:highlight w:val="none"/>
        </w:rPr>
      </w:pPr>
      <w:r>
        <w:rPr>
          <w:rFonts w:hint="eastAsia" w:ascii="宋体" w:hAnsi="宋体" w:eastAsia="宋体" w:cs="宋体"/>
          <w:highlight w:val="none"/>
        </w:rPr>
        <w:t>三、招标文件的补充说明、澄清、修改、答疑</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1.采购代理机构有权对发出的招标文件进行必要的补充说明、澄清或修改。</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2.凡涉及招标文件的补充说明、澄清或修改，均以采购代理机构在</w:t>
      </w:r>
      <w:r>
        <w:rPr>
          <w:rFonts w:hint="eastAsia" w:ascii="宋体" w:hAnsi="宋体" w:eastAsia="宋体" w:cs="宋体"/>
          <w:kern w:val="0"/>
          <w:highlight w:val="none"/>
        </w:rPr>
        <w:t>“南通市崇川区人民政府网 (www.chongchuan.gov.cn)→我要看→公示公告”内</w:t>
      </w:r>
      <w:r>
        <w:rPr>
          <w:rFonts w:hint="eastAsia" w:ascii="宋体" w:hAnsi="宋体" w:eastAsia="宋体" w:cs="宋体"/>
          <w:highlight w:val="none"/>
        </w:rPr>
        <w:t>发布的信息为准。</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3.采购代理机构对招标文件的补充说明、澄清或修改，将构成本项目采购文件的一部分，对供应商具有约束力。</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补充说明、澄清或修改的内容可能影响到响应文件编制的，采购代理机构将在首次提交投标文件截止日15天前，发布补充说明、澄清或修改公告。不足15日的，应当顺延首次提交投标文件截止之日，在这种情况下，采购代理机构和投标人的权利和义务将受到新的截止期的约束。</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5.除非采购代理机构以书面、公告的形式对招标文件做出澄清、修改、补充并通知到供应商，供应商对涉及招标文件的任何推论、理解和结论所造成的结果，均由供应商自负。</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6.招标采购单位视情组织答疑会。如有产生答疑且对招标文件内容有修改，采购代理机构将按照本须知有关规定，以补充通知（公告）的方式发出并通知到供应商。</w:t>
      </w:r>
    </w:p>
    <w:p>
      <w:pPr>
        <w:snapToGrid w:val="0"/>
        <w:spacing w:line="360" w:lineRule="auto"/>
        <w:ind w:firstLine="480" w:firstLineChars="200"/>
        <w:outlineLvl w:val="1"/>
        <w:rPr>
          <w:rFonts w:ascii="宋体" w:hAnsi="宋体" w:eastAsia="宋体" w:cs="宋体"/>
          <w:highlight w:val="none"/>
        </w:rPr>
      </w:pPr>
      <w:r>
        <w:rPr>
          <w:rFonts w:hint="eastAsia" w:ascii="宋体" w:hAnsi="宋体" w:eastAsia="宋体" w:cs="宋体"/>
          <w:highlight w:val="none"/>
        </w:rPr>
        <w:t>四、投标文件的组成及装订</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1.投标文件由：</w:t>
      </w:r>
      <w:bookmarkStart w:id="18" w:name="_Hlk54377349"/>
      <w:bookmarkEnd w:id="18"/>
      <w:r>
        <w:rPr>
          <w:rFonts w:hint="eastAsia" w:ascii="宋体" w:hAnsi="宋体" w:eastAsia="宋体" w:cs="宋体"/>
          <w:b/>
          <w:bCs/>
          <w:highlight w:val="none"/>
        </w:rPr>
        <w:t>A资格后审材料文件、B商务技术标文件、C价格标文件</w:t>
      </w:r>
      <w:r>
        <w:rPr>
          <w:rFonts w:hint="eastAsia" w:ascii="宋体" w:hAnsi="宋体" w:eastAsia="宋体" w:cs="宋体"/>
          <w:highlight w:val="none"/>
        </w:rPr>
        <w:t>，共3部分组成（以下由文件名称的前缀英文字母代称），</w:t>
      </w:r>
      <w:r>
        <w:rPr>
          <w:rFonts w:hint="eastAsia" w:ascii="宋体" w:hAnsi="宋体" w:eastAsia="宋体" w:cs="宋体"/>
          <w:b/>
          <w:bCs/>
          <w:highlight w:val="none"/>
          <w:u w:val="thick" w:color="FF0000"/>
        </w:rPr>
        <w:t>具体相关内容见本招标文件第七章</w:t>
      </w:r>
      <w:r>
        <w:rPr>
          <w:rFonts w:hint="eastAsia" w:ascii="宋体" w:hAnsi="宋体" w:eastAsia="宋体" w:cs="宋体"/>
          <w:highlight w:val="none"/>
        </w:rPr>
        <w:t>。</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2.供应商按投标文件组成顺序编写响应文件，并牢固装订成册。投标文件均需采用A4纸（图纸等除外），不允许使用活页夹、拉杆夹、文件夹、塑料方便式书脊（插入式或穿孔式）装订。投标文件不得行间插字、涂改、增删。修改错漏处，</w:t>
      </w:r>
      <w:r>
        <w:rPr>
          <w:rFonts w:hint="eastAsia" w:ascii="宋体" w:hAnsi="宋体" w:eastAsia="宋体" w:cs="宋体"/>
          <w:b/>
          <w:bCs/>
          <w:highlight w:val="none"/>
          <w:u w:val="thick" w:color="FF0000"/>
        </w:rPr>
        <w:t>须经过供应商法人代表委托的代理人（以下称委托代理人）签字或盖章（法人或其他组织须加盖公章）</w:t>
      </w:r>
      <w:r>
        <w:rPr>
          <w:rFonts w:hint="eastAsia" w:ascii="宋体" w:hAnsi="宋体" w:eastAsia="宋体" w:cs="宋体"/>
          <w:highlight w:val="none"/>
        </w:rPr>
        <w:t>。</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3.价格标文件中的所有报价表，必须装订成册。</w:t>
      </w:r>
    </w:p>
    <w:p>
      <w:pPr>
        <w:snapToGrid w:val="0"/>
        <w:spacing w:line="360" w:lineRule="auto"/>
        <w:ind w:firstLine="480" w:firstLineChars="200"/>
        <w:outlineLvl w:val="1"/>
        <w:rPr>
          <w:rFonts w:ascii="宋体" w:hAnsi="宋体" w:eastAsia="宋体" w:cs="宋体"/>
          <w:highlight w:val="none"/>
        </w:rPr>
      </w:pPr>
      <w:r>
        <w:rPr>
          <w:rFonts w:hint="eastAsia" w:ascii="宋体" w:hAnsi="宋体" w:eastAsia="宋体" w:cs="宋体"/>
          <w:highlight w:val="none"/>
        </w:rPr>
        <w:t>五、投标文件的份数、签署和退还</w:t>
      </w:r>
    </w:p>
    <w:p>
      <w:pPr>
        <w:snapToGrid w:val="0"/>
        <w:spacing w:line="360" w:lineRule="auto"/>
        <w:ind w:firstLine="480" w:firstLineChars="200"/>
        <w:rPr>
          <w:rFonts w:ascii="宋体" w:hAnsi="宋体" w:eastAsia="宋体" w:cs="宋体"/>
          <w:b/>
          <w:bCs/>
          <w:highlight w:val="none"/>
        </w:rPr>
      </w:pPr>
      <w:r>
        <w:rPr>
          <w:rFonts w:hint="eastAsia" w:ascii="宋体" w:hAnsi="宋体" w:eastAsia="宋体" w:cs="宋体"/>
          <w:highlight w:val="none"/>
        </w:rPr>
        <w:t>1.</w:t>
      </w:r>
      <w:bookmarkStart w:id="19" w:name="_Hlk54374255"/>
      <w:bookmarkEnd w:id="19"/>
      <w:r>
        <w:rPr>
          <w:rFonts w:hint="eastAsia" w:ascii="宋体" w:hAnsi="宋体" w:eastAsia="宋体" w:cs="宋体"/>
          <w:highlight w:val="none"/>
        </w:rPr>
        <w:t>投标文件中的“A”、“B”、“C”均为</w:t>
      </w:r>
      <w:r>
        <w:rPr>
          <w:rFonts w:hint="eastAsia" w:ascii="宋体" w:hAnsi="宋体" w:eastAsia="宋体" w:cs="宋体"/>
          <w:b/>
          <w:bCs/>
          <w:highlight w:val="none"/>
          <w:u w:val="thick" w:color="FF0000"/>
        </w:rPr>
        <w:t>一份“正本”和肆份“副本”</w:t>
      </w:r>
      <w:r>
        <w:rPr>
          <w:rFonts w:hint="eastAsia" w:ascii="宋体" w:hAnsi="宋体" w:eastAsia="宋体" w:cs="宋体"/>
          <w:b/>
          <w:bCs/>
          <w:highlight w:val="none"/>
        </w:rPr>
        <w:t>。</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2.在每一份投标文件上要明确标注项目名称、投标文件各自对应的名称、供应商全称、“正本”、“副本”字样，“正本”和“副本”若有差异，概以“正本”为准。</w:t>
      </w:r>
    </w:p>
    <w:p>
      <w:pPr>
        <w:snapToGrid w:val="0"/>
        <w:spacing w:line="360" w:lineRule="auto"/>
        <w:ind w:firstLine="480" w:firstLineChars="200"/>
        <w:rPr>
          <w:rFonts w:ascii="宋体" w:hAnsi="宋体" w:eastAsia="宋体" w:cs="宋体"/>
          <w:b/>
          <w:bCs/>
          <w:highlight w:val="none"/>
          <w:u w:val="thick" w:color="FF0000"/>
        </w:rPr>
      </w:pPr>
      <w:r>
        <w:rPr>
          <w:rFonts w:hint="eastAsia" w:ascii="宋体" w:hAnsi="宋体" w:eastAsia="宋体" w:cs="宋体"/>
          <w:highlight w:val="none"/>
        </w:rPr>
        <w:t>3.投标文件中的所有“正本”，须为打印的，其正文内容</w:t>
      </w:r>
      <w:r>
        <w:rPr>
          <w:rFonts w:hint="eastAsia" w:ascii="宋体" w:hAnsi="宋体" w:eastAsia="宋体" w:cs="宋体"/>
          <w:b/>
          <w:bCs/>
          <w:highlight w:val="none"/>
          <w:u w:val="thick" w:color="FF0000"/>
        </w:rPr>
        <w:t>均由参与本项目的供应商法定代表人或委托代理人签字（或盖章）（法人或其他组织须加盖公章）</w:t>
      </w:r>
      <w:r>
        <w:rPr>
          <w:rFonts w:hint="eastAsia" w:ascii="宋体" w:hAnsi="宋体" w:eastAsia="宋体" w:cs="宋体"/>
          <w:highlight w:val="none"/>
        </w:rPr>
        <w:t>。</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4.开标程序顺利进行后，投标文件都将作为档案保存，不论中标与否，采购代理机构均不退回（未拆封的除外）。</w:t>
      </w:r>
    </w:p>
    <w:p>
      <w:pPr>
        <w:snapToGrid w:val="0"/>
        <w:spacing w:line="360" w:lineRule="auto"/>
        <w:ind w:firstLine="470" w:firstLineChars="196"/>
        <w:outlineLvl w:val="1"/>
        <w:rPr>
          <w:rFonts w:ascii="宋体" w:hAnsi="宋体" w:eastAsia="宋体" w:cs="宋体"/>
          <w:highlight w:val="none"/>
        </w:rPr>
      </w:pPr>
      <w:r>
        <w:rPr>
          <w:rFonts w:hint="eastAsia" w:ascii="宋体" w:hAnsi="宋体" w:eastAsia="宋体" w:cs="宋体"/>
          <w:highlight w:val="none"/>
        </w:rPr>
        <w:t>六、投标文件的密封及标记</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1.供应商须将本项目投标文件：“A”、</w:t>
      </w:r>
      <w:bookmarkStart w:id="20" w:name="_Hlk54374315"/>
      <w:r>
        <w:rPr>
          <w:rFonts w:hint="eastAsia" w:ascii="宋体" w:hAnsi="宋体" w:eastAsia="宋体" w:cs="宋体"/>
          <w:highlight w:val="none"/>
        </w:rPr>
        <w:t>“B”、“C”</w:t>
      </w:r>
      <w:bookmarkEnd w:id="20"/>
      <w:r>
        <w:rPr>
          <w:rFonts w:hint="eastAsia" w:ascii="宋体" w:hAnsi="宋体" w:eastAsia="宋体" w:cs="宋体"/>
          <w:b/>
          <w:bCs/>
          <w:highlight w:val="none"/>
        </w:rPr>
        <w:t>分3个部分进行独立密封</w:t>
      </w:r>
      <w:r>
        <w:rPr>
          <w:rFonts w:hint="eastAsia" w:ascii="宋体" w:hAnsi="宋体" w:eastAsia="宋体" w:cs="宋体"/>
          <w:highlight w:val="none"/>
        </w:rPr>
        <w:t>。</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2.密封后，应在每一部分的密封件上明确标注招标项目名称、投标文件各自对应的名称、供应商全称及日期，同时加盖法人或其他组织的公章。</w:t>
      </w:r>
    </w:p>
    <w:p>
      <w:pPr>
        <w:snapToGrid w:val="0"/>
        <w:spacing w:line="360" w:lineRule="auto"/>
        <w:ind w:firstLine="496" w:firstLineChars="206"/>
        <w:outlineLvl w:val="1"/>
        <w:rPr>
          <w:rFonts w:ascii="宋体" w:hAnsi="宋体" w:eastAsia="宋体" w:cs="宋体"/>
          <w:b/>
          <w:bCs/>
          <w:highlight w:val="none"/>
        </w:rPr>
      </w:pPr>
      <w:r>
        <w:rPr>
          <w:rFonts w:hint="eastAsia" w:ascii="宋体" w:hAnsi="宋体" w:eastAsia="宋体" w:cs="宋体"/>
          <w:b/>
          <w:bCs/>
          <w:highlight w:val="none"/>
        </w:rPr>
        <w:t>七、报价准备</w:t>
      </w:r>
    </w:p>
    <w:p>
      <w:pPr>
        <w:snapToGrid w:val="0"/>
        <w:spacing w:line="360" w:lineRule="auto"/>
        <w:ind w:firstLine="494" w:firstLineChars="206"/>
        <w:rPr>
          <w:rFonts w:ascii="宋体" w:hAnsi="宋体" w:eastAsia="宋体" w:cs="宋体"/>
          <w:highlight w:val="none"/>
        </w:rPr>
      </w:pPr>
      <w:r>
        <w:rPr>
          <w:rFonts w:hint="eastAsia" w:ascii="宋体" w:hAnsi="宋体" w:eastAsia="宋体" w:cs="宋体"/>
          <w:highlight w:val="none"/>
        </w:rPr>
        <w:t>1.总报价（以下浮率计价）应包含招标项目拍卖拍租所有费用，同时还包含为完成本项目所必须的宣传、广告等其他辅助工作的相关费用及响应招标文件要求的所有费用。</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2.投标报价将作为评标委员会评定中标人的组成依据。</w:t>
      </w:r>
    </w:p>
    <w:p>
      <w:pPr>
        <w:snapToGrid w:val="0"/>
        <w:spacing w:line="360" w:lineRule="auto"/>
        <w:ind w:firstLine="496" w:firstLineChars="206"/>
        <w:outlineLvl w:val="1"/>
        <w:rPr>
          <w:rFonts w:ascii="宋体" w:hAnsi="宋体" w:eastAsia="宋体" w:cs="宋体"/>
          <w:b/>
          <w:bCs/>
          <w:highlight w:val="none"/>
        </w:rPr>
      </w:pPr>
      <w:r>
        <w:rPr>
          <w:rFonts w:hint="eastAsia" w:ascii="宋体" w:hAnsi="宋体" w:eastAsia="宋体" w:cs="宋体"/>
          <w:b/>
          <w:bCs/>
          <w:highlight w:val="none"/>
          <w:lang w:val="en-US" w:eastAsia="zh-CN"/>
        </w:rPr>
        <w:t>八</w:t>
      </w:r>
      <w:r>
        <w:rPr>
          <w:rFonts w:hint="eastAsia" w:ascii="宋体" w:hAnsi="宋体" w:eastAsia="宋体" w:cs="宋体"/>
          <w:b/>
          <w:bCs/>
          <w:highlight w:val="none"/>
        </w:rPr>
        <w:t>、投标文件的有效期</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1.从投标文件接收截止之日算起，</w:t>
      </w:r>
      <w:r>
        <w:rPr>
          <w:rFonts w:hint="eastAsia" w:ascii="宋体" w:hAnsi="宋体" w:eastAsia="宋体" w:cs="宋体"/>
          <w:b/>
          <w:bCs/>
          <w:highlight w:val="none"/>
        </w:rPr>
        <w:t>45</w:t>
      </w:r>
      <w:r>
        <w:rPr>
          <w:rFonts w:hint="eastAsia" w:ascii="宋体" w:hAnsi="宋体" w:eastAsia="宋体" w:cs="宋体"/>
          <w:highlight w:val="none"/>
        </w:rPr>
        <w:t>个“日历天”内投标书应保持有效。有效期短于这个规定期限的投标，将被拒绝。</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2.在特殊情况下，采购代理机构可与投标人协商延长投标书的有效期。这种要求和答复都应以书面、传真、或电报的形式进行。同意延长有效期的投标人不能修改投标文件。拒绝接受延期要求的投标人的投标将被拒绝。</w:t>
      </w:r>
    </w:p>
    <w:p>
      <w:pPr>
        <w:snapToGrid w:val="0"/>
        <w:spacing w:line="360" w:lineRule="auto"/>
        <w:ind w:firstLine="496" w:firstLineChars="206"/>
        <w:outlineLvl w:val="1"/>
        <w:rPr>
          <w:rFonts w:ascii="宋体" w:hAnsi="宋体" w:eastAsia="宋体" w:cs="宋体"/>
          <w:highlight w:val="none"/>
        </w:rPr>
      </w:pPr>
      <w:r>
        <w:rPr>
          <w:rFonts w:hint="eastAsia" w:ascii="宋体" w:hAnsi="宋体" w:eastAsia="宋体" w:cs="宋体"/>
          <w:b/>
          <w:bCs/>
          <w:highlight w:val="none"/>
          <w:lang w:val="en-US" w:eastAsia="zh-CN"/>
        </w:rPr>
        <w:t>九</w:t>
      </w:r>
      <w:r>
        <w:rPr>
          <w:rFonts w:hint="eastAsia" w:ascii="宋体" w:hAnsi="宋体" w:eastAsia="宋体" w:cs="宋体"/>
          <w:b/>
          <w:bCs/>
          <w:highlight w:val="none"/>
        </w:rPr>
        <w:t>、投标文件的修改和撤销</w:t>
      </w:r>
    </w:p>
    <w:p>
      <w:pPr>
        <w:snapToGrid w:val="0"/>
        <w:spacing w:line="360" w:lineRule="auto"/>
        <w:ind w:firstLine="494" w:firstLineChars="206"/>
        <w:rPr>
          <w:rFonts w:ascii="宋体" w:hAnsi="宋体" w:eastAsia="宋体" w:cs="宋体"/>
          <w:highlight w:val="none"/>
        </w:rPr>
      </w:pPr>
      <w:r>
        <w:rPr>
          <w:rFonts w:hint="eastAsia" w:ascii="宋体" w:hAnsi="宋体" w:eastAsia="宋体" w:cs="宋体"/>
          <w:highlight w:val="none"/>
        </w:rPr>
        <w:t>1.投标人在投标截止时间前，可以对所递交的投标文件进行补充、修改或者撤回，并书面通知采购人或者采购代理机构。补充、修改的内容应当按照采购文件要求签署、盖章、密封后，作为投标文件的组成部分。</w:t>
      </w:r>
    </w:p>
    <w:p>
      <w:pPr>
        <w:snapToGrid w:val="0"/>
        <w:spacing w:line="360" w:lineRule="auto"/>
        <w:ind w:firstLine="494" w:firstLineChars="206"/>
        <w:rPr>
          <w:rFonts w:ascii="宋体" w:hAnsi="宋体" w:eastAsia="宋体" w:cs="宋体"/>
          <w:highlight w:val="none"/>
        </w:rPr>
      </w:pPr>
      <w:r>
        <w:rPr>
          <w:rFonts w:hint="eastAsia" w:ascii="宋体" w:hAnsi="宋体" w:eastAsia="宋体" w:cs="宋体"/>
          <w:highlight w:val="none"/>
        </w:rPr>
        <w:t>2.开标后投标人不得撤销投标。</w:t>
      </w:r>
    </w:p>
    <w:p>
      <w:pPr>
        <w:snapToGrid w:val="0"/>
        <w:spacing w:line="360" w:lineRule="auto"/>
        <w:ind w:firstLine="496" w:firstLineChars="206"/>
        <w:outlineLvl w:val="1"/>
        <w:rPr>
          <w:rFonts w:ascii="宋体" w:hAnsi="宋体" w:eastAsia="宋体" w:cs="宋体"/>
          <w:b/>
          <w:bCs/>
          <w:highlight w:val="none"/>
        </w:rPr>
      </w:pPr>
      <w:r>
        <w:rPr>
          <w:rFonts w:hint="eastAsia" w:ascii="宋体" w:hAnsi="宋体" w:eastAsia="宋体" w:cs="宋体"/>
          <w:b/>
          <w:bCs/>
          <w:highlight w:val="none"/>
        </w:rPr>
        <w:t>十、投标费用</w:t>
      </w:r>
    </w:p>
    <w:p>
      <w:pPr>
        <w:snapToGrid w:val="0"/>
        <w:spacing w:line="360" w:lineRule="auto"/>
        <w:ind w:firstLine="494" w:firstLineChars="206"/>
        <w:rPr>
          <w:rFonts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无论招标投标过程和结果如何，供应商自行承担与本项目投标有关的全部费用。</w:t>
      </w:r>
    </w:p>
    <w:p>
      <w:pPr>
        <w:numPr>
          <w:ilvl w:val="0"/>
          <w:numId w:val="0"/>
        </w:numPr>
        <w:snapToGrid w:val="0"/>
        <w:spacing w:line="360" w:lineRule="auto"/>
        <w:ind w:firstLine="482" w:firstLineChars="200"/>
        <w:outlineLvl w:val="1"/>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2、本项目代理服务费2000元及评委费（按实支付）由中标人平分承担，请各投标人在成本中自行考虑。</w:t>
      </w:r>
    </w:p>
    <w:p>
      <w:pPr>
        <w:numPr>
          <w:ilvl w:val="0"/>
          <w:numId w:val="0"/>
        </w:numPr>
        <w:snapToGrid w:val="0"/>
        <w:spacing w:line="360" w:lineRule="auto"/>
        <w:ind w:firstLine="482" w:firstLineChars="200"/>
        <w:outlineLvl w:val="1"/>
        <w:rPr>
          <w:rFonts w:ascii="宋体" w:hAnsi="宋体" w:eastAsia="宋体" w:cs="宋体"/>
          <w:b/>
          <w:bCs/>
          <w:highlight w:val="none"/>
        </w:rPr>
      </w:pPr>
      <w:r>
        <w:rPr>
          <w:rFonts w:hint="eastAsia" w:ascii="宋体" w:hAnsi="宋体" w:eastAsia="宋体" w:cs="宋体"/>
          <w:b/>
          <w:bCs/>
          <w:highlight w:val="none"/>
          <w:lang w:val="en-US" w:eastAsia="zh-CN"/>
        </w:rPr>
        <w:t>十一、</w:t>
      </w:r>
      <w:r>
        <w:rPr>
          <w:rFonts w:hint="eastAsia" w:ascii="宋体" w:hAnsi="宋体" w:eastAsia="宋体" w:cs="宋体"/>
          <w:b/>
          <w:bCs/>
          <w:highlight w:val="none"/>
        </w:rPr>
        <w:t>履约保证金</w:t>
      </w:r>
    </w:p>
    <w:p>
      <w:pPr>
        <w:snapToGrid w:val="0"/>
        <w:spacing w:line="360" w:lineRule="auto"/>
        <w:ind w:firstLine="494" w:firstLineChars="206"/>
        <w:rPr>
          <w:rFonts w:ascii="宋体" w:hAnsi="宋体" w:eastAsia="宋体" w:cs="宋体"/>
          <w:highlight w:val="none"/>
        </w:rPr>
      </w:pPr>
      <w:r>
        <w:rPr>
          <w:rFonts w:hint="eastAsia" w:ascii="宋体" w:hAnsi="宋体" w:eastAsia="宋体" w:cs="宋体"/>
          <w:highlight w:val="none"/>
        </w:rPr>
        <w:t>1、本项目中标后的履约保证金为</w:t>
      </w:r>
      <w:r>
        <w:rPr>
          <w:rFonts w:hint="eastAsia" w:ascii="宋体" w:hAnsi="宋体" w:eastAsia="宋体" w:cs="宋体"/>
          <w:b/>
          <w:bCs/>
          <w:highlight w:val="none"/>
          <w:u w:val="single"/>
          <w:lang w:val="en-US" w:eastAsia="zh-CN"/>
        </w:rPr>
        <w:t>壹万元（10000元）</w:t>
      </w:r>
      <w:r>
        <w:rPr>
          <w:rFonts w:hint="eastAsia" w:ascii="宋体" w:hAnsi="宋体" w:eastAsia="宋体" w:cs="宋体"/>
          <w:b/>
          <w:bCs/>
          <w:highlight w:val="none"/>
          <w:u w:val="single"/>
        </w:rPr>
        <w:t xml:space="preserve"> </w:t>
      </w:r>
      <w:r>
        <w:rPr>
          <w:rFonts w:hint="eastAsia" w:ascii="宋体" w:hAnsi="宋体" w:eastAsia="宋体" w:cs="宋体"/>
          <w:highlight w:val="none"/>
        </w:rPr>
        <w:t>。</w:t>
      </w:r>
    </w:p>
    <w:p>
      <w:pPr>
        <w:snapToGrid w:val="0"/>
        <w:spacing w:line="360" w:lineRule="auto"/>
        <w:ind w:firstLine="494" w:firstLineChars="206"/>
        <w:rPr>
          <w:rFonts w:ascii="宋体" w:hAnsi="宋体" w:eastAsia="宋体" w:cs="宋体"/>
          <w:highlight w:val="none"/>
        </w:rPr>
      </w:pPr>
      <w:r>
        <w:rPr>
          <w:rFonts w:hint="eastAsia" w:ascii="宋体" w:hAnsi="宋体" w:eastAsia="宋体" w:cs="宋体"/>
          <w:highlight w:val="none"/>
        </w:rPr>
        <w:t>2、中标人可以选择以银行转帐或汇票形式缴纳履约保证金。</w:t>
      </w:r>
    </w:p>
    <w:p>
      <w:pPr>
        <w:snapToGrid w:val="0"/>
        <w:spacing w:line="360" w:lineRule="auto"/>
        <w:ind w:firstLine="494" w:firstLineChars="206"/>
        <w:rPr>
          <w:rFonts w:ascii="宋体" w:hAnsi="宋体" w:eastAsia="宋体" w:cs="宋体"/>
          <w:highlight w:val="none"/>
        </w:rPr>
      </w:pPr>
      <w:r>
        <w:rPr>
          <w:rFonts w:hint="eastAsia" w:ascii="宋体" w:hAnsi="宋体" w:eastAsia="宋体" w:cs="宋体"/>
          <w:highlight w:val="none"/>
        </w:rPr>
        <w:t>3、中标人在中标通知书发出之日起7日内，凭“中标通知书”和“履约保证金”的缴纳凭证，与采购人签订合同，超期或未有协商，则视为自动放弃中标资格。</w:t>
      </w:r>
    </w:p>
    <w:p>
      <w:pPr>
        <w:snapToGrid w:val="0"/>
        <w:spacing w:line="360" w:lineRule="auto"/>
        <w:ind w:firstLine="494" w:firstLineChars="206"/>
        <w:rPr>
          <w:rFonts w:ascii="宋体" w:hAnsi="宋体" w:eastAsia="宋体" w:cs="宋体"/>
          <w:highlight w:val="none"/>
        </w:rPr>
      </w:pPr>
      <w:r>
        <w:rPr>
          <w:rFonts w:hint="eastAsia" w:ascii="宋体" w:hAnsi="宋体" w:eastAsia="宋体" w:cs="宋体"/>
          <w:highlight w:val="none"/>
        </w:rPr>
        <w:t>4、中标人在按要求保质保量的完成该项目合同并通过验收后，采购人凭中标人提交的申请，一次性无息退还该合同项目的履约保证金。</w:t>
      </w:r>
    </w:p>
    <w:p>
      <w:pPr>
        <w:snapToGrid w:val="0"/>
        <w:spacing w:line="360" w:lineRule="auto"/>
        <w:ind w:firstLine="494" w:firstLineChars="206"/>
        <w:rPr>
          <w:rFonts w:ascii="宋体" w:hAnsi="宋体" w:eastAsia="宋体" w:cs="宋体"/>
          <w:highlight w:val="none"/>
        </w:rPr>
      </w:pPr>
      <w:r>
        <w:rPr>
          <w:rFonts w:hint="eastAsia" w:ascii="宋体" w:hAnsi="宋体" w:eastAsia="宋体" w:cs="宋体"/>
          <w:highlight w:val="none"/>
        </w:rPr>
        <w:t>5、由于中标人原因，在签订合同后出现不按合同履行的情况，采购单位有权将履约保证金作为违约金，全额不予退还，同时采购单位亦有权终止合同，中标人还须承担相应的法律赔偿责任。</w:t>
      </w:r>
    </w:p>
    <w:p>
      <w:pPr>
        <w:pageBreakBefore/>
        <w:tabs>
          <w:tab w:val="left" w:pos="1050"/>
          <w:tab w:val="left" w:pos="2375"/>
          <w:tab w:val="center" w:pos="4818"/>
          <w:tab w:val="right" w:leader="dot" w:pos="9402"/>
        </w:tabs>
        <w:spacing w:before="312" w:beforeLines="100" w:line="360" w:lineRule="auto"/>
        <w:ind w:firstLine="3213" w:firstLineChars="1000"/>
        <w:outlineLvl w:val="0"/>
        <w:rPr>
          <w:rFonts w:ascii="宋体" w:hAnsi="宋体" w:eastAsia="宋体" w:cs="宋体"/>
          <w:b/>
          <w:bCs/>
          <w:sz w:val="32"/>
          <w:szCs w:val="32"/>
          <w:highlight w:val="none"/>
        </w:rPr>
      </w:pPr>
      <w:bookmarkStart w:id="21" w:name="_Toc363573855"/>
      <w:bookmarkEnd w:id="21"/>
      <w:r>
        <w:rPr>
          <w:rFonts w:hint="eastAsia" w:ascii="宋体" w:hAnsi="宋体" w:eastAsia="宋体" w:cs="宋体"/>
          <w:b/>
          <w:bCs/>
          <w:sz w:val="32"/>
          <w:szCs w:val="32"/>
          <w:highlight w:val="none"/>
        </w:rPr>
        <w:t>第三章 项目需求</w:t>
      </w:r>
      <w:bookmarkStart w:id="22" w:name="_Toc13642116"/>
      <w:bookmarkEnd w:id="22"/>
    </w:p>
    <w:p>
      <w:pPr>
        <w:spacing w:line="360" w:lineRule="auto"/>
        <w:ind w:left="505"/>
        <w:rPr>
          <w:rFonts w:ascii="宋体" w:hAnsi="宋体" w:eastAsia="宋体" w:cs="宋体"/>
          <w:highlight w:val="none"/>
        </w:rPr>
      </w:pPr>
      <w:bookmarkStart w:id="23" w:name="_Hlk69896050"/>
      <w:bookmarkEnd w:id="23"/>
      <w:r>
        <w:rPr>
          <w:rFonts w:hint="eastAsia" w:ascii="宋体" w:hAnsi="宋体" w:eastAsia="宋体" w:cs="宋体"/>
          <w:spacing w:val="10"/>
          <w:position w:val="3"/>
          <w:highlight w:val="none"/>
        </w:rPr>
        <w:t>一</w:t>
      </w:r>
      <w:r>
        <w:rPr>
          <w:rFonts w:hint="eastAsia" w:ascii="宋体" w:hAnsi="宋体" w:eastAsia="宋体" w:cs="宋体"/>
          <w:spacing w:val="8"/>
          <w:position w:val="3"/>
          <w:highlight w:val="none"/>
        </w:rPr>
        <w:t>、项目基本情况</w:t>
      </w:r>
    </w:p>
    <w:p>
      <w:pPr>
        <w:spacing w:line="360" w:lineRule="auto"/>
        <w:ind w:firstLine="510"/>
        <w:rPr>
          <w:rFonts w:ascii="宋体" w:hAnsi="宋体" w:eastAsia="宋体" w:cs="宋体"/>
          <w:highlight w:val="none"/>
        </w:rPr>
      </w:pPr>
      <w:r>
        <w:rPr>
          <w:rFonts w:hint="eastAsia" w:ascii="宋体" w:hAnsi="宋体" w:eastAsia="宋体" w:cs="宋体"/>
          <w:spacing w:val="12"/>
          <w:highlight w:val="none"/>
        </w:rPr>
        <w:t>为</w:t>
      </w:r>
      <w:r>
        <w:rPr>
          <w:rFonts w:hint="eastAsia" w:ascii="宋体" w:hAnsi="宋体" w:eastAsia="宋体" w:cs="宋体"/>
          <w:spacing w:val="9"/>
          <w:highlight w:val="none"/>
        </w:rPr>
        <w:t>有</w:t>
      </w:r>
      <w:r>
        <w:rPr>
          <w:rFonts w:hint="eastAsia" w:ascii="宋体" w:hAnsi="宋体" w:eastAsia="宋体" w:cs="宋体"/>
          <w:spacing w:val="6"/>
          <w:highlight w:val="none"/>
        </w:rPr>
        <w:t>效盘活公司资产，提高资源配置效率和效益，择优选择</w:t>
      </w:r>
      <w:r>
        <w:rPr>
          <w:rFonts w:hint="eastAsia" w:ascii="宋体" w:hAnsi="宋体" w:eastAsia="宋体" w:cs="宋体"/>
          <w:spacing w:val="6"/>
          <w:highlight w:val="none"/>
          <w:lang w:val="en-US" w:eastAsia="zh-CN"/>
        </w:rPr>
        <w:t>三</w:t>
      </w:r>
      <w:r>
        <w:rPr>
          <w:rFonts w:hint="eastAsia" w:ascii="宋体" w:hAnsi="宋体" w:eastAsia="宋体" w:cs="宋体"/>
          <w:spacing w:val="6"/>
          <w:highlight w:val="none"/>
        </w:rPr>
        <w:t>家机构实施崇川文旅公司</w:t>
      </w:r>
      <w:r>
        <w:rPr>
          <w:rFonts w:hint="eastAsia" w:ascii="宋体" w:hAnsi="宋体" w:eastAsia="宋体" w:cs="宋体"/>
          <w:spacing w:val="8"/>
          <w:highlight w:val="none"/>
        </w:rPr>
        <w:t>资产拍卖及拍租项目。</w:t>
      </w:r>
    </w:p>
    <w:p>
      <w:pPr>
        <w:spacing w:line="360" w:lineRule="auto"/>
        <w:ind w:left="508"/>
        <w:rPr>
          <w:rFonts w:ascii="宋体" w:hAnsi="宋体" w:eastAsia="宋体" w:cs="宋体"/>
          <w:highlight w:val="none"/>
        </w:rPr>
      </w:pPr>
      <w:r>
        <w:rPr>
          <w:rFonts w:hint="eastAsia" w:ascii="宋体" w:hAnsi="宋体" w:eastAsia="宋体" w:cs="宋体"/>
          <w:spacing w:val="7"/>
          <w:position w:val="1"/>
          <w:highlight w:val="none"/>
          <w:lang w:val="en-US" w:eastAsia="zh-CN"/>
        </w:rPr>
        <w:t>二</w:t>
      </w:r>
      <w:r>
        <w:rPr>
          <w:rFonts w:hint="eastAsia" w:ascii="宋体" w:hAnsi="宋体" w:eastAsia="宋体" w:cs="宋体"/>
          <w:spacing w:val="7"/>
          <w:position w:val="1"/>
          <w:highlight w:val="none"/>
        </w:rPr>
        <w:t>、具体要</w:t>
      </w:r>
      <w:r>
        <w:rPr>
          <w:rFonts w:hint="eastAsia" w:ascii="宋体" w:hAnsi="宋体" w:eastAsia="宋体" w:cs="宋体"/>
          <w:spacing w:val="6"/>
          <w:position w:val="1"/>
          <w:highlight w:val="none"/>
        </w:rPr>
        <w:t>求</w:t>
      </w:r>
    </w:p>
    <w:p>
      <w:pPr>
        <w:spacing w:line="360" w:lineRule="auto"/>
        <w:ind w:left="15" w:firstLine="496"/>
        <w:rPr>
          <w:rFonts w:ascii="宋体" w:hAnsi="宋体" w:eastAsia="宋体" w:cs="宋体"/>
          <w:highlight w:val="none"/>
        </w:rPr>
      </w:pPr>
      <w:r>
        <w:rPr>
          <w:rFonts w:hint="eastAsia" w:ascii="宋体" w:hAnsi="宋体" w:eastAsia="宋体" w:cs="宋体"/>
          <w:spacing w:val="9"/>
          <w:highlight w:val="none"/>
        </w:rPr>
        <w:t>1、拍卖机构通过拍卖(租)程序，确定买受人（或承租人）后，开具成交证明，买受人（或承租人）凭成交</w:t>
      </w:r>
      <w:r>
        <w:rPr>
          <w:rFonts w:hint="eastAsia" w:ascii="宋体" w:hAnsi="宋体" w:eastAsia="宋体" w:cs="宋体"/>
          <w:spacing w:val="7"/>
          <w:highlight w:val="none"/>
        </w:rPr>
        <w:t>证明书到委托单位办理后续手续</w:t>
      </w:r>
      <w:r>
        <w:rPr>
          <w:rFonts w:hint="eastAsia" w:ascii="宋体" w:hAnsi="宋体" w:eastAsia="宋体" w:cs="宋体"/>
          <w:spacing w:val="6"/>
          <w:highlight w:val="none"/>
        </w:rPr>
        <w:t>。</w:t>
      </w:r>
    </w:p>
    <w:p>
      <w:pPr>
        <w:spacing w:line="360" w:lineRule="auto"/>
        <w:ind w:firstLine="552" w:firstLineChars="200"/>
        <w:rPr>
          <w:rFonts w:ascii="宋体" w:hAnsi="宋体" w:eastAsia="宋体" w:cs="宋体"/>
          <w:highlight w:val="none"/>
        </w:rPr>
      </w:pPr>
      <w:r>
        <w:rPr>
          <w:rFonts w:hint="eastAsia" w:ascii="宋体" w:hAnsi="宋体" w:eastAsia="宋体" w:cs="宋体"/>
          <w:spacing w:val="18"/>
          <w:highlight w:val="none"/>
        </w:rPr>
        <w:t>2</w:t>
      </w:r>
      <w:r>
        <w:rPr>
          <w:rFonts w:hint="eastAsia" w:ascii="宋体" w:hAnsi="宋体" w:eastAsia="宋体" w:cs="宋体"/>
          <w:spacing w:val="14"/>
          <w:highlight w:val="none"/>
        </w:rPr>
        <w:t>、</w:t>
      </w:r>
      <w:r>
        <w:rPr>
          <w:rFonts w:hint="eastAsia" w:ascii="宋体" w:hAnsi="宋体" w:eastAsia="宋体" w:cs="宋体"/>
          <w:spacing w:val="9"/>
          <w:highlight w:val="none"/>
        </w:rPr>
        <w:t>投标人拍卖(租)流卖或买受人（或承租人）最终毁约的，均视为不成交，不成交的项目委托</w:t>
      </w:r>
      <w:r>
        <w:rPr>
          <w:rFonts w:hint="eastAsia" w:ascii="宋体" w:hAnsi="宋体" w:eastAsia="宋体" w:cs="宋体"/>
          <w:spacing w:val="13"/>
          <w:highlight w:val="none"/>
        </w:rPr>
        <w:t>人</w:t>
      </w:r>
      <w:r>
        <w:rPr>
          <w:rFonts w:hint="eastAsia" w:ascii="宋体" w:hAnsi="宋体" w:eastAsia="宋体" w:cs="宋体"/>
          <w:spacing w:val="7"/>
          <w:highlight w:val="none"/>
        </w:rPr>
        <w:t>可继续拍卖或自行处置。</w:t>
      </w:r>
    </w:p>
    <w:p>
      <w:pPr>
        <w:spacing w:line="360" w:lineRule="auto"/>
        <w:ind w:left="417"/>
        <w:rPr>
          <w:rFonts w:ascii="宋体" w:hAnsi="宋体" w:eastAsia="宋体" w:cs="宋体"/>
          <w:highlight w:val="none"/>
        </w:rPr>
      </w:pPr>
      <w:r>
        <w:rPr>
          <w:rFonts w:hint="eastAsia" w:ascii="宋体" w:hAnsi="宋体" w:eastAsia="宋体" w:cs="宋体"/>
          <w:spacing w:val="16"/>
          <w:highlight w:val="none"/>
        </w:rPr>
        <w:t>3</w:t>
      </w:r>
      <w:r>
        <w:rPr>
          <w:rFonts w:hint="eastAsia" w:ascii="宋体" w:hAnsi="宋体" w:eastAsia="宋体" w:cs="宋体"/>
          <w:spacing w:val="11"/>
          <w:highlight w:val="none"/>
        </w:rPr>
        <w:t>、</w:t>
      </w:r>
      <w:r>
        <w:rPr>
          <w:rFonts w:hint="eastAsia" w:ascii="宋体" w:hAnsi="宋体" w:eastAsia="宋体" w:cs="宋体"/>
          <w:spacing w:val="8"/>
          <w:highlight w:val="none"/>
        </w:rPr>
        <w:t>投标人拍卖(租)成交价不低于委托单位提供的起拍价。</w:t>
      </w:r>
    </w:p>
    <w:p>
      <w:pPr>
        <w:spacing w:line="360" w:lineRule="auto"/>
        <w:ind w:firstLine="410"/>
        <w:rPr>
          <w:rFonts w:ascii="宋体" w:hAnsi="宋体" w:eastAsia="宋体" w:cs="宋体"/>
          <w:highlight w:val="none"/>
        </w:rPr>
      </w:pPr>
      <w:r>
        <w:rPr>
          <w:rFonts w:hint="eastAsia" w:ascii="宋体" w:hAnsi="宋体" w:eastAsia="宋体" w:cs="宋体"/>
          <w:spacing w:val="16"/>
          <w:highlight w:val="none"/>
        </w:rPr>
        <w:t>4、</w:t>
      </w:r>
      <w:r>
        <w:rPr>
          <w:rFonts w:hint="eastAsia" w:ascii="宋体" w:hAnsi="宋体" w:eastAsia="宋体" w:cs="宋体"/>
          <w:spacing w:val="10"/>
          <w:highlight w:val="none"/>
        </w:rPr>
        <w:t>由</w:t>
      </w:r>
      <w:r>
        <w:rPr>
          <w:rFonts w:hint="eastAsia" w:ascii="宋体" w:hAnsi="宋体" w:eastAsia="宋体" w:cs="宋体"/>
          <w:spacing w:val="8"/>
          <w:highlight w:val="none"/>
        </w:rPr>
        <w:t>买受人</w:t>
      </w:r>
      <w:r>
        <w:rPr>
          <w:rFonts w:hint="eastAsia" w:ascii="宋体" w:hAnsi="宋体" w:eastAsia="宋体" w:cs="宋体"/>
          <w:spacing w:val="9"/>
          <w:highlight w:val="none"/>
        </w:rPr>
        <w:t>（或承租人）</w:t>
      </w:r>
      <w:r>
        <w:rPr>
          <w:rFonts w:hint="eastAsia" w:ascii="宋体" w:hAnsi="宋体" w:eastAsia="宋体" w:cs="宋体"/>
          <w:spacing w:val="8"/>
          <w:highlight w:val="none"/>
        </w:rPr>
        <w:t>向中标人按中标下浮率支付佣金，买受人</w:t>
      </w:r>
      <w:r>
        <w:rPr>
          <w:rFonts w:hint="eastAsia" w:ascii="宋体" w:hAnsi="宋体" w:eastAsia="宋体" w:cs="宋体"/>
          <w:spacing w:val="9"/>
          <w:highlight w:val="none"/>
        </w:rPr>
        <w:t>（或承租人）</w:t>
      </w:r>
      <w:r>
        <w:rPr>
          <w:rFonts w:hint="eastAsia" w:ascii="宋体" w:hAnsi="宋体" w:eastAsia="宋体" w:cs="宋体"/>
          <w:spacing w:val="8"/>
          <w:highlight w:val="none"/>
        </w:rPr>
        <w:t>与委托单位完成合同签订后中标</w:t>
      </w:r>
      <w:r>
        <w:rPr>
          <w:rFonts w:hint="eastAsia" w:ascii="宋体" w:hAnsi="宋体" w:eastAsia="宋体" w:cs="宋体"/>
          <w:spacing w:val="12"/>
          <w:highlight w:val="none"/>
        </w:rPr>
        <w:t>人方可收</w:t>
      </w:r>
      <w:r>
        <w:rPr>
          <w:rFonts w:hint="eastAsia" w:ascii="宋体" w:hAnsi="宋体" w:eastAsia="宋体" w:cs="宋体"/>
          <w:spacing w:val="9"/>
          <w:highlight w:val="none"/>
        </w:rPr>
        <w:t>取</w:t>
      </w:r>
      <w:r>
        <w:rPr>
          <w:rFonts w:hint="eastAsia" w:ascii="宋体" w:hAnsi="宋体" w:eastAsia="宋体" w:cs="宋体"/>
          <w:spacing w:val="6"/>
          <w:highlight w:val="none"/>
        </w:rPr>
        <w:t>佣金，无论何方原因导致合同未签订，中标人不得收取拍卖佣金。若出现买受</w:t>
      </w:r>
      <w:r>
        <w:rPr>
          <w:rFonts w:hint="eastAsia" w:ascii="宋体" w:hAnsi="宋体" w:eastAsia="宋体" w:cs="宋体"/>
          <w:spacing w:val="12"/>
          <w:highlight w:val="none"/>
        </w:rPr>
        <w:t>人</w:t>
      </w:r>
      <w:r>
        <w:rPr>
          <w:rFonts w:hint="eastAsia" w:ascii="宋体" w:hAnsi="宋体" w:eastAsia="宋体" w:cs="宋体"/>
          <w:spacing w:val="9"/>
          <w:highlight w:val="none"/>
        </w:rPr>
        <w:t>（或承租人）</w:t>
      </w:r>
      <w:r>
        <w:rPr>
          <w:rFonts w:hint="eastAsia" w:ascii="宋体" w:hAnsi="宋体" w:eastAsia="宋体" w:cs="宋体"/>
          <w:spacing w:val="12"/>
          <w:highlight w:val="none"/>
        </w:rPr>
        <w:t>违约情</w:t>
      </w:r>
      <w:r>
        <w:rPr>
          <w:rFonts w:hint="eastAsia" w:ascii="宋体" w:hAnsi="宋体" w:eastAsia="宋体" w:cs="宋体"/>
          <w:spacing w:val="9"/>
          <w:highlight w:val="none"/>
        </w:rPr>
        <w:t>况</w:t>
      </w:r>
      <w:r>
        <w:rPr>
          <w:rFonts w:hint="eastAsia" w:ascii="宋体" w:hAnsi="宋体" w:eastAsia="宋体" w:cs="宋体"/>
          <w:spacing w:val="6"/>
          <w:highlight w:val="none"/>
        </w:rPr>
        <w:t>的，中标单位有义务协助委托方全额扣除买受人</w:t>
      </w:r>
      <w:r>
        <w:rPr>
          <w:rFonts w:hint="eastAsia" w:ascii="宋体" w:hAnsi="宋体" w:eastAsia="宋体" w:cs="宋体"/>
          <w:spacing w:val="9"/>
          <w:highlight w:val="none"/>
        </w:rPr>
        <w:t>（或承租人）</w:t>
      </w:r>
      <w:r>
        <w:rPr>
          <w:rFonts w:hint="eastAsia" w:ascii="宋体" w:hAnsi="宋体" w:eastAsia="宋体" w:cs="宋体"/>
          <w:spacing w:val="6"/>
          <w:highlight w:val="none"/>
        </w:rPr>
        <w:t>所缴纳的保证金，扣除中标人</w:t>
      </w:r>
      <w:r>
        <w:rPr>
          <w:rFonts w:hint="eastAsia" w:ascii="宋体" w:hAnsi="宋体" w:eastAsia="宋体" w:cs="宋体"/>
          <w:spacing w:val="8"/>
          <w:highlight w:val="none"/>
        </w:rPr>
        <w:t>相应服务费后剩余金额移交委托方。</w:t>
      </w:r>
    </w:p>
    <w:p>
      <w:pPr>
        <w:spacing w:line="360" w:lineRule="auto"/>
        <w:ind w:firstLine="524" w:firstLineChars="200"/>
        <w:rPr>
          <w:rFonts w:ascii="宋体" w:hAnsi="宋体" w:eastAsia="宋体" w:cs="宋体"/>
          <w:highlight w:val="none"/>
        </w:rPr>
      </w:pPr>
      <w:r>
        <w:rPr>
          <w:rFonts w:hint="eastAsia" w:ascii="宋体" w:hAnsi="宋体" w:eastAsia="宋体" w:cs="宋体"/>
          <w:spacing w:val="11"/>
          <w:highlight w:val="none"/>
        </w:rPr>
        <w:t>5、每次拍卖(租)前中标人向委托人提交拍卖(租)项目推广方案，要求方案主题思</w:t>
      </w:r>
      <w:r>
        <w:rPr>
          <w:rFonts w:hint="eastAsia" w:ascii="宋体" w:hAnsi="宋体" w:eastAsia="宋体" w:cs="宋体"/>
          <w:spacing w:val="4"/>
          <w:highlight w:val="none"/>
        </w:rPr>
        <w:t>想</w:t>
      </w:r>
      <w:r>
        <w:rPr>
          <w:rFonts w:hint="eastAsia" w:ascii="宋体" w:hAnsi="宋体" w:eastAsia="宋体" w:cs="宋体"/>
          <w:spacing w:val="16"/>
          <w:highlight w:val="none"/>
        </w:rPr>
        <w:t>明</w:t>
      </w:r>
      <w:r>
        <w:rPr>
          <w:rFonts w:hint="eastAsia" w:ascii="宋体" w:hAnsi="宋体" w:eastAsia="宋体" w:cs="宋体"/>
          <w:spacing w:val="14"/>
          <w:highlight w:val="none"/>
        </w:rPr>
        <w:t>确</w:t>
      </w:r>
      <w:r>
        <w:rPr>
          <w:rFonts w:hint="eastAsia" w:ascii="宋体" w:hAnsi="宋体" w:eastAsia="宋体" w:cs="宋体"/>
          <w:spacing w:val="8"/>
          <w:highlight w:val="none"/>
        </w:rPr>
        <w:t>，方案认真全面、具体客观、防范措施有实效、文本规范、有较强的可实际操作性，</w:t>
      </w:r>
      <w:r>
        <w:rPr>
          <w:rFonts w:hint="eastAsia" w:ascii="宋体" w:hAnsi="宋体" w:eastAsia="宋体" w:cs="宋体"/>
          <w:spacing w:val="4"/>
          <w:highlight w:val="none"/>
        </w:rPr>
        <w:t>同时方案中应明确广</w:t>
      </w:r>
      <w:r>
        <w:rPr>
          <w:rFonts w:hint="eastAsia" w:ascii="宋体" w:hAnsi="宋体" w:eastAsia="宋体" w:cs="宋体"/>
          <w:spacing w:val="3"/>
          <w:highlight w:val="none"/>
        </w:rPr>
        <w:t>告</w:t>
      </w:r>
      <w:r>
        <w:rPr>
          <w:rFonts w:hint="eastAsia" w:ascii="宋体" w:hAnsi="宋体" w:eastAsia="宋体" w:cs="宋体"/>
          <w:spacing w:val="2"/>
          <w:highlight w:val="none"/>
        </w:rPr>
        <w:t>宣传渠道。广告宣传至少包括以下渠道：现代快报或扬子晚报刊登公告，高炮、</w:t>
      </w:r>
      <w:r>
        <w:rPr>
          <w:rFonts w:hint="eastAsia" w:ascii="宋体" w:hAnsi="宋体" w:eastAsia="宋体" w:cs="宋体"/>
          <w:spacing w:val="12"/>
          <w:highlight w:val="none"/>
        </w:rPr>
        <w:t>电子显示</w:t>
      </w:r>
      <w:r>
        <w:rPr>
          <w:rFonts w:hint="eastAsia" w:ascii="宋体" w:hAnsi="宋体" w:eastAsia="宋体" w:cs="宋体"/>
          <w:spacing w:val="7"/>
          <w:highlight w:val="none"/>
        </w:rPr>
        <w:t>屏</w:t>
      </w:r>
      <w:r>
        <w:rPr>
          <w:rFonts w:hint="eastAsia" w:ascii="宋体" w:hAnsi="宋体" w:eastAsia="宋体" w:cs="宋体"/>
          <w:spacing w:val="6"/>
          <w:highlight w:val="none"/>
        </w:rPr>
        <w:t>、短信群发，项目现场及周边地区广告单页，公告张贴等。拍卖拍租活动的相</w:t>
      </w:r>
      <w:r>
        <w:rPr>
          <w:rFonts w:hint="eastAsia" w:ascii="宋体" w:hAnsi="宋体" w:eastAsia="宋体" w:cs="宋体"/>
          <w:spacing w:val="12"/>
          <w:highlight w:val="none"/>
        </w:rPr>
        <w:t>关广告方</w:t>
      </w:r>
      <w:r>
        <w:rPr>
          <w:rFonts w:hint="eastAsia" w:ascii="宋体" w:hAnsi="宋体" w:eastAsia="宋体" w:cs="宋体"/>
          <w:spacing w:val="7"/>
          <w:highlight w:val="none"/>
        </w:rPr>
        <w:t>案</w:t>
      </w:r>
      <w:r>
        <w:rPr>
          <w:rFonts w:hint="eastAsia" w:ascii="宋体" w:hAnsi="宋体" w:eastAsia="宋体" w:cs="宋体"/>
          <w:spacing w:val="6"/>
          <w:highlight w:val="none"/>
        </w:rPr>
        <w:t>及拍卖活动方案需经委托人确认后拍卖机构才可实施，广告费用及拍卖拍租活</w:t>
      </w:r>
      <w:r>
        <w:rPr>
          <w:rFonts w:hint="eastAsia" w:ascii="宋体" w:hAnsi="宋体" w:eastAsia="宋体" w:cs="宋体"/>
          <w:spacing w:val="8"/>
          <w:highlight w:val="none"/>
        </w:rPr>
        <w:t>动等一切费用由拍卖机构承担</w:t>
      </w:r>
      <w:r>
        <w:rPr>
          <w:rFonts w:hint="eastAsia" w:ascii="宋体" w:hAnsi="宋体" w:eastAsia="宋体" w:cs="宋体"/>
          <w:spacing w:val="6"/>
          <w:highlight w:val="none"/>
        </w:rPr>
        <w:t>。</w:t>
      </w:r>
    </w:p>
    <w:p>
      <w:pPr>
        <w:spacing w:line="360" w:lineRule="auto"/>
        <w:ind w:left="447"/>
        <w:rPr>
          <w:rFonts w:ascii="宋体" w:hAnsi="宋体" w:eastAsia="宋体" w:cs="宋体"/>
          <w:sz w:val="21"/>
          <w:highlight w:val="none"/>
        </w:rPr>
      </w:pPr>
      <w:r>
        <w:rPr>
          <w:rFonts w:hint="eastAsia" w:ascii="宋体" w:hAnsi="宋体" w:eastAsia="宋体" w:cs="宋体"/>
          <w:spacing w:val="10"/>
          <w:highlight w:val="none"/>
          <w:lang w:val="en-US" w:eastAsia="zh-CN"/>
        </w:rPr>
        <w:t>三</w:t>
      </w:r>
      <w:r>
        <w:rPr>
          <w:rFonts w:hint="eastAsia" w:ascii="宋体" w:hAnsi="宋体" w:eastAsia="宋体" w:cs="宋体"/>
          <w:spacing w:val="9"/>
          <w:highlight w:val="none"/>
        </w:rPr>
        <w:t>、</w:t>
      </w:r>
      <w:r>
        <w:rPr>
          <w:rFonts w:hint="eastAsia" w:ascii="宋体" w:hAnsi="宋体" w:eastAsia="宋体" w:cs="宋体"/>
          <w:spacing w:val="5"/>
          <w:highlight w:val="none"/>
        </w:rPr>
        <w:t>项目拍卖 (租) 数量</w:t>
      </w:r>
    </w:p>
    <w:p>
      <w:pPr>
        <w:spacing w:line="360" w:lineRule="auto"/>
        <w:ind w:left="3" w:firstLine="507"/>
        <w:rPr>
          <w:rFonts w:ascii="宋体" w:hAnsi="宋体" w:eastAsia="宋体" w:cs="宋体"/>
          <w:highlight w:val="none"/>
        </w:rPr>
      </w:pPr>
      <w:r>
        <w:rPr>
          <w:rFonts w:hint="eastAsia" w:ascii="宋体" w:hAnsi="宋体" w:eastAsia="宋体" w:cs="宋体"/>
          <w:spacing w:val="5"/>
          <w:highlight w:val="none"/>
        </w:rPr>
        <w:t>1、委托拍卖拍租项目的数量及清单由委托人于每次拍卖拍租前提供，拍卖拍租时间按委托人要求进行，具体拍卖拍租时间和拍卖拍租数量由委托人与中标人协商制定，中标人需无条件服从，且不得以此为由向招标人提出增加佣金报价。</w:t>
      </w:r>
    </w:p>
    <w:p>
      <w:pPr>
        <w:spacing w:line="360" w:lineRule="auto"/>
        <w:ind w:left="2" w:right="103" w:firstLine="492"/>
        <w:rPr>
          <w:rFonts w:ascii="宋体" w:hAnsi="宋体" w:eastAsia="宋体" w:cs="宋体"/>
          <w:highlight w:val="none"/>
        </w:rPr>
      </w:pPr>
      <w:r>
        <w:rPr>
          <w:rFonts w:hint="eastAsia" w:ascii="宋体" w:hAnsi="宋体" w:eastAsia="宋体" w:cs="宋体"/>
          <w:spacing w:val="3"/>
          <w:highlight w:val="none"/>
        </w:rPr>
        <w:t>2、中标后，委托人将拍卖(租)标的信息给中标单位，中标人应参照拍卖(租)</w:t>
      </w:r>
      <w:r>
        <w:rPr>
          <w:rFonts w:hint="eastAsia" w:ascii="宋体" w:hAnsi="宋体" w:eastAsia="宋体" w:cs="宋体"/>
          <w:highlight w:val="none"/>
        </w:rPr>
        <w:t>操</w:t>
      </w:r>
      <w:r>
        <w:rPr>
          <w:rFonts w:hint="eastAsia" w:ascii="宋体" w:hAnsi="宋体" w:eastAsia="宋体" w:cs="宋体"/>
          <w:spacing w:val="6"/>
          <w:highlight w:val="none"/>
        </w:rPr>
        <w:t>作事项执行</w:t>
      </w:r>
      <w:r>
        <w:rPr>
          <w:rFonts w:hint="eastAsia" w:ascii="宋体" w:hAnsi="宋体" w:eastAsia="宋体" w:cs="宋体"/>
          <w:spacing w:val="3"/>
          <w:highlight w:val="none"/>
        </w:rPr>
        <w:t>。中标人以委托单位提供的价格为起拍价。</w:t>
      </w:r>
    </w:p>
    <w:p>
      <w:pPr>
        <w:spacing w:line="360" w:lineRule="auto"/>
        <w:ind w:left="503"/>
        <w:rPr>
          <w:rFonts w:ascii="宋体" w:hAnsi="宋体" w:eastAsia="宋体" w:cs="宋体"/>
          <w:highlight w:val="none"/>
        </w:rPr>
      </w:pPr>
      <w:r>
        <w:rPr>
          <w:rFonts w:hint="eastAsia" w:ascii="宋体" w:hAnsi="宋体" w:eastAsia="宋体" w:cs="宋体"/>
          <w:spacing w:val="14"/>
          <w:position w:val="1"/>
          <w:highlight w:val="none"/>
          <w:lang w:val="en-US" w:eastAsia="zh-CN"/>
        </w:rPr>
        <w:t>四</w:t>
      </w:r>
      <w:r>
        <w:rPr>
          <w:rFonts w:hint="eastAsia" w:ascii="宋体" w:hAnsi="宋体" w:eastAsia="宋体" w:cs="宋体"/>
          <w:spacing w:val="8"/>
          <w:position w:val="1"/>
          <w:highlight w:val="none"/>
        </w:rPr>
        <w:t>、服务时间及地点</w:t>
      </w:r>
    </w:p>
    <w:p>
      <w:pPr>
        <w:spacing w:line="360" w:lineRule="auto"/>
        <w:ind w:left="428"/>
        <w:rPr>
          <w:rFonts w:ascii="宋体" w:hAnsi="宋体" w:eastAsia="宋体" w:cs="宋体"/>
          <w:highlight w:val="none"/>
        </w:rPr>
      </w:pPr>
      <w:r>
        <w:rPr>
          <w:rFonts w:hint="eastAsia" w:ascii="宋体" w:hAnsi="宋体" w:eastAsia="宋体" w:cs="宋体"/>
          <w:spacing w:val="6"/>
          <w:highlight w:val="none"/>
        </w:rPr>
        <w:t>1、服务时间：</w:t>
      </w:r>
      <w:r>
        <w:rPr>
          <w:rFonts w:hint="eastAsia" w:ascii="宋体" w:hAnsi="宋体" w:eastAsia="宋体" w:cs="宋体"/>
          <w:b/>
          <w:bCs/>
          <w:spacing w:val="6"/>
          <w:highlight w:val="none"/>
          <w:lang w:val="en-US" w:eastAsia="zh-CN"/>
        </w:rPr>
        <w:t>二</w:t>
      </w:r>
      <w:r>
        <w:rPr>
          <w:rFonts w:hint="eastAsia" w:ascii="宋体" w:hAnsi="宋体" w:eastAsia="宋体" w:cs="宋体"/>
          <w:b/>
          <w:bCs/>
          <w:spacing w:val="3"/>
          <w:highlight w:val="none"/>
        </w:rPr>
        <w:t>年 (2023年</w:t>
      </w:r>
      <w:r>
        <w:rPr>
          <w:rFonts w:hint="eastAsia" w:ascii="宋体" w:hAnsi="宋体" w:eastAsia="宋体" w:cs="宋体"/>
          <w:b/>
          <w:bCs/>
          <w:spacing w:val="3"/>
          <w:highlight w:val="none"/>
          <w:lang w:val="en-US" w:eastAsia="zh-CN"/>
        </w:rPr>
        <w:t>9</w:t>
      </w:r>
      <w:r>
        <w:rPr>
          <w:rFonts w:hint="eastAsia" w:ascii="宋体" w:hAnsi="宋体" w:eastAsia="宋体" w:cs="宋体"/>
          <w:b/>
          <w:bCs/>
          <w:spacing w:val="3"/>
          <w:highlight w:val="none"/>
        </w:rPr>
        <w:t>月—202</w:t>
      </w:r>
      <w:r>
        <w:rPr>
          <w:rFonts w:hint="eastAsia" w:ascii="宋体" w:hAnsi="宋体" w:eastAsia="宋体" w:cs="宋体"/>
          <w:b/>
          <w:bCs/>
          <w:spacing w:val="3"/>
          <w:highlight w:val="none"/>
          <w:lang w:val="en-US" w:eastAsia="zh-CN"/>
        </w:rPr>
        <w:t>5</w:t>
      </w:r>
      <w:r>
        <w:rPr>
          <w:rFonts w:hint="eastAsia" w:ascii="宋体" w:hAnsi="宋体" w:eastAsia="宋体" w:cs="宋体"/>
          <w:b/>
          <w:bCs/>
          <w:spacing w:val="3"/>
          <w:highlight w:val="none"/>
        </w:rPr>
        <w:t>年</w:t>
      </w:r>
      <w:r>
        <w:rPr>
          <w:rFonts w:hint="eastAsia" w:ascii="宋体" w:hAnsi="宋体" w:eastAsia="宋体" w:cs="宋体"/>
          <w:b/>
          <w:bCs/>
          <w:spacing w:val="3"/>
          <w:highlight w:val="none"/>
          <w:lang w:val="en-US" w:eastAsia="zh-CN"/>
        </w:rPr>
        <w:t>9</w:t>
      </w:r>
      <w:r>
        <w:rPr>
          <w:rFonts w:hint="eastAsia" w:ascii="宋体" w:hAnsi="宋体" w:eastAsia="宋体" w:cs="宋体"/>
          <w:b/>
          <w:bCs/>
          <w:spacing w:val="3"/>
          <w:highlight w:val="none"/>
        </w:rPr>
        <w:t>月)</w:t>
      </w:r>
    </w:p>
    <w:p>
      <w:pPr>
        <w:spacing w:line="360" w:lineRule="auto"/>
        <w:ind w:left="413"/>
        <w:rPr>
          <w:rFonts w:ascii="宋体" w:hAnsi="宋体" w:eastAsia="宋体" w:cs="宋体"/>
          <w:sz w:val="21"/>
          <w:highlight w:val="none"/>
        </w:rPr>
      </w:pPr>
      <w:r>
        <w:rPr>
          <w:rFonts w:hint="eastAsia" w:ascii="宋体" w:hAnsi="宋体" w:eastAsia="宋体" w:cs="宋体"/>
          <w:spacing w:val="16"/>
          <w:position w:val="2"/>
          <w:highlight w:val="none"/>
        </w:rPr>
        <w:t>2</w:t>
      </w:r>
      <w:r>
        <w:rPr>
          <w:rFonts w:hint="eastAsia" w:ascii="宋体" w:hAnsi="宋体" w:eastAsia="宋体" w:cs="宋体"/>
          <w:spacing w:val="14"/>
          <w:position w:val="2"/>
          <w:highlight w:val="none"/>
        </w:rPr>
        <w:t>、</w:t>
      </w:r>
      <w:r>
        <w:rPr>
          <w:rFonts w:hint="eastAsia" w:ascii="宋体" w:hAnsi="宋体" w:eastAsia="宋体" w:cs="宋体"/>
          <w:spacing w:val="8"/>
          <w:position w:val="2"/>
          <w:highlight w:val="none"/>
        </w:rPr>
        <w:t>服务地点：具体以招标人的要求为准。</w:t>
      </w:r>
    </w:p>
    <w:p>
      <w:pPr>
        <w:spacing w:line="360" w:lineRule="auto"/>
        <w:ind w:left="501"/>
        <w:rPr>
          <w:rFonts w:ascii="宋体" w:hAnsi="宋体" w:eastAsia="宋体" w:cs="宋体"/>
          <w:highlight w:val="none"/>
        </w:rPr>
      </w:pPr>
      <w:r>
        <w:rPr>
          <w:rFonts w:hint="eastAsia" w:ascii="宋体" w:hAnsi="宋体" w:eastAsia="宋体" w:cs="宋体"/>
          <w:spacing w:val="11"/>
          <w:highlight w:val="none"/>
          <w:lang w:val="en-US" w:eastAsia="zh-CN"/>
        </w:rPr>
        <w:t>五</w:t>
      </w:r>
      <w:r>
        <w:rPr>
          <w:rFonts w:hint="eastAsia" w:ascii="宋体" w:hAnsi="宋体" w:eastAsia="宋体" w:cs="宋体"/>
          <w:spacing w:val="7"/>
          <w:highlight w:val="none"/>
        </w:rPr>
        <w:t>、付款方式</w:t>
      </w:r>
    </w:p>
    <w:p>
      <w:pPr>
        <w:spacing w:line="360" w:lineRule="auto"/>
        <w:ind w:left="42" w:right="103" w:firstLine="457"/>
        <w:rPr>
          <w:rFonts w:ascii="宋体" w:hAnsi="宋体" w:eastAsia="宋体" w:cs="宋体"/>
          <w:highlight w:val="none"/>
        </w:rPr>
      </w:pPr>
      <w:r>
        <w:rPr>
          <w:rFonts w:hint="eastAsia" w:ascii="宋体" w:hAnsi="宋体" w:eastAsia="宋体" w:cs="宋体"/>
          <w:spacing w:val="6"/>
          <w:highlight w:val="none"/>
        </w:rPr>
        <w:t>中标人仅向买受人</w:t>
      </w:r>
      <w:r>
        <w:rPr>
          <w:rFonts w:hint="eastAsia" w:ascii="宋体" w:hAnsi="宋体" w:eastAsia="宋体" w:cs="宋体"/>
          <w:spacing w:val="9"/>
          <w:highlight w:val="none"/>
        </w:rPr>
        <w:t>（或承租人）</w:t>
      </w:r>
      <w:r>
        <w:rPr>
          <w:rFonts w:hint="eastAsia" w:ascii="宋体" w:hAnsi="宋体" w:eastAsia="宋体" w:cs="宋体"/>
          <w:spacing w:val="6"/>
          <w:highlight w:val="none"/>
        </w:rPr>
        <w:t>单向收取费用，招标人不支付费用；在招标过程中产生的相关费用，均由中标拍卖</w:t>
      </w:r>
      <w:r>
        <w:rPr>
          <w:rFonts w:hint="eastAsia" w:ascii="宋体" w:hAnsi="宋体" w:eastAsia="宋体" w:cs="宋体"/>
          <w:spacing w:val="6"/>
          <w:highlight w:val="none"/>
          <w:lang w:eastAsia="zh-CN"/>
        </w:rPr>
        <w:t>（</w:t>
      </w:r>
      <w:r>
        <w:rPr>
          <w:rFonts w:hint="eastAsia" w:ascii="宋体" w:hAnsi="宋体" w:eastAsia="宋体" w:cs="宋体"/>
          <w:spacing w:val="6"/>
          <w:highlight w:val="none"/>
        </w:rPr>
        <w:t>拍租</w:t>
      </w:r>
      <w:r>
        <w:rPr>
          <w:rFonts w:hint="eastAsia" w:ascii="宋体" w:hAnsi="宋体" w:eastAsia="宋体" w:cs="宋体"/>
          <w:spacing w:val="6"/>
          <w:highlight w:val="none"/>
          <w:lang w:eastAsia="zh-CN"/>
        </w:rPr>
        <w:t>）</w:t>
      </w:r>
      <w:r>
        <w:rPr>
          <w:rFonts w:hint="eastAsia" w:ascii="宋体" w:hAnsi="宋体" w:eastAsia="宋体" w:cs="宋体"/>
          <w:spacing w:val="6"/>
          <w:highlight w:val="none"/>
        </w:rPr>
        <w:t>人承担，招标人不承担。</w:t>
      </w:r>
    </w:p>
    <w:p>
      <w:pPr>
        <w:numPr>
          <w:ilvl w:val="0"/>
          <w:numId w:val="2"/>
        </w:numPr>
        <w:spacing w:line="360" w:lineRule="auto"/>
        <w:ind w:firstLine="504" w:firstLineChars="200"/>
        <w:outlineLvl w:val="0"/>
        <w:rPr>
          <w:rFonts w:hint="eastAsia" w:ascii="宋体" w:hAnsi="宋体" w:eastAsia="宋体" w:cs="宋体"/>
          <w:spacing w:val="6"/>
          <w:highlight w:val="none"/>
        </w:rPr>
      </w:pPr>
      <w:r>
        <w:rPr>
          <w:rFonts w:hint="eastAsia" w:ascii="宋体" w:hAnsi="宋体" w:eastAsia="宋体" w:cs="宋体"/>
          <w:spacing w:val="6"/>
          <w:highlight w:val="none"/>
          <w:lang w:val="en-US" w:eastAsia="zh-CN"/>
        </w:rPr>
        <w:t>收费标准</w:t>
      </w:r>
      <w:r>
        <w:rPr>
          <w:rFonts w:hint="eastAsia" w:ascii="宋体" w:hAnsi="宋体" w:eastAsia="宋体" w:cs="宋体"/>
          <w:spacing w:val="6"/>
          <w:highlight w:val="none"/>
        </w:rPr>
        <w:t>：</w:t>
      </w:r>
    </w:p>
    <w:p>
      <w:pPr>
        <w:spacing w:line="360" w:lineRule="auto"/>
        <w:ind w:firstLine="505"/>
        <w:rPr>
          <w:rFonts w:ascii="宋体" w:hAnsi="宋体" w:eastAsia="宋体" w:cs="宋体"/>
          <w:highlight w:val="none"/>
        </w:rPr>
      </w:pPr>
      <w:r>
        <w:rPr>
          <w:rFonts w:hint="eastAsia" w:ascii="宋体" w:hAnsi="宋体" w:eastAsia="宋体" w:cs="宋体"/>
          <w:highlight w:val="none"/>
          <w:lang w:val="en-US" w:eastAsia="zh-CN"/>
        </w:rPr>
        <w:t>招标人</w:t>
      </w:r>
      <w:r>
        <w:rPr>
          <w:rFonts w:hint="eastAsia" w:ascii="宋体" w:hAnsi="宋体" w:eastAsia="宋体" w:cs="宋体"/>
          <w:highlight w:val="none"/>
        </w:rPr>
        <w:t>设定最高收费/费率标准如下：</w:t>
      </w:r>
    </w:p>
    <w:tbl>
      <w:tblPr>
        <w:tblStyle w:val="14"/>
        <w:tblpPr w:vertAnchor="text"/>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01"/>
        <w:gridCol w:w="4317"/>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801" w:type="dxa"/>
            <w:tcMar>
              <w:left w:w="108" w:type="dxa"/>
              <w:right w:w="108" w:type="dxa"/>
            </w:tcMar>
            <w:vAlign w:val="center"/>
          </w:tcPr>
          <w:p>
            <w:pPr>
              <w:adjustRightInd w:val="0"/>
              <w:snapToGrid w:val="0"/>
              <w:jc w:val="center"/>
              <w:rPr>
                <w:rFonts w:ascii="宋体" w:hAnsi="宋体" w:eastAsia="宋体" w:cs="宋体"/>
                <w:b/>
                <w:bCs/>
                <w:highlight w:val="none"/>
              </w:rPr>
            </w:pPr>
            <w:r>
              <w:rPr>
                <w:rFonts w:hint="eastAsia" w:ascii="宋体" w:hAnsi="宋体" w:eastAsia="宋体" w:cs="宋体"/>
                <w:b/>
                <w:bCs/>
                <w:highlight w:val="none"/>
              </w:rPr>
              <w:t>档次</w:t>
            </w:r>
          </w:p>
        </w:tc>
        <w:tc>
          <w:tcPr>
            <w:tcW w:w="4317" w:type="dxa"/>
            <w:tcMar>
              <w:left w:w="108" w:type="dxa"/>
              <w:right w:w="108" w:type="dxa"/>
            </w:tcMar>
            <w:vAlign w:val="center"/>
          </w:tcPr>
          <w:p>
            <w:pPr>
              <w:adjustRightInd w:val="0"/>
              <w:snapToGrid w:val="0"/>
              <w:jc w:val="center"/>
              <w:rPr>
                <w:rFonts w:ascii="宋体" w:hAnsi="宋体" w:eastAsia="宋体" w:cs="宋体"/>
                <w:b/>
                <w:bCs/>
                <w:highlight w:val="none"/>
              </w:rPr>
            </w:pPr>
            <w:r>
              <w:rPr>
                <w:rFonts w:hint="eastAsia" w:ascii="宋体" w:hAnsi="宋体" w:eastAsia="宋体" w:cs="宋体"/>
                <w:b/>
                <w:bCs/>
                <w:highlight w:val="none"/>
              </w:rPr>
              <w:t>拍卖资产成交价格（万元）</w:t>
            </w:r>
          </w:p>
        </w:tc>
        <w:tc>
          <w:tcPr>
            <w:tcW w:w="3067" w:type="dxa"/>
            <w:tcMar>
              <w:left w:w="108" w:type="dxa"/>
              <w:right w:w="108" w:type="dxa"/>
            </w:tcMar>
            <w:vAlign w:val="center"/>
          </w:tcPr>
          <w:p>
            <w:pPr>
              <w:adjustRightInd w:val="0"/>
              <w:snapToGrid w:val="0"/>
              <w:jc w:val="center"/>
              <w:rPr>
                <w:rFonts w:ascii="宋体" w:hAnsi="宋体" w:eastAsia="宋体" w:cs="宋体"/>
                <w:b/>
                <w:bCs/>
                <w:highlight w:val="none"/>
              </w:rPr>
            </w:pPr>
            <w:r>
              <w:rPr>
                <w:rFonts w:hint="eastAsia" w:ascii="宋体" w:hAnsi="宋体" w:eastAsia="宋体" w:cs="宋体"/>
                <w:b/>
                <w:bCs/>
                <w:highlight w:val="none"/>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1801"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1</w:t>
            </w:r>
          </w:p>
        </w:tc>
        <w:tc>
          <w:tcPr>
            <w:tcW w:w="431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100以下（不含1</w:t>
            </w:r>
            <w:r>
              <w:rPr>
                <w:rFonts w:ascii="宋体" w:hAnsi="宋体" w:eastAsia="宋体" w:cs="宋体"/>
                <w:highlight w:val="none"/>
              </w:rPr>
              <w:t>00</w:t>
            </w:r>
            <w:r>
              <w:rPr>
                <w:rFonts w:hint="eastAsia" w:ascii="宋体" w:hAnsi="宋体" w:eastAsia="宋体" w:cs="宋体"/>
                <w:highlight w:val="none"/>
              </w:rPr>
              <w:t>）</w:t>
            </w:r>
          </w:p>
        </w:tc>
        <w:tc>
          <w:tcPr>
            <w:tcW w:w="306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801"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2</w:t>
            </w:r>
          </w:p>
        </w:tc>
        <w:tc>
          <w:tcPr>
            <w:tcW w:w="431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100-200（含100，下同）</w:t>
            </w:r>
          </w:p>
        </w:tc>
        <w:tc>
          <w:tcPr>
            <w:tcW w:w="306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801"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3</w:t>
            </w:r>
          </w:p>
        </w:tc>
        <w:tc>
          <w:tcPr>
            <w:tcW w:w="431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200-500</w:t>
            </w:r>
          </w:p>
        </w:tc>
        <w:tc>
          <w:tcPr>
            <w:tcW w:w="306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1801"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4</w:t>
            </w:r>
          </w:p>
        </w:tc>
        <w:tc>
          <w:tcPr>
            <w:tcW w:w="431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500-1000</w:t>
            </w:r>
          </w:p>
        </w:tc>
        <w:tc>
          <w:tcPr>
            <w:tcW w:w="306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801"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5</w:t>
            </w:r>
          </w:p>
        </w:tc>
        <w:tc>
          <w:tcPr>
            <w:tcW w:w="431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1000-5000</w:t>
            </w:r>
          </w:p>
        </w:tc>
        <w:tc>
          <w:tcPr>
            <w:tcW w:w="306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801"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6</w:t>
            </w:r>
          </w:p>
        </w:tc>
        <w:tc>
          <w:tcPr>
            <w:tcW w:w="431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5000-10000</w:t>
            </w:r>
          </w:p>
        </w:tc>
        <w:tc>
          <w:tcPr>
            <w:tcW w:w="306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801"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7</w:t>
            </w:r>
          </w:p>
        </w:tc>
        <w:tc>
          <w:tcPr>
            <w:tcW w:w="431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10000以上</w:t>
            </w:r>
          </w:p>
        </w:tc>
        <w:tc>
          <w:tcPr>
            <w:tcW w:w="306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1801" w:type="dxa"/>
            <w:tcMar>
              <w:left w:w="108" w:type="dxa"/>
              <w:right w:w="108" w:type="dxa"/>
            </w:tcMar>
            <w:vAlign w:val="center"/>
          </w:tcPr>
          <w:p>
            <w:pPr>
              <w:adjustRightInd w:val="0"/>
              <w:snapToGrid w:val="0"/>
              <w:jc w:val="center"/>
              <w:rPr>
                <w:rFonts w:ascii="宋体" w:hAnsi="宋体" w:eastAsia="宋体" w:cs="宋体"/>
                <w:b/>
                <w:bCs/>
                <w:highlight w:val="none"/>
              </w:rPr>
            </w:pPr>
            <w:r>
              <w:rPr>
                <w:rFonts w:hint="eastAsia" w:ascii="宋体" w:hAnsi="宋体" w:eastAsia="宋体" w:cs="宋体"/>
                <w:b/>
                <w:bCs/>
                <w:highlight w:val="none"/>
              </w:rPr>
              <w:t>档次</w:t>
            </w:r>
          </w:p>
        </w:tc>
        <w:tc>
          <w:tcPr>
            <w:tcW w:w="4317" w:type="dxa"/>
            <w:tcMar>
              <w:left w:w="108" w:type="dxa"/>
              <w:right w:w="108" w:type="dxa"/>
            </w:tcMar>
            <w:vAlign w:val="center"/>
          </w:tcPr>
          <w:p>
            <w:pPr>
              <w:adjustRightInd w:val="0"/>
              <w:snapToGrid w:val="0"/>
              <w:jc w:val="center"/>
              <w:rPr>
                <w:rFonts w:ascii="宋体" w:hAnsi="宋体" w:eastAsia="宋体" w:cs="宋体"/>
                <w:b/>
                <w:bCs/>
                <w:highlight w:val="none"/>
              </w:rPr>
            </w:pPr>
            <w:r>
              <w:rPr>
                <w:rFonts w:hint="eastAsia" w:ascii="宋体" w:hAnsi="宋体" w:eastAsia="宋体" w:cs="宋体"/>
                <w:b/>
                <w:bCs/>
                <w:highlight w:val="none"/>
              </w:rPr>
              <w:t>拍租资产成交年租金（万元）</w:t>
            </w:r>
          </w:p>
        </w:tc>
        <w:tc>
          <w:tcPr>
            <w:tcW w:w="3067" w:type="dxa"/>
            <w:tcMar>
              <w:left w:w="108" w:type="dxa"/>
              <w:right w:w="108" w:type="dxa"/>
            </w:tcMar>
            <w:vAlign w:val="center"/>
          </w:tcPr>
          <w:p>
            <w:pPr>
              <w:adjustRightInd w:val="0"/>
              <w:snapToGrid w:val="0"/>
              <w:jc w:val="center"/>
              <w:rPr>
                <w:rFonts w:ascii="宋体" w:hAnsi="宋体" w:eastAsia="宋体" w:cs="宋体"/>
                <w:b/>
                <w:bCs/>
                <w:highlight w:val="none"/>
              </w:rPr>
            </w:pPr>
            <w:r>
              <w:rPr>
                <w:rFonts w:hint="eastAsia" w:ascii="宋体" w:hAnsi="宋体" w:eastAsia="宋体" w:cs="宋体"/>
                <w:b/>
                <w:bCs/>
                <w:highlight w:val="none"/>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801" w:type="dxa"/>
            <w:tcMar>
              <w:left w:w="108" w:type="dxa"/>
              <w:right w:w="108" w:type="dxa"/>
            </w:tcMar>
            <w:vAlign w:val="center"/>
          </w:tcPr>
          <w:p>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8</w:t>
            </w:r>
          </w:p>
        </w:tc>
        <w:tc>
          <w:tcPr>
            <w:tcW w:w="431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10以下（不含1</w:t>
            </w:r>
            <w:r>
              <w:rPr>
                <w:rFonts w:ascii="宋体" w:hAnsi="宋体" w:eastAsia="宋体" w:cs="宋体"/>
                <w:highlight w:val="none"/>
              </w:rPr>
              <w:t>0</w:t>
            </w:r>
            <w:r>
              <w:rPr>
                <w:rFonts w:hint="eastAsia" w:ascii="宋体" w:hAnsi="宋体" w:eastAsia="宋体" w:cs="宋体"/>
                <w:highlight w:val="none"/>
              </w:rPr>
              <w:t>）</w:t>
            </w:r>
          </w:p>
        </w:tc>
        <w:tc>
          <w:tcPr>
            <w:tcW w:w="306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1801" w:type="dxa"/>
            <w:tcMar>
              <w:left w:w="108" w:type="dxa"/>
              <w:right w:w="108" w:type="dxa"/>
            </w:tcMar>
            <w:vAlign w:val="center"/>
          </w:tcPr>
          <w:p>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9</w:t>
            </w:r>
          </w:p>
        </w:tc>
        <w:tc>
          <w:tcPr>
            <w:tcW w:w="431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10-15（含10，下同）</w:t>
            </w:r>
          </w:p>
        </w:tc>
        <w:tc>
          <w:tcPr>
            <w:tcW w:w="306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1801" w:type="dxa"/>
            <w:tcMar>
              <w:left w:w="108" w:type="dxa"/>
              <w:right w:w="108" w:type="dxa"/>
            </w:tcMar>
            <w:vAlign w:val="center"/>
          </w:tcPr>
          <w:p>
            <w:pPr>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431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15-20</w:t>
            </w:r>
          </w:p>
        </w:tc>
        <w:tc>
          <w:tcPr>
            <w:tcW w:w="306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1801" w:type="dxa"/>
            <w:tcMar>
              <w:left w:w="108" w:type="dxa"/>
              <w:right w:w="108" w:type="dxa"/>
            </w:tcMar>
            <w:vAlign w:val="center"/>
          </w:tcPr>
          <w:p>
            <w:pPr>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11</w:t>
            </w:r>
          </w:p>
        </w:tc>
        <w:tc>
          <w:tcPr>
            <w:tcW w:w="431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20-50</w:t>
            </w:r>
          </w:p>
        </w:tc>
        <w:tc>
          <w:tcPr>
            <w:tcW w:w="306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801" w:type="dxa"/>
            <w:tcMar>
              <w:left w:w="108" w:type="dxa"/>
              <w:right w:w="108" w:type="dxa"/>
            </w:tcMar>
            <w:vAlign w:val="center"/>
          </w:tcPr>
          <w:p>
            <w:pPr>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12</w:t>
            </w:r>
          </w:p>
        </w:tc>
        <w:tc>
          <w:tcPr>
            <w:tcW w:w="431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50-100</w:t>
            </w:r>
          </w:p>
        </w:tc>
        <w:tc>
          <w:tcPr>
            <w:tcW w:w="306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1801" w:type="dxa"/>
            <w:tcMar>
              <w:left w:w="108" w:type="dxa"/>
              <w:right w:w="108" w:type="dxa"/>
            </w:tcMar>
            <w:vAlign w:val="center"/>
          </w:tcPr>
          <w:p>
            <w:pPr>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13</w:t>
            </w:r>
          </w:p>
        </w:tc>
        <w:tc>
          <w:tcPr>
            <w:tcW w:w="431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100-200</w:t>
            </w:r>
          </w:p>
        </w:tc>
        <w:tc>
          <w:tcPr>
            <w:tcW w:w="306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1801" w:type="dxa"/>
            <w:tcMar>
              <w:left w:w="108" w:type="dxa"/>
              <w:right w:w="108" w:type="dxa"/>
            </w:tcMar>
            <w:vAlign w:val="center"/>
          </w:tcPr>
          <w:p>
            <w:pPr>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14</w:t>
            </w:r>
          </w:p>
        </w:tc>
        <w:tc>
          <w:tcPr>
            <w:tcW w:w="431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200以上</w:t>
            </w:r>
          </w:p>
        </w:tc>
        <w:tc>
          <w:tcPr>
            <w:tcW w:w="306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0.15</w:t>
            </w:r>
          </w:p>
        </w:tc>
      </w:tr>
    </w:tbl>
    <w:p>
      <w:pPr>
        <w:spacing w:line="360" w:lineRule="auto"/>
        <w:ind w:firstLine="500" w:firstLineChars="200"/>
        <w:rPr>
          <w:rFonts w:ascii="宋体" w:hAnsi="宋体" w:eastAsia="宋体" w:cs="宋体"/>
          <w:spacing w:val="5"/>
          <w:highlight w:val="none"/>
        </w:rPr>
      </w:pPr>
      <w:r>
        <w:rPr>
          <w:rFonts w:hint="eastAsia" w:ascii="宋体" w:hAnsi="宋体" w:eastAsia="宋体" w:cs="宋体"/>
          <w:spacing w:val="5"/>
          <w:highlight w:val="none"/>
        </w:rPr>
        <w:t>说明：以上收费方式为按成交金额</w:t>
      </w:r>
      <w:r>
        <w:rPr>
          <w:rFonts w:hint="eastAsia" w:ascii="宋体" w:hAnsi="宋体" w:eastAsia="宋体" w:cs="宋体"/>
          <w:spacing w:val="5"/>
          <w:highlight w:val="none"/>
          <w:lang w:val="en-US" w:eastAsia="zh-CN"/>
        </w:rPr>
        <w:t>差额定律</w:t>
      </w:r>
      <w:r>
        <w:rPr>
          <w:rFonts w:hint="eastAsia" w:ascii="宋体" w:hAnsi="宋体" w:eastAsia="宋体" w:cs="宋体"/>
          <w:spacing w:val="5"/>
          <w:highlight w:val="none"/>
        </w:rPr>
        <w:t>累进计费。拍卖（租） 服务费由</w:t>
      </w:r>
      <w:r>
        <w:rPr>
          <w:rFonts w:hint="eastAsia" w:ascii="宋体" w:hAnsi="宋体" w:eastAsia="宋体" w:cs="宋体"/>
          <w:spacing w:val="5"/>
          <w:highlight w:val="none"/>
          <w:lang w:val="en-US" w:eastAsia="zh-CN"/>
        </w:rPr>
        <w:t>崇</w:t>
      </w:r>
      <w:r>
        <w:rPr>
          <w:rFonts w:hint="eastAsia" w:ascii="宋体" w:hAnsi="宋体" w:eastAsia="宋体" w:cs="宋体"/>
          <w:spacing w:val="5"/>
          <w:highlight w:val="none"/>
        </w:rPr>
        <w:t>川文旅公司资产买受人（</w:t>
      </w:r>
      <w:r>
        <w:rPr>
          <w:rFonts w:hint="eastAsia" w:ascii="宋体" w:hAnsi="宋体" w:eastAsia="宋体" w:cs="宋体"/>
          <w:spacing w:val="5"/>
          <w:highlight w:val="none"/>
          <w:lang w:val="en-US" w:eastAsia="zh-CN"/>
        </w:rPr>
        <w:t>或</w:t>
      </w:r>
      <w:r>
        <w:rPr>
          <w:rFonts w:hint="eastAsia" w:ascii="宋体" w:hAnsi="宋体" w:eastAsia="宋体" w:cs="宋体"/>
          <w:spacing w:val="5"/>
          <w:highlight w:val="none"/>
        </w:rPr>
        <w:t>承租人）支付。每次最低收费标准为1000元，最高收费不超过100万元。</w:t>
      </w:r>
    </w:p>
    <w:p>
      <w:pPr>
        <w:rPr>
          <w:rFonts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tabs>
          <w:tab w:val="left" w:pos="1050"/>
          <w:tab w:val="left" w:pos="2375"/>
          <w:tab w:val="center" w:pos="4818"/>
          <w:tab w:val="right" w:leader="dot" w:pos="9402"/>
        </w:tabs>
        <w:spacing w:before="312" w:beforeLines="100" w:line="360" w:lineRule="auto"/>
        <w:jc w:val="center"/>
        <w:outlineLvl w:val="0"/>
        <w:rPr>
          <w:rFonts w:ascii="宋体" w:hAnsi="宋体" w:eastAsia="宋体" w:cs="宋体"/>
          <w:b/>
          <w:bCs/>
          <w:sz w:val="32"/>
          <w:szCs w:val="32"/>
          <w:highlight w:val="none"/>
        </w:rPr>
      </w:pPr>
      <w:r>
        <w:rPr>
          <w:rFonts w:hint="eastAsia" w:ascii="宋体" w:hAnsi="宋体" w:eastAsia="宋体" w:cs="宋体"/>
          <w:b/>
          <w:bCs/>
          <w:sz w:val="32"/>
          <w:szCs w:val="32"/>
          <w:highlight w:val="none"/>
        </w:rPr>
        <w:t>第四章</w:t>
      </w:r>
      <w:bookmarkStart w:id="24" w:name="_Toc182848996"/>
      <w:r>
        <w:rPr>
          <w:rFonts w:hint="eastAsia" w:ascii="宋体" w:hAnsi="宋体" w:eastAsia="宋体" w:cs="宋体"/>
          <w:b/>
          <w:bCs/>
          <w:sz w:val="32"/>
          <w:szCs w:val="32"/>
          <w:highlight w:val="none"/>
        </w:rPr>
        <w:t xml:space="preserve"> 评标程序和方法</w:t>
      </w:r>
      <w:bookmarkEnd w:id="24"/>
    </w:p>
    <w:p>
      <w:pPr>
        <w:snapToGrid w:val="0"/>
        <w:spacing w:line="360" w:lineRule="auto"/>
        <w:ind w:firstLine="482" w:firstLineChars="200"/>
        <w:outlineLvl w:val="1"/>
        <w:rPr>
          <w:rFonts w:ascii="宋体" w:hAnsi="宋体" w:eastAsia="宋体" w:cs="宋体"/>
          <w:b/>
          <w:bCs/>
          <w:highlight w:val="none"/>
        </w:rPr>
      </w:pPr>
      <w:r>
        <w:rPr>
          <w:rFonts w:hint="eastAsia" w:ascii="宋体" w:hAnsi="宋体" w:eastAsia="宋体" w:cs="宋体"/>
          <w:b/>
          <w:bCs/>
          <w:highlight w:val="none"/>
        </w:rPr>
        <w:t>一、采购人委托采购代理机构组织招标</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1.本次招标由采购代理机构依法按相应的采购方式，组织项目的开标、评标。</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2.供应商的法定代表人或委托代理人须准时参加开标会。</w:t>
      </w:r>
    </w:p>
    <w:p>
      <w:pPr>
        <w:snapToGrid w:val="0"/>
        <w:spacing w:line="360" w:lineRule="auto"/>
        <w:ind w:firstLine="482" w:firstLineChars="200"/>
        <w:outlineLvl w:val="1"/>
        <w:rPr>
          <w:rFonts w:ascii="宋体" w:hAnsi="宋体" w:eastAsia="宋体" w:cs="宋体"/>
          <w:highlight w:val="none"/>
        </w:rPr>
      </w:pPr>
      <w:r>
        <w:rPr>
          <w:rFonts w:hint="eastAsia" w:ascii="宋体" w:hAnsi="宋体" w:eastAsia="宋体" w:cs="宋体"/>
          <w:b/>
          <w:bCs/>
          <w:highlight w:val="none"/>
        </w:rPr>
        <w:t>二、开标</w:t>
      </w:r>
    </w:p>
    <w:p>
      <w:pPr>
        <w:adjustRightInd w:val="0"/>
        <w:snapToGrid w:val="0"/>
        <w:spacing w:line="360" w:lineRule="auto"/>
        <w:ind w:firstLine="487" w:firstLineChars="202"/>
        <w:rPr>
          <w:rFonts w:ascii="宋体" w:hAnsi="宋体" w:eastAsia="宋体" w:cs="宋体"/>
          <w:b/>
          <w:bCs/>
          <w:highlight w:val="none"/>
        </w:rPr>
      </w:pPr>
      <w:bookmarkStart w:id="25" w:name="_Hlk45420790"/>
      <w:bookmarkEnd w:id="25"/>
      <w:r>
        <w:rPr>
          <w:rFonts w:hint="eastAsia" w:ascii="宋体" w:hAnsi="宋体" w:eastAsia="宋体" w:cs="宋体"/>
          <w:b/>
          <w:bCs/>
          <w:highlight w:val="none"/>
        </w:rPr>
        <w:t>1.投标人不足</w:t>
      </w:r>
      <w:r>
        <w:rPr>
          <w:rFonts w:hint="eastAsia" w:ascii="宋体" w:hAnsi="宋体" w:eastAsia="宋体" w:cs="宋体"/>
          <w:b/>
          <w:bCs/>
          <w:highlight w:val="none"/>
          <w:lang w:val="en-US" w:eastAsia="zh-CN"/>
        </w:rPr>
        <w:t>5</w:t>
      </w:r>
      <w:r>
        <w:rPr>
          <w:rFonts w:hint="eastAsia" w:ascii="宋体" w:hAnsi="宋体" w:eastAsia="宋体" w:cs="宋体"/>
          <w:b/>
          <w:bCs/>
          <w:highlight w:val="none"/>
        </w:rPr>
        <w:t>家的，不得开标。</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2.采购代理机构主持开标并记录，及时处理投标人代表提出的询问或回避申请。</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3.开标后投标人不得撤回投标。</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4.开标后，</w:t>
      </w:r>
      <w:bookmarkStart w:id="26" w:name="_Hlk56861475"/>
      <w:r>
        <w:rPr>
          <w:rFonts w:hint="eastAsia" w:ascii="宋体" w:hAnsi="宋体" w:eastAsia="宋体" w:cs="宋体"/>
          <w:highlight w:val="none"/>
        </w:rPr>
        <w:t>采购人委托</w:t>
      </w:r>
      <w:bookmarkEnd w:id="26"/>
      <w:r>
        <w:rPr>
          <w:rFonts w:hint="eastAsia" w:ascii="宋体" w:hAnsi="宋体" w:eastAsia="宋体" w:cs="宋体"/>
          <w:highlight w:val="none"/>
        </w:rPr>
        <w:t>评标委员会根据招标文件载明的资格审查要求，对供应商的资格进行审查（含信用信息审查），合格的投标人进入评标，参与项目的评审综合环节。资格审查要求的资格材料详见本“招标文件”第七章第二条（一）项“A资格后审材料文件”。</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5.资格审查时间：</w:t>
      </w:r>
      <w:r>
        <w:rPr>
          <w:rFonts w:hint="eastAsia" w:ascii="宋体" w:hAnsi="宋体" w:eastAsia="宋体" w:cs="宋体"/>
          <w:b/>
          <w:bCs/>
          <w:highlight w:val="none"/>
          <w:u w:val="thick" w:color="FF0000"/>
        </w:rPr>
        <w:t>开标后当即开始</w:t>
      </w:r>
      <w:r>
        <w:rPr>
          <w:rFonts w:hint="eastAsia" w:ascii="宋体" w:hAnsi="宋体" w:eastAsia="宋体" w:cs="宋体"/>
          <w:highlight w:val="none"/>
        </w:rPr>
        <w:t>，资格审查地点：同开标地点，如有变动另行通知。</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6.资格审查中包含对投标人的信用记录进行审查：</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（1）投标人存在不良信用记录的，其投标将被认定为投标无效。</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2）不良信用记录指：投标人在“信用中国”网站（www.creditchina.gov.cn）被列入失信被执行人、重大税收违法案件当事人名单，以及供应商因违法经营受到刑事处罚或者责令停产停业、吊销许可证或者执照等行政处罚。</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（3）采购人或采购代理机构将在投标截止后查询投标人的信用记录。</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（4）查询及记录方式：采购人或采购代理机构经办人将查询涉及的如网页、相关记录文件等打印、签字并存档备查。投标人不良信用记录以采购人或采购代理机构查证查询核实的结果为准。</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（5）在本招标文件规定的投标截止时间之后，涉有的查询网站信息或记录文件发生的任何变更均不再作为评标依据；投标人自行提供的与网站信息不一致的或其他证明材料亦不作为资格核对的依据。</w:t>
      </w:r>
    </w:p>
    <w:p>
      <w:pPr>
        <w:adjustRightInd w:val="0"/>
        <w:snapToGrid w:val="0"/>
        <w:spacing w:line="360" w:lineRule="auto"/>
        <w:ind w:firstLine="487" w:firstLineChars="202"/>
        <w:outlineLvl w:val="1"/>
        <w:rPr>
          <w:rFonts w:ascii="宋体" w:hAnsi="宋体" w:eastAsia="宋体" w:cs="宋体"/>
          <w:b/>
          <w:bCs/>
          <w:highlight w:val="none"/>
        </w:rPr>
      </w:pPr>
      <w:r>
        <w:rPr>
          <w:rFonts w:hint="eastAsia" w:ascii="宋体" w:hAnsi="宋体" w:eastAsia="宋体" w:cs="宋体"/>
          <w:b/>
          <w:bCs/>
          <w:highlight w:val="none"/>
        </w:rPr>
        <w:t>三、评标</w:t>
      </w:r>
    </w:p>
    <w:p>
      <w:pPr>
        <w:snapToGrid w:val="0"/>
        <w:spacing w:line="360" w:lineRule="auto"/>
        <w:ind w:firstLine="482" w:firstLineChars="200"/>
        <w:outlineLvl w:val="2"/>
        <w:rPr>
          <w:rFonts w:ascii="宋体" w:hAnsi="宋体" w:eastAsia="宋体" w:cs="宋体"/>
          <w:b/>
          <w:bCs/>
          <w:highlight w:val="none"/>
        </w:rPr>
      </w:pPr>
      <w:r>
        <w:rPr>
          <w:rFonts w:hint="eastAsia" w:ascii="宋体" w:hAnsi="宋体" w:eastAsia="宋体" w:cs="宋体"/>
          <w:b/>
          <w:bCs/>
          <w:highlight w:val="none"/>
        </w:rPr>
        <w:t>（一）评标事项</w:t>
      </w:r>
    </w:p>
    <w:p>
      <w:pPr>
        <w:snapToGrid w:val="0"/>
        <w:spacing w:line="360" w:lineRule="auto"/>
        <w:ind w:firstLine="482" w:firstLineChars="200"/>
        <w:rPr>
          <w:rFonts w:ascii="宋体" w:hAnsi="宋体" w:eastAsia="宋体" w:cs="宋体"/>
          <w:highlight w:val="none"/>
        </w:rPr>
      </w:pPr>
      <w:r>
        <w:rPr>
          <w:rFonts w:hint="eastAsia" w:ascii="宋体" w:hAnsi="宋体" w:eastAsia="宋体" w:cs="宋体"/>
          <w:b/>
          <w:bCs/>
          <w:highlight w:val="none"/>
        </w:rPr>
        <w:t>1.</w:t>
      </w:r>
      <w:bookmarkStart w:id="27" w:name="_Hlk45420967"/>
      <w:bookmarkEnd w:id="27"/>
      <w:r>
        <w:rPr>
          <w:rFonts w:hint="eastAsia" w:ascii="宋体" w:hAnsi="宋体" w:eastAsia="宋体" w:cs="宋体"/>
          <w:b/>
          <w:bCs/>
          <w:highlight w:val="none"/>
        </w:rPr>
        <w:t>符合资格要求的投标人不足</w:t>
      </w:r>
      <w:r>
        <w:rPr>
          <w:rFonts w:hint="eastAsia" w:ascii="宋体" w:hAnsi="宋体" w:eastAsia="宋体" w:cs="宋体"/>
          <w:b/>
          <w:bCs/>
          <w:highlight w:val="none"/>
          <w:lang w:val="en-US" w:eastAsia="zh-CN"/>
        </w:rPr>
        <w:t>5</w:t>
      </w:r>
      <w:r>
        <w:rPr>
          <w:rFonts w:hint="eastAsia" w:ascii="宋体" w:hAnsi="宋体" w:eastAsia="宋体" w:cs="宋体"/>
          <w:b/>
          <w:bCs/>
          <w:highlight w:val="none"/>
        </w:rPr>
        <w:t>家的，不得评标</w:t>
      </w:r>
      <w:r>
        <w:rPr>
          <w:rFonts w:hint="eastAsia" w:ascii="宋体" w:hAnsi="宋体" w:eastAsia="宋体" w:cs="宋体"/>
          <w:highlight w:val="none"/>
        </w:rPr>
        <w:t>。</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2.评标时间：</w:t>
      </w:r>
      <w:r>
        <w:rPr>
          <w:rFonts w:hint="eastAsia" w:ascii="宋体" w:hAnsi="宋体" w:eastAsia="宋体" w:cs="宋体"/>
          <w:b/>
          <w:bCs/>
          <w:highlight w:val="none"/>
          <w:u w:val="thick" w:color="FF0000"/>
        </w:rPr>
        <w:t>资审后当即开始</w:t>
      </w:r>
      <w:r>
        <w:rPr>
          <w:rFonts w:hint="eastAsia" w:ascii="宋体" w:hAnsi="宋体" w:eastAsia="宋体" w:cs="宋体"/>
          <w:highlight w:val="none"/>
        </w:rPr>
        <w:t>；评标地点：同开标地点，如有变动另行通知。</w:t>
      </w:r>
    </w:p>
    <w:p>
      <w:pPr>
        <w:adjustRightInd w:val="0"/>
        <w:snapToGrid w:val="0"/>
        <w:spacing w:line="360" w:lineRule="auto"/>
        <w:ind w:firstLine="484" w:firstLineChars="202"/>
        <w:rPr>
          <w:rFonts w:ascii="宋体" w:hAnsi="宋体" w:eastAsia="宋体" w:cs="宋体"/>
          <w:highlight w:val="none"/>
        </w:rPr>
      </w:pPr>
      <w:bookmarkStart w:id="28" w:name="_Hlk45421153"/>
      <w:bookmarkEnd w:id="28"/>
      <w:r>
        <w:rPr>
          <w:rFonts w:hint="eastAsia" w:ascii="宋体" w:hAnsi="宋体" w:eastAsia="宋体" w:cs="宋体"/>
          <w:highlight w:val="none"/>
        </w:rPr>
        <w:t>3.采购代理机构负责组织评标工作，并履行下列职责：</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（1）核对评审专家身份，对评审专家在采购活动中的职责履行情况予以记录，并及时将有关违法违规行为向有关部门报告。</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（2）宣布评标纪律。</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（3）公布投标人名单，告知评审专家应当回避的情形。</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（4）组织评标委员会推选评标组长，采购人代表不得担任组长。</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（5）在评标期间采取必要的通讯管理措施，保证评标活动不受外界干扰；除采购人代表、评标现场组织人员外，采购人的其他工作人员以及与评标工作无关的人员不得进入评标现场。</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（6）根据评标委员会的要求介绍采购相关政策法规、招标文件。</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（8）核对评标结果，有下列规定情形的，要求评标委员会复核或者书面说明理由，评标委员会拒绝的，则予以书面记录并向有关部门报告：</w:t>
      </w:r>
    </w:p>
    <w:p>
      <w:pPr>
        <w:adjustRightInd w:val="0"/>
        <w:snapToGrid w:val="0"/>
        <w:spacing w:line="360" w:lineRule="auto"/>
        <w:ind w:firstLine="720" w:firstLineChars="300"/>
        <w:rPr>
          <w:rFonts w:ascii="宋体" w:hAnsi="宋体" w:eastAsia="宋体" w:cs="宋体"/>
          <w:highlight w:val="none"/>
        </w:rPr>
      </w:pPr>
      <w:r>
        <w:rPr>
          <w:rFonts w:hint="eastAsia" w:ascii="宋体" w:hAnsi="宋体" w:eastAsia="宋体" w:cs="宋体"/>
          <w:highlight w:val="none"/>
        </w:rPr>
        <w:t>① 分值汇总计算错误的；</w:t>
      </w:r>
    </w:p>
    <w:p>
      <w:pPr>
        <w:adjustRightInd w:val="0"/>
        <w:snapToGrid w:val="0"/>
        <w:spacing w:line="360" w:lineRule="auto"/>
        <w:ind w:firstLine="720" w:firstLineChars="300"/>
        <w:rPr>
          <w:rFonts w:ascii="宋体" w:hAnsi="宋体" w:eastAsia="宋体" w:cs="宋体"/>
          <w:highlight w:val="none"/>
        </w:rPr>
      </w:pPr>
      <w:r>
        <w:rPr>
          <w:rFonts w:hint="eastAsia" w:ascii="宋体" w:hAnsi="宋体" w:eastAsia="宋体" w:cs="宋体"/>
          <w:highlight w:val="none"/>
        </w:rPr>
        <w:t>② 分项评分超出评分标准范围的；</w:t>
      </w:r>
    </w:p>
    <w:p>
      <w:pPr>
        <w:adjustRightInd w:val="0"/>
        <w:snapToGrid w:val="0"/>
        <w:spacing w:line="360" w:lineRule="auto"/>
        <w:ind w:firstLine="720" w:firstLineChars="300"/>
        <w:rPr>
          <w:rFonts w:ascii="宋体" w:hAnsi="宋体" w:eastAsia="宋体" w:cs="宋体"/>
          <w:highlight w:val="none"/>
        </w:rPr>
      </w:pPr>
      <w:r>
        <w:rPr>
          <w:rFonts w:hint="eastAsia" w:ascii="宋体" w:hAnsi="宋体" w:eastAsia="宋体" w:cs="宋体"/>
          <w:highlight w:val="none"/>
        </w:rPr>
        <w:t>③ 评标委员会成员对客观评审因素评分不一致的；</w:t>
      </w:r>
    </w:p>
    <w:p>
      <w:pPr>
        <w:adjustRightInd w:val="0"/>
        <w:snapToGrid w:val="0"/>
        <w:spacing w:line="360" w:lineRule="auto"/>
        <w:ind w:firstLine="720" w:firstLineChars="300"/>
        <w:rPr>
          <w:rFonts w:ascii="宋体" w:hAnsi="宋体" w:eastAsia="宋体" w:cs="宋体"/>
          <w:highlight w:val="none"/>
        </w:rPr>
      </w:pPr>
      <w:r>
        <w:rPr>
          <w:rFonts w:hint="eastAsia" w:ascii="宋体" w:hAnsi="宋体" w:eastAsia="宋体" w:cs="宋体"/>
          <w:highlight w:val="none"/>
        </w:rPr>
        <w:t>④ 经评标委员会认定评分畸高、畸低的。</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（9）处理与评标有关的其他事项。</w:t>
      </w:r>
    </w:p>
    <w:p>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4.评标委员会负责具体评标事务：</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（1）采购人依法成立评标委员会。评标委员会由</w:t>
      </w:r>
      <w:r>
        <w:rPr>
          <w:rFonts w:hint="eastAsia" w:ascii="宋体" w:hAnsi="宋体" w:eastAsia="宋体" w:cs="宋体"/>
          <w:highlight w:val="none"/>
          <w:lang w:val="en-US" w:eastAsia="zh-CN"/>
        </w:rPr>
        <w:t>3</w:t>
      </w:r>
      <w:r>
        <w:rPr>
          <w:rFonts w:hint="eastAsia" w:ascii="宋体" w:hAnsi="宋体" w:eastAsia="宋体" w:cs="宋体"/>
          <w:highlight w:val="none"/>
        </w:rPr>
        <w:t>人或</w:t>
      </w:r>
      <w:r>
        <w:rPr>
          <w:rFonts w:hint="eastAsia" w:ascii="宋体" w:hAnsi="宋体" w:eastAsia="宋体" w:cs="宋体"/>
          <w:highlight w:val="none"/>
          <w:lang w:val="en-US" w:eastAsia="zh-CN"/>
        </w:rPr>
        <w:t>3</w:t>
      </w:r>
      <w:r>
        <w:rPr>
          <w:rFonts w:hint="eastAsia" w:ascii="宋体" w:hAnsi="宋体" w:eastAsia="宋体" w:cs="宋体"/>
          <w:highlight w:val="none"/>
        </w:rPr>
        <w:t>人以上单数组成。</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w:t>
      </w:r>
      <w:r>
        <w:rPr>
          <w:rFonts w:hint="eastAsia" w:ascii="宋体" w:hAnsi="宋体" w:eastAsia="宋体" w:cs="宋体"/>
          <w:highlight w:val="none"/>
          <w:lang w:val="en-US" w:eastAsia="zh-CN"/>
        </w:rPr>
        <w:t>推荐</w:t>
      </w:r>
      <w:r>
        <w:rPr>
          <w:rFonts w:hint="eastAsia" w:ascii="宋体" w:hAnsi="宋体" w:eastAsia="宋体" w:cs="宋体"/>
          <w:highlight w:val="none"/>
        </w:rPr>
        <w:t>中标人。</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5.评标委员会成员独立履行以下职责与义务：</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（1）遵纪守法，客观、公正、廉洁地履行职责；</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（2）审查合格投标人的投标文件是否实质性响应招标文件要求，并做出评价；</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（3）按照招标文件规定的评标办法和评标标准进行评标，对评审意见承担个人责任；</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（4）可以要求投标人对投标文件有关事项做出解释或澄清；</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（5）对评标过程和结果，以及投标人的商业秘密保密；</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（6）配合相关部门的投诉处理工作；</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（7）配合采购人或采购代理机构答复投标人提出的质疑。</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6.除采购人代表、评标现场组织人员外，采购人的其他工作人员以及与评标工作无关的人员不得进入评标现场；有关人员对评标情况以及在评标过程中获悉的国家秘密、商业秘密负有保密责任。</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7.开标后直到公告项目中标结果发出中标通知书并授予中标人合同为止，凡属于评审、澄清、评价和比较投标的所有资料及有关授予合同等的相关信息，都不应向投标人或与评标无关的其他人泄露。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8.评审期间，合格投标人的投标文件仍有可能被评标委员会根据规定判为无效投标。</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9.在投标文件的评审、澄清、评价和比较的过程中，供应商对采购人和评标委员会成员有施加影响的任何行为，都将取消其投标资格。在授予合同的过程中，供应商对采购人和评标委员会成员有施加影响的任何行为，都将取消其中标资格。</w:t>
      </w:r>
    </w:p>
    <w:p>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10.评标委员会按招标文件规定的评标方法和标准进行详细评审后，由采购人授权评标委员会直接确定中标供应商；</w:t>
      </w:r>
      <w:r>
        <w:rPr>
          <w:rFonts w:hint="eastAsia" w:ascii="宋体" w:hAnsi="宋体" w:eastAsia="宋体" w:cs="宋体"/>
          <w:bCs/>
          <w:highlight w:val="none"/>
        </w:rPr>
        <w:t>评审工作完成后，由采购人按照规定向评审专家支付劳务报酬和异地评审差旅费，但不得向评审专家以外的其他人员支付评审劳务报酬</w:t>
      </w:r>
      <w:r>
        <w:rPr>
          <w:rFonts w:hint="eastAsia" w:ascii="宋体" w:hAnsi="宋体" w:eastAsia="宋体" w:cs="宋体"/>
          <w:highlight w:val="none"/>
        </w:rPr>
        <w:t>。</w:t>
      </w:r>
    </w:p>
    <w:p>
      <w:pPr>
        <w:snapToGrid w:val="0"/>
        <w:spacing w:line="360" w:lineRule="auto"/>
        <w:ind w:firstLine="482" w:firstLineChars="200"/>
        <w:outlineLvl w:val="2"/>
        <w:rPr>
          <w:rFonts w:ascii="宋体" w:hAnsi="宋体" w:eastAsia="宋体" w:cs="宋体"/>
          <w:b/>
          <w:bCs/>
          <w:highlight w:val="none"/>
        </w:rPr>
      </w:pPr>
      <w:r>
        <w:rPr>
          <w:rFonts w:hint="eastAsia" w:ascii="宋体" w:hAnsi="宋体" w:eastAsia="宋体" w:cs="宋体"/>
          <w:b/>
          <w:bCs/>
          <w:highlight w:val="none"/>
        </w:rPr>
        <w:t>（二）评标方法和程序</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1.本项目采用</w:t>
      </w:r>
      <w:r>
        <w:rPr>
          <w:rFonts w:hint="eastAsia" w:ascii="宋体" w:hAnsi="宋体" w:eastAsia="宋体" w:cs="宋体"/>
          <w:b/>
          <w:highlight w:val="none"/>
          <w:u w:val="single"/>
        </w:rPr>
        <w:t>综合评分法</w:t>
      </w:r>
      <w:r>
        <w:rPr>
          <w:rFonts w:hint="eastAsia" w:ascii="宋体" w:hAnsi="宋体" w:eastAsia="宋体" w:cs="宋体"/>
          <w:highlight w:val="none"/>
        </w:rPr>
        <w:t>，即指投标文件满足本项目招标文件全部实质性要求，且按照评审因素的量化指标，经评审后综合得分由高到低排名前三名的投标人推荐为中标人的评标方法。</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3.评标委员会严格按照招标文件规定的要求、条件、评分标准，对投标人所提供的完整计划标的物的科学性、可行性、产品质量、服务质量的保证及承诺等实质性响应内容进行比较评价。</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4.对投标文件的评审判定，只依据投标文件内容本身，不依靠开标后任何外来证明文件。</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b/>
          <w:highlight w:val="none"/>
        </w:rPr>
        <w:t>评标程序</w:t>
      </w:r>
      <w:r>
        <w:rPr>
          <w:rFonts w:hint="eastAsia" w:ascii="宋体" w:hAnsi="宋体" w:eastAsia="宋体" w:cs="宋体"/>
          <w:highlight w:val="none"/>
        </w:rPr>
        <w:t>：</w:t>
      </w:r>
    </w:p>
    <w:p>
      <w:pPr>
        <w:snapToGrid w:val="0"/>
        <w:spacing w:line="360" w:lineRule="auto"/>
        <w:ind w:firstLine="487" w:firstLineChars="202"/>
        <w:rPr>
          <w:rFonts w:ascii="宋体" w:hAnsi="宋体" w:eastAsia="宋体" w:cs="宋体"/>
          <w:b/>
          <w:highlight w:val="none"/>
        </w:rPr>
      </w:pPr>
      <w:r>
        <w:rPr>
          <w:rFonts w:hint="eastAsia" w:ascii="宋体" w:hAnsi="宋体" w:eastAsia="宋体" w:cs="宋体"/>
          <w:b/>
          <w:highlight w:val="none"/>
        </w:rPr>
        <w:t>资格符合性评审——商务技术标评审——价格标评审——确定中标人。</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（1）本次资格审查采用资格后审，各投标人资格审查通过后方能进入商务技术标的评标环节。</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（2）商务技术标评审评分结束后，再开价格标。</w:t>
      </w:r>
    </w:p>
    <w:p>
      <w:pPr>
        <w:snapToGrid w:val="0"/>
        <w:spacing w:line="360" w:lineRule="auto"/>
        <w:ind w:firstLine="484" w:firstLineChars="202"/>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eastAsia="宋体" w:cs="宋体"/>
          <w:b/>
          <w:bCs/>
          <w:highlight w:val="none"/>
        </w:rPr>
        <w:t>本次项目的商务技术</w:t>
      </w:r>
      <w:r>
        <w:rPr>
          <w:rFonts w:hint="eastAsia" w:ascii="宋体" w:hAnsi="宋体" w:eastAsia="宋体" w:cs="宋体"/>
          <w:b/>
          <w:bCs/>
          <w:highlight w:val="none"/>
          <w:lang w:val="en-US" w:eastAsia="zh-CN"/>
        </w:rPr>
        <w:t>标</w:t>
      </w:r>
      <w:r>
        <w:rPr>
          <w:rFonts w:hint="eastAsia" w:ascii="宋体" w:hAnsi="宋体" w:eastAsia="宋体" w:cs="宋体"/>
          <w:b/>
          <w:bCs/>
          <w:highlight w:val="none"/>
        </w:rPr>
        <w:t>和</w:t>
      </w:r>
      <w:r>
        <w:rPr>
          <w:rFonts w:hint="eastAsia" w:ascii="宋体" w:hAnsi="宋体" w:eastAsia="宋体" w:cs="宋体"/>
          <w:b/>
          <w:bCs/>
          <w:highlight w:val="none"/>
          <w:lang w:val="en-US" w:eastAsia="zh-CN"/>
        </w:rPr>
        <w:t>价格标</w:t>
      </w:r>
      <w:r>
        <w:rPr>
          <w:rFonts w:hint="eastAsia" w:ascii="宋体" w:hAnsi="宋体" w:eastAsia="宋体" w:cs="宋体"/>
          <w:b/>
          <w:bCs/>
          <w:highlight w:val="none"/>
        </w:rPr>
        <w:t>评审总分值为100分。</w:t>
      </w:r>
      <w:r>
        <w:rPr>
          <w:rFonts w:hint="eastAsia" w:ascii="宋体" w:hAnsi="宋体" w:eastAsia="宋体" w:cs="宋体"/>
          <w:highlight w:val="none"/>
        </w:rPr>
        <w:t>两部分评审因素比重如下：</w:t>
      </w:r>
    </w:p>
    <w:p>
      <w:pPr>
        <w:snapToGrid w:val="0"/>
        <w:spacing w:line="360" w:lineRule="auto"/>
        <w:ind w:firstLine="484" w:firstLineChars="202"/>
        <w:rPr>
          <w:rFonts w:hint="eastAsia" w:ascii="宋体" w:hAnsi="宋体" w:eastAsia="宋体" w:cs="宋体"/>
          <w:highlight w:val="none"/>
        </w:rPr>
      </w:pPr>
      <w:r>
        <w:rPr>
          <w:rFonts w:hint="eastAsia" w:ascii="宋体" w:hAnsi="宋体" w:eastAsia="宋体" w:cs="宋体"/>
          <w:highlight w:val="none"/>
        </w:rPr>
        <w:t>商务技术</w:t>
      </w:r>
      <w:r>
        <w:rPr>
          <w:rFonts w:hint="eastAsia" w:ascii="宋体" w:hAnsi="宋体" w:eastAsia="宋体" w:cs="宋体"/>
          <w:highlight w:val="none"/>
          <w:lang w:val="en-US" w:eastAsia="zh-CN"/>
        </w:rPr>
        <w:t>标</w:t>
      </w:r>
      <w:r>
        <w:rPr>
          <w:rFonts w:hint="eastAsia" w:ascii="宋体" w:hAnsi="宋体" w:eastAsia="宋体" w:cs="宋体"/>
          <w:highlight w:val="none"/>
        </w:rPr>
        <w:t>分值占总分值的比重为</w:t>
      </w:r>
      <w:r>
        <w:rPr>
          <w:rFonts w:hint="eastAsia" w:ascii="宋体" w:hAnsi="宋体" w:eastAsia="宋体" w:cs="宋体"/>
          <w:b/>
          <w:bCs/>
          <w:highlight w:val="none"/>
          <w:u w:val="single"/>
          <w:lang w:val="en-US" w:eastAsia="zh-CN"/>
        </w:rPr>
        <w:t>80</w:t>
      </w:r>
      <w:r>
        <w:rPr>
          <w:rFonts w:hint="eastAsia" w:ascii="宋体" w:hAnsi="宋体" w:eastAsia="宋体" w:cs="宋体"/>
          <w:b/>
          <w:bCs/>
          <w:highlight w:val="none"/>
          <w:u w:val="single"/>
        </w:rPr>
        <w:t>%（权重）</w:t>
      </w:r>
      <w:r>
        <w:rPr>
          <w:rFonts w:hint="eastAsia" w:ascii="宋体" w:hAnsi="宋体" w:eastAsia="宋体" w:cs="宋体"/>
          <w:highlight w:val="none"/>
        </w:rPr>
        <w:t>（四舍五入保留两位小数）；</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lang w:val="en-US" w:eastAsia="zh-CN"/>
        </w:rPr>
        <w:t>价格标</w:t>
      </w:r>
      <w:r>
        <w:rPr>
          <w:rFonts w:hint="eastAsia" w:ascii="宋体" w:hAnsi="宋体" w:eastAsia="宋体" w:cs="宋体"/>
          <w:highlight w:val="none"/>
        </w:rPr>
        <w:t>分值占总分值的比重为</w:t>
      </w:r>
      <w:r>
        <w:rPr>
          <w:rFonts w:hint="eastAsia" w:ascii="宋体" w:hAnsi="宋体" w:eastAsia="宋体" w:cs="宋体"/>
          <w:b/>
          <w:bCs/>
          <w:highlight w:val="none"/>
          <w:u w:val="single"/>
          <w:lang w:val="en-US" w:eastAsia="zh-CN"/>
        </w:rPr>
        <w:t>20</w:t>
      </w:r>
      <w:r>
        <w:rPr>
          <w:rFonts w:hint="eastAsia" w:ascii="宋体" w:hAnsi="宋体" w:eastAsia="宋体" w:cs="宋体"/>
          <w:b/>
          <w:bCs/>
          <w:highlight w:val="none"/>
          <w:u w:val="single"/>
        </w:rPr>
        <w:t>%（权重）</w:t>
      </w:r>
      <w:r>
        <w:rPr>
          <w:rFonts w:hint="eastAsia" w:ascii="宋体" w:hAnsi="宋体" w:eastAsia="宋体" w:cs="宋体"/>
          <w:highlight w:val="none"/>
        </w:rPr>
        <w:t>（四舍五入保留两位小数）；</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7.评标委员会评委独立对每个进入打分程序的有效投标人的投标文件商务技术标以打分的形式进行评审和评价。</w:t>
      </w:r>
    </w:p>
    <w:p>
      <w:pPr>
        <w:snapToGrid w:val="0"/>
        <w:spacing w:line="360" w:lineRule="auto"/>
        <w:ind w:firstLine="487" w:firstLineChars="202"/>
        <w:rPr>
          <w:rFonts w:hint="eastAsia" w:ascii="宋体" w:hAnsi="宋体" w:eastAsia="宋体" w:cs="宋体"/>
          <w:b/>
          <w:bCs/>
          <w:highlight w:val="none"/>
        </w:rPr>
      </w:pPr>
      <w:r>
        <w:rPr>
          <w:rFonts w:hint="eastAsia" w:ascii="宋体" w:hAnsi="宋体" w:eastAsia="宋体" w:cs="宋体"/>
          <w:b/>
          <w:bCs/>
          <w:highlight w:val="none"/>
        </w:rPr>
        <w:t>8.</w:t>
      </w:r>
      <w:r>
        <w:rPr>
          <w:rFonts w:hint="eastAsia" w:ascii="宋体" w:hAnsi="宋体" w:eastAsia="宋体" w:cs="宋体"/>
          <w:b/>
          <w:bCs/>
          <w:highlight w:val="none"/>
          <w:lang w:val="en-US" w:eastAsia="zh-CN"/>
        </w:rPr>
        <w:t>商务</w:t>
      </w:r>
      <w:r>
        <w:rPr>
          <w:rFonts w:hint="eastAsia" w:ascii="宋体" w:hAnsi="宋体" w:eastAsia="宋体" w:cs="宋体"/>
          <w:b/>
          <w:bCs/>
          <w:highlight w:val="none"/>
        </w:rPr>
        <w:t>技术标得分按所有评委评分的算术平均值计算，分值四舍五入保留两位小数。</w:t>
      </w:r>
    </w:p>
    <w:p>
      <w:pPr>
        <w:snapToGrid w:val="0"/>
        <w:spacing w:line="360" w:lineRule="auto"/>
        <w:ind w:firstLine="487" w:firstLineChars="202"/>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9、投标人的价格标评审得分直接计算取得，并与其商务技术标得分相加为该投标人的综合得分（四舍五入保留两位小数）。</w:t>
      </w:r>
    </w:p>
    <w:p>
      <w:pPr>
        <w:snapToGrid w:val="0"/>
        <w:spacing w:line="360" w:lineRule="auto"/>
        <w:ind w:firstLine="487" w:firstLineChars="202"/>
        <w:rPr>
          <w:rFonts w:ascii="宋体" w:hAnsi="宋体" w:eastAsia="宋体" w:cs="宋体"/>
          <w:b/>
          <w:bCs/>
          <w:highlight w:val="none"/>
        </w:rPr>
      </w:pPr>
      <w:r>
        <w:rPr>
          <w:rFonts w:hint="eastAsia" w:ascii="宋体" w:hAnsi="宋体" w:eastAsia="宋体" w:cs="宋体"/>
          <w:b/>
          <w:bCs/>
          <w:highlight w:val="none"/>
          <w:lang w:val="en-US" w:eastAsia="zh-CN"/>
        </w:rPr>
        <w:t>10、</w:t>
      </w:r>
      <w:r>
        <w:rPr>
          <w:rFonts w:hint="eastAsia" w:ascii="宋体" w:hAnsi="宋体" w:eastAsia="宋体" w:cs="宋体"/>
          <w:b/>
          <w:bCs/>
          <w:highlight w:val="none"/>
        </w:rPr>
        <w:t>评标委员会按照最终得分由高到低的顺序确定</w:t>
      </w:r>
      <w:r>
        <w:rPr>
          <w:rFonts w:hint="eastAsia" w:ascii="宋体" w:hAnsi="宋体" w:eastAsia="宋体" w:cs="宋体"/>
          <w:b/>
          <w:bCs/>
          <w:highlight w:val="none"/>
          <w:lang w:val="en-US" w:eastAsia="zh-CN"/>
        </w:rPr>
        <w:t>3</w:t>
      </w:r>
      <w:r>
        <w:rPr>
          <w:rFonts w:hint="eastAsia" w:ascii="宋体" w:hAnsi="宋体" w:eastAsia="宋体" w:cs="宋体"/>
          <w:b/>
          <w:bCs/>
          <w:highlight w:val="none"/>
        </w:rPr>
        <w:t>名中标候选人，前</w:t>
      </w:r>
      <w:r>
        <w:rPr>
          <w:rFonts w:hint="eastAsia" w:ascii="宋体" w:hAnsi="宋体" w:eastAsia="宋体" w:cs="宋体"/>
          <w:b/>
          <w:bCs/>
          <w:highlight w:val="none"/>
          <w:lang w:val="en-US" w:eastAsia="zh-CN"/>
        </w:rPr>
        <w:t>3</w:t>
      </w:r>
      <w:r>
        <w:rPr>
          <w:rFonts w:hint="eastAsia" w:ascii="宋体" w:hAnsi="宋体" w:eastAsia="宋体" w:cs="宋体"/>
          <w:b/>
          <w:bCs/>
          <w:highlight w:val="none"/>
        </w:rPr>
        <w:t>名中标候选人单位原则上为中标</w:t>
      </w:r>
      <w:r>
        <w:rPr>
          <w:rFonts w:hint="eastAsia" w:ascii="宋体" w:hAnsi="宋体" w:eastAsia="宋体" w:cs="宋体"/>
          <w:b/>
          <w:bCs/>
          <w:highlight w:val="none"/>
          <w:lang w:val="en-US" w:eastAsia="zh-CN"/>
        </w:rPr>
        <w:t>人</w:t>
      </w:r>
      <w:r>
        <w:rPr>
          <w:rFonts w:hint="eastAsia" w:ascii="宋体" w:hAnsi="宋体" w:eastAsia="宋体" w:cs="宋体"/>
          <w:b/>
          <w:bCs/>
          <w:highlight w:val="none"/>
        </w:rPr>
        <w:t>，中标价为</w:t>
      </w:r>
      <w:r>
        <w:rPr>
          <w:rFonts w:hint="eastAsia" w:ascii="宋体" w:hAnsi="宋体" w:eastAsia="宋体" w:cs="宋体"/>
          <w:b/>
          <w:bCs/>
          <w:highlight w:val="none"/>
          <w:lang w:val="en-US" w:eastAsia="zh-CN"/>
        </w:rPr>
        <w:t>3名中标人中下浮最多的投标报价</w:t>
      </w:r>
      <w:r>
        <w:rPr>
          <w:rFonts w:hint="eastAsia" w:ascii="宋体" w:hAnsi="宋体" w:eastAsia="宋体" w:cs="宋体"/>
          <w:b/>
          <w:bCs/>
          <w:highlight w:val="none"/>
        </w:rPr>
        <w:t>。</w:t>
      </w:r>
      <w:r>
        <w:rPr>
          <w:rFonts w:hint="eastAsia" w:ascii="宋体" w:hAnsi="宋体" w:eastAsia="宋体" w:cs="宋体"/>
          <w:b/>
          <w:bCs/>
          <w:highlight w:val="none"/>
          <w:lang w:eastAsia="zh-CN"/>
        </w:rPr>
        <w:t>【</w:t>
      </w:r>
      <w:r>
        <w:rPr>
          <w:rFonts w:hint="eastAsia" w:ascii="宋体" w:hAnsi="宋体" w:eastAsia="宋体" w:cs="宋体"/>
          <w:b/>
          <w:bCs/>
          <w:highlight w:val="none"/>
        </w:rPr>
        <w:t>如有效投标供应商大于等于</w:t>
      </w:r>
      <w:r>
        <w:rPr>
          <w:rFonts w:hint="eastAsia" w:ascii="宋体" w:hAnsi="宋体" w:eastAsia="宋体" w:cs="宋体"/>
          <w:b/>
          <w:bCs/>
          <w:highlight w:val="none"/>
          <w:lang w:val="en-US" w:eastAsia="zh-CN"/>
        </w:rPr>
        <w:t>5</w:t>
      </w:r>
      <w:r>
        <w:rPr>
          <w:rFonts w:hint="eastAsia" w:ascii="宋体" w:hAnsi="宋体" w:eastAsia="宋体" w:cs="宋体"/>
          <w:b/>
          <w:bCs/>
          <w:highlight w:val="none"/>
        </w:rPr>
        <w:t>家，则取最终得分由高到低排名的前</w:t>
      </w:r>
      <w:r>
        <w:rPr>
          <w:rFonts w:hint="eastAsia" w:ascii="宋体" w:hAnsi="宋体" w:eastAsia="宋体" w:cs="宋体"/>
          <w:b/>
          <w:bCs/>
          <w:highlight w:val="none"/>
          <w:lang w:val="en-US" w:eastAsia="zh-CN"/>
        </w:rPr>
        <w:t>3</w:t>
      </w:r>
      <w:r>
        <w:rPr>
          <w:rFonts w:hint="eastAsia" w:ascii="宋体" w:hAnsi="宋体" w:eastAsia="宋体" w:cs="宋体"/>
          <w:b/>
          <w:bCs/>
          <w:highlight w:val="none"/>
        </w:rPr>
        <w:t>名为中标人；如有效投标人少于</w:t>
      </w:r>
      <w:r>
        <w:rPr>
          <w:rFonts w:hint="eastAsia" w:ascii="宋体" w:hAnsi="宋体" w:eastAsia="宋体" w:cs="宋体"/>
          <w:b/>
          <w:bCs/>
          <w:highlight w:val="none"/>
          <w:lang w:val="en-US" w:eastAsia="zh-CN"/>
        </w:rPr>
        <w:t>5</w:t>
      </w:r>
      <w:r>
        <w:rPr>
          <w:rFonts w:hint="eastAsia" w:ascii="宋体" w:hAnsi="宋体" w:eastAsia="宋体" w:cs="宋体"/>
          <w:b/>
          <w:bCs/>
          <w:highlight w:val="none"/>
        </w:rPr>
        <w:t>家，则该项目作废标（流标）处理</w:t>
      </w:r>
      <w:r>
        <w:rPr>
          <w:rFonts w:hint="eastAsia" w:ascii="宋体" w:hAnsi="宋体" w:eastAsia="宋体" w:cs="宋体"/>
          <w:b/>
          <w:bCs/>
          <w:highlight w:val="none"/>
          <w:lang w:eastAsia="zh-CN"/>
        </w:rPr>
        <w:t>】。</w:t>
      </w:r>
      <w:r>
        <w:rPr>
          <w:rFonts w:hint="eastAsia" w:ascii="宋体" w:hAnsi="宋体" w:eastAsia="宋体" w:cs="宋体"/>
          <w:b/>
          <w:bCs/>
          <w:highlight w:val="none"/>
        </w:rPr>
        <w:t>评审后的综合得分相同的，则招标人采取现场抽签的方式确定排名。（本项目与此处矛盾的均以此处为准）</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lang w:val="en-US" w:eastAsia="zh-CN"/>
        </w:rPr>
        <w:t>11、</w:t>
      </w:r>
      <w:r>
        <w:rPr>
          <w:rFonts w:hint="eastAsia" w:ascii="宋体" w:hAnsi="宋体" w:eastAsia="宋体" w:cs="宋体"/>
          <w:highlight w:val="none"/>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2</w:t>
      </w:r>
      <w:r>
        <w:rPr>
          <w:rFonts w:hint="eastAsia" w:ascii="宋体" w:hAnsi="宋体" w:eastAsia="宋体" w:cs="宋体"/>
          <w:highlight w:val="none"/>
        </w:rPr>
        <w:t>.对落标的投标人不做落标原因的解释。</w:t>
      </w:r>
    </w:p>
    <w:p>
      <w:pPr>
        <w:snapToGrid w:val="0"/>
        <w:spacing w:line="360" w:lineRule="auto"/>
        <w:ind w:firstLine="482" w:firstLineChars="200"/>
        <w:outlineLvl w:val="1"/>
        <w:rPr>
          <w:rFonts w:ascii="宋体" w:hAnsi="宋体" w:eastAsia="宋体" w:cs="宋体"/>
          <w:b/>
          <w:bCs/>
          <w:highlight w:val="none"/>
        </w:rPr>
      </w:pPr>
      <w:r>
        <w:rPr>
          <w:rFonts w:hint="eastAsia" w:ascii="宋体" w:hAnsi="宋体" w:eastAsia="宋体" w:cs="宋体"/>
          <w:b/>
          <w:bCs/>
          <w:highlight w:val="none"/>
        </w:rPr>
        <w:t>四、综合评分评审因素</w:t>
      </w:r>
    </w:p>
    <w:p>
      <w:pPr>
        <w:snapToGrid w:val="0"/>
        <w:spacing w:line="360" w:lineRule="auto"/>
        <w:ind w:firstLine="241" w:firstLineChars="100"/>
        <w:outlineLvl w:val="2"/>
        <w:rPr>
          <w:rFonts w:ascii="宋体" w:hAnsi="宋体" w:eastAsia="宋体" w:cs="宋体"/>
          <w:b/>
          <w:bCs/>
          <w:highlight w:val="none"/>
        </w:rPr>
      </w:pPr>
      <w:r>
        <w:rPr>
          <w:rFonts w:hint="eastAsia" w:ascii="宋体" w:hAnsi="宋体" w:eastAsia="宋体" w:cs="宋体"/>
          <w:b/>
          <w:bCs/>
          <w:highlight w:val="none"/>
        </w:rPr>
        <w:t>（一）商务技术标评审：（</w:t>
      </w:r>
      <w:r>
        <w:rPr>
          <w:rFonts w:hint="eastAsia" w:ascii="宋体" w:hAnsi="宋体" w:eastAsia="宋体" w:cs="宋体"/>
          <w:b/>
          <w:bCs/>
          <w:highlight w:val="none"/>
          <w:lang w:val="en-US" w:eastAsia="zh-CN"/>
        </w:rPr>
        <w:t>80</w:t>
      </w:r>
      <w:r>
        <w:rPr>
          <w:rFonts w:hint="eastAsia" w:ascii="宋体" w:hAnsi="宋体" w:eastAsia="宋体" w:cs="宋体"/>
          <w:b/>
          <w:bCs/>
          <w:highlight w:val="none"/>
        </w:rPr>
        <w:t>分）</w:t>
      </w:r>
    </w:p>
    <w:tbl>
      <w:tblPr>
        <w:tblStyle w:val="14"/>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779"/>
        <w:gridCol w:w="6887"/>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highlight w:val="none"/>
              </w:rPr>
            </w:pPr>
            <w:r>
              <w:rPr>
                <w:rFonts w:hint="eastAsia" w:ascii="宋体" w:hAnsi="宋体" w:eastAsia="宋体" w:cs="宋体"/>
                <w:b/>
                <w:highlight w:val="none"/>
              </w:rPr>
              <w:t>序号</w:t>
            </w:r>
          </w:p>
        </w:tc>
        <w:tc>
          <w:tcPr>
            <w:tcW w:w="177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b/>
                <w:highlight w:val="none"/>
              </w:rPr>
            </w:pPr>
            <w:r>
              <w:rPr>
                <w:rFonts w:hint="eastAsia" w:ascii="宋体" w:hAnsi="宋体" w:eastAsia="宋体" w:cs="宋体"/>
                <w:b/>
                <w:highlight w:val="none"/>
              </w:rPr>
              <w:t>评审内容</w:t>
            </w:r>
          </w:p>
        </w:tc>
        <w:tc>
          <w:tcPr>
            <w:tcW w:w="6887"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highlight w:val="none"/>
              </w:rPr>
            </w:pPr>
            <w:r>
              <w:rPr>
                <w:rFonts w:hint="eastAsia" w:ascii="宋体" w:hAnsi="宋体" w:eastAsia="宋体" w:cs="宋体"/>
                <w:b/>
                <w:highlight w:val="none"/>
              </w:rPr>
              <w:t>评分标准</w:t>
            </w:r>
          </w:p>
        </w:tc>
        <w:tc>
          <w:tcPr>
            <w:tcW w:w="80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highlight w:val="none"/>
              </w:rPr>
            </w:pPr>
            <w:r>
              <w:rPr>
                <w:rFonts w:hint="eastAsia" w:ascii="宋体" w:hAnsi="宋体" w:eastAsia="宋体" w:cs="宋体"/>
                <w:b/>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highlight w:val="none"/>
              </w:rPr>
            </w:pPr>
            <w:bookmarkStart w:id="29" w:name="_Hlk115360234"/>
            <w:r>
              <w:rPr>
                <w:rFonts w:hint="eastAsia" w:ascii="宋体" w:hAnsi="宋体" w:eastAsia="宋体" w:cs="宋体"/>
                <w:bCs/>
                <w:highlight w:val="none"/>
              </w:rPr>
              <w:t>1</w:t>
            </w:r>
            <w:bookmarkEnd w:id="29"/>
          </w:p>
        </w:tc>
        <w:tc>
          <w:tcPr>
            <w:tcW w:w="1779"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宋体" w:hAnsi="宋体" w:eastAsia="宋体" w:cs="宋体"/>
                <w:bCs/>
                <w:highlight w:val="none"/>
              </w:rPr>
            </w:pPr>
            <w:r>
              <w:rPr>
                <w:rFonts w:hint="eastAsia" w:ascii="宋体" w:hAnsi="宋体" w:eastAsia="宋体" w:cs="宋体"/>
                <w:highlight w:val="none"/>
              </w:rPr>
              <w:t>企业业绩</w:t>
            </w:r>
          </w:p>
        </w:tc>
        <w:tc>
          <w:tcPr>
            <w:tcW w:w="6887" w:type="dxa"/>
            <w:tcBorders>
              <w:top w:val="single" w:color="auto" w:sz="4" w:space="0"/>
              <w:left w:val="nil"/>
              <w:bottom w:val="single" w:color="auto" w:sz="4" w:space="0"/>
              <w:right w:val="single" w:color="auto" w:sz="4" w:space="0"/>
            </w:tcBorders>
            <w:vAlign w:val="center"/>
          </w:tcPr>
          <w:p>
            <w:pPr>
              <w:snapToGrid w:val="0"/>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（1）</w:t>
            </w:r>
            <w:r>
              <w:rPr>
                <w:rFonts w:hint="eastAsia" w:ascii="宋体" w:hAnsi="宋体" w:eastAsia="宋体" w:cs="宋体"/>
                <w:bCs/>
                <w:color w:val="0000FF"/>
                <w:highlight w:val="none"/>
              </w:rPr>
              <w:t>2020年</w:t>
            </w:r>
            <w:r>
              <w:rPr>
                <w:rFonts w:hint="eastAsia" w:ascii="宋体" w:hAnsi="宋体" w:eastAsia="宋体" w:cs="宋体"/>
                <w:bCs/>
                <w:color w:val="0000FF"/>
                <w:highlight w:val="none"/>
                <w:lang w:val="en-US" w:eastAsia="zh-CN"/>
              </w:rPr>
              <w:t>8</w:t>
            </w:r>
            <w:r>
              <w:rPr>
                <w:rFonts w:hint="eastAsia" w:ascii="宋体" w:hAnsi="宋体" w:eastAsia="宋体" w:cs="宋体"/>
                <w:bCs/>
                <w:color w:val="0000FF"/>
                <w:highlight w:val="none"/>
              </w:rPr>
              <w:t>月1日</w:t>
            </w:r>
            <w:r>
              <w:rPr>
                <w:rFonts w:hint="eastAsia" w:ascii="宋体" w:hAnsi="宋体" w:eastAsia="宋体" w:cs="宋体"/>
                <w:bCs/>
                <w:color w:val="auto"/>
                <w:highlight w:val="none"/>
              </w:rPr>
              <w:t>（以委托拍卖或拍租合同签订时间为准）以来，投标人具有类似拍卖（或拍租）</w:t>
            </w:r>
            <w:r>
              <w:rPr>
                <w:rFonts w:hint="eastAsia" w:ascii="宋体" w:hAnsi="宋体" w:eastAsia="宋体" w:cs="宋体"/>
                <w:bCs/>
                <w:color w:val="auto"/>
                <w:highlight w:val="none"/>
                <w:lang w:val="en-US" w:eastAsia="zh-CN"/>
              </w:rPr>
              <w:t>活动场次的</w:t>
            </w:r>
            <w:r>
              <w:rPr>
                <w:rFonts w:hint="eastAsia" w:ascii="宋体" w:hAnsi="宋体" w:eastAsia="宋体" w:cs="宋体"/>
                <w:bCs/>
                <w:color w:val="auto"/>
                <w:highlight w:val="none"/>
              </w:rPr>
              <w:t>，每有一场得2分，最多得</w:t>
            </w:r>
            <w:r>
              <w:rPr>
                <w:rFonts w:hint="eastAsia" w:ascii="宋体" w:hAnsi="宋体" w:eastAsia="宋体" w:cs="宋体"/>
                <w:bCs/>
                <w:color w:val="auto"/>
                <w:highlight w:val="none"/>
                <w:lang w:val="en-US" w:eastAsia="zh-CN"/>
              </w:rPr>
              <w:t>26</w:t>
            </w:r>
            <w:r>
              <w:rPr>
                <w:rFonts w:hint="eastAsia" w:ascii="宋体" w:hAnsi="宋体" w:eastAsia="宋体" w:cs="宋体"/>
                <w:bCs/>
                <w:color w:val="auto"/>
                <w:highlight w:val="none"/>
              </w:rPr>
              <w:t>分。须同时提供有效的委托拍卖或拍租合同复印件、报纸（或网上）公告</w:t>
            </w:r>
            <w:r>
              <w:rPr>
                <w:rFonts w:hint="eastAsia" w:ascii="宋体" w:hAnsi="宋体" w:eastAsia="宋体" w:cs="宋体"/>
                <w:bCs/>
                <w:color w:val="auto"/>
                <w:highlight w:val="none"/>
                <w:lang w:val="en-US" w:eastAsia="zh-CN"/>
              </w:rPr>
              <w:t>复印件</w:t>
            </w:r>
            <w:r>
              <w:rPr>
                <w:rFonts w:hint="eastAsia" w:ascii="宋体" w:hAnsi="宋体" w:eastAsia="宋体" w:cs="宋体"/>
                <w:bCs/>
                <w:color w:val="auto"/>
                <w:highlight w:val="none"/>
              </w:rPr>
              <w:t>、成交统计表（自拟）。</w:t>
            </w:r>
          </w:p>
          <w:p>
            <w:pPr>
              <w:snapToGrid w:val="0"/>
              <w:spacing w:line="400" w:lineRule="exact"/>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（2）</w:t>
            </w:r>
            <w:r>
              <w:rPr>
                <w:rFonts w:hint="eastAsia" w:ascii="宋体" w:hAnsi="宋体" w:eastAsia="宋体" w:cs="宋体"/>
                <w:bCs/>
                <w:color w:val="0000FF"/>
                <w:highlight w:val="none"/>
                <w:lang w:val="en-US" w:eastAsia="zh-CN"/>
              </w:rPr>
              <w:t>2020年8月1日</w:t>
            </w:r>
            <w:r>
              <w:rPr>
                <w:rFonts w:hint="eastAsia" w:ascii="宋体" w:hAnsi="宋体" w:eastAsia="宋体" w:cs="宋体"/>
                <w:bCs/>
                <w:color w:val="auto"/>
                <w:highlight w:val="none"/>
                <w:lang w:val="en-US" w:eastAsia="zh-CN"/>
              </w:rPr>
              <w:t>（以委托拍卖或拍租合同签订时间为准）以来，投标人具有类似资产处置拍租（指国有房屋拍卖或拍租）活动场次的，每有一场得2分，最多得8分。须同时提供有效的委托拍卖或拍租合同复印件、报纸（或网上）公告复印件、成交统计表（自拟）。</w:t>
            </w:r>
          </w:p>
          <w:p>
            <w:pPr>
              <w:snapToGrid w:val="0"/>
              <w:spacing w:line="400" w:lineRule="exact"/>
              <w:rPr>
                <w:rFonts w:hint="default" w:ascii="宋体" w:hAnsi="宋体" w:eastAsia="宋体" w:cs="宋体"/>
                <w:b/>
                <w:color w:val="auto"/>
                <w:highlight w:val="none"/>
                <w:lang w:val="en-US" w:eastAsia="zh-CN"/>
              </w:rPr>
            </w:pPr>
            <w:r>
              <w:rPr>
                <w:rFonts w:hint="eastAsia" w:ascii="宋体" w:hAnsi="宋体" w:eastAsia="宋体" w:cs="宋体"/>
                <w:b/>
                <w:bCs w:val="0"/>
                <w:color w:val="auto"/>
                <w:highlight w:val="none"/>
                <w:lang w:val="en-US" w:eastAsia="zh-CN"/>
              </w:rPr>
              <w:t>注：序号（1）和（2）不得为同一场次，不得重复加分。</w:t>
            </w:r>
          </w:p>
        </w:tc>
        <w:tc>
          <w:tcPr>
            <w:tcW w:w="80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highlight w:val="none"/>
                <w:lang w:eastAsia="zh-CN"/>
              </w:rPr>
            </w:pPr>
            <w:r>
              <w:rPr>
                <w:rFonts w:hint="eastAsia" w:ascii="宋体" w:hAnsi="宋体" w:eastAsia="宋体" w:cs="宋体"/>
                <w:bCs/>
                <w:highlight w:val="none"/>
                <w:lang w:val="en-US" w:eastAsia="zh-CN"/>
              </w:rPr>
              <w:t>2</w:t>
            </w:r>
          </w:p>
        </w:tc>
        <w:tc>
          <w:tcPr>
            <w:tcW w:w="1779"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宋体" w:hAnsi="宋体" w:eastAsia="宋体" w:cs="宋体"/>
                <w:bCs/>
                <w:highlight w:val="none"/>
              </w:rPr>
            </w:pPr>
            <w:r>
              <w:rPr>
                <w:rFonts w:hint="eastAsia" w:ascii="宋体" w:hAnsi="宋体" w:eastAsia="宋体" w:cs="宋体"/>
                <w:bCs/>
                <w:highlight w:val="none"/>
              </w:rPr>
              <w:t>企业实力</w:t>
            </w:r>
          </w:p>
        </w:tc>
        <w:tc>
          <w:tcPr>
            <w:tcW w:w="6887"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投标人在市级及以上商务局发布的《公布拍卖经营资格2022年度核查合格企业名单》中的得</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分。提供有效的证明材料。</w:t>
            </w:r>
          </w:p>
        </w:tc>
        <w:tc>
          <w:tcPr>
            <w:tcW w:w="80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highlight w:val="none"/>
                <w:lang w:eastAsia="zh-CN"/>
              </w:rPr>
            </w:pPr>
            <w:r>
              <w:rPr>
                <w:rFonts w:hint="eastAsia" w:ascii="宋体" w:hAnsi="宋体" w:eastAsia="宋体" w:cs="宋体"/>
                <w:bCs/>
                <w:highlight w:val="none"/>
                <w:lang w:val="en-US" w:eastAsia="zh-CN"/>
              </w:rPr>
              <w:t>3</w:t>
            </w:r>
          </w:p>
        </w:tc>
        <w:tc>
          <w:tcPr>
            <w:tcW w:w="1779"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宋体" w:hAnsi="宋体" w:eastAsia="宋体" w:cs="宋体"/>
                <w:bCs/>
                <w:highlight w:val="none"/>
              </w:rPr>
            </w:pPr>
            <w:r>
              <w:rPr>
                <w:rFonts w:hint="eastAsia" w:ascii="宋体" w:hAnsi="宋体" w:eastAsia="宋体" w:cs="宋体"/>
                <w:bCs/>
                <w:highlight w:val="none"/>
              </w:rPr>
              <w:t>前期宣传方案</w:t>
            </w:r>
          </w:p>
        </w:tc>
        <w:tc>
          <w:tcPr>
            <w:tcW w:w="6887"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评标委员会根据投标人编制的前期宣传方案的可行性、全面性等方面进行评价：</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方案内容完整，贴合项目实际，可行性高的得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8</w:t>
            </w:r>
            <w:r>
              <w:rPr>
                <w:rFonts w:hint="eastAsia" w:ascii="宋体" w:hAnsi="宋体" w:eastAsia="宋体" w:cs="宋体"/>
                <w:bCs/>
                <w:color w:val="auto"/>
                <w:highlight w:val="none"/>
              </w:rPr>
              <w:t xml:space="preserve">（含）分； </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方案内容相对完整，较贴合项目实际，可行性一般的得</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 xml:space="preserve">（含）分； </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方案内容不完整，与项目实际差距较大，可行性差的得0（不含）-</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 xml:space="preserve">（含）分； 其余情况不得分。 </w:t>
            </w:r>
          </w:p>
        </w:tc>
        <w:tc>
          <w:tcPr>
            <w:tcW w:w="800" w:type="dxa"/>
            <w:tcBorders>
              <w:top w:val="single" w:color="auto" w:sz="4" w:space="0"/>
              <w:left w:val="nil"/>
              <w:bottom w:val="single" w:color="auto" w:sz="4" w:space="0"/>
              <w:right w:val="single" w:color="auto" w:sz="4" w:space="0"/>
            </w:tcBorders>
            <w:vAlign w:val="center"/>
          </w:tcPr>
          <w:p>
            <w:pPr>
              <w:spacing w:line="420" w:lineRule="exact"/>
              <w:jc w:val="center"/>
              <w:rPr>
                <w:rFonts w:hint="eastAsia" w:ascii="宋体" w:hAnsi="宋体" w:eastAsia="宋体" w:cs="宋体"/>
                <w:color w:val="auto"/>
                <w:highlight w:val="none"/>
                <w:lang w:eastAsia="zh-CN"/>
              </w:rPr>
            </w:pPr>
            <w:r>
              <w:rPr>
                <w:rFonts w:hint="eastAsia" w:ascii="宋体" w:hAnsi="宋体" w:eastAsia="宋体" w:cs="宋体"/>
                <w:bCs/>
                <w:color w:val="auto"/>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highlight w:val="none"/>
                <w:lang w:eastAsia="zh-CN"/>
              </w:rPr>
            </w:pPr>
            <w:r>
              <w:rPr>
                <w:rFonts w:hint="eastAsia" w:ascii="宋体" w:hAnsi="宋体" w:eastAsia="宋体" w:cs="宋体"/>
                <w:bCs/>
                <w:highlight w:val="none"/>
                <w:lang w:val="en-US" w:eastAsia="zh-CN"/>
              </w:rPr>
              <w:t>4</w:t>
            </w:r>
          </w:p>
        </w:tc>
        <w:tc>
          <w:tcPr>
            <w:tcW w:w="1779"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宋体" w:hAnsi="宋体" w:eastAsia="宋体" w:cs="宋体"/>
                <w:bCs/>
                <w:highlight w:val="none"/>
              </w:rPr>
            </w:pPr>
            <w:r>
              <w:rPr>
                <w:rFonts w:hint="eastAsia" w:ascii="宋体" w:hAnsi="宋体" w:eastAsia="宋体" w:cs="宋体"/>
                <w:bCs/>
                <w:highlight w:val="none"/>
              </w:rPr>
              <w:t>拍卖实施过程方案</w:t>
            </w:r>
          </w:p>
          <w:p>
            <w:pPr>
              <w:snapToGrid w:val="0"/>
              <w:spacing w:line="400" w:lineRule="exact"/>
              <w:jc w:val="center"/>
              <w:rPr>
                <w:rFonts w:ascii="宋体" w:hAnsi="宋体" w:eastAsia="宋体" w:cs="宋体"/>
                <w:bCs/>
                <w:highlight w:val="none"/>
              </w:rPr>
            </w:pPr>
          </w:p>
        </w:tc>
        <w:tc>
          <w:tcPr>
            <w:tcW w:w="6887"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评标委员会根据投标人编制的拍卖实施过程方案的可行性、针对性等方面进行评价：</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方案内容完整，针对性、周密性强，可行性高的得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8</w:t>
            </w:r>
            <w:r>
              <w:rPr>
                <w:rFonts w:hint="eastAsia" w:ascii="宋体" w:hAnsi="宋体" w:eastAsia="宋体" w:cs="宋体"/>
                <w:bCs/>
                <w:color w:val="auto"/>
                <w:highlight w:val="none"/>
              </w:rPr>
              <w:t xml:space="preserve">（含）分； </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方案内容相对完整，针对性、周密性中等，可行性一般的得</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 xml:space="preserve">（含）分； </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方案内容不完整，针对性、周密性一般，可行性差的得0（不含）-</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 xml:space="preserve">（含）分； 其余情况不得分。 </w:t>
            </w:r>
          </w:p>
        </w:tc>
        <w:tc>
          <w:tcPr>
            <w:tcW w:w="80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highlight w:val="none"/>
                <w:lang w:eastAsia="zh-CN"/>
              </w:rPr>
            </w:pPr>
            <w:r>
              <w:rPr>
                <w:rFonts w:hint="eastAsia" w:ascii="宋体" w:hAnsi="宋体" w:eastAsia="宋体" w:cs="宋体"/>
                <w:bCs/>
                <w:highlight w:val="none"/>
                <w:lang w:val="en-US" w:eastAsia="zh-CN"/>
              </w:rPr>
              <w:t>5</w:t>
            </w:r>
          </w:p>
        </w:tc>
        <w:tc>
          <w:tcPr>
            <w:tcW w:w="1779"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宋体" w:hAnsi="宋体" w:eastAsia="宋体" w:cs="宋体"/>
                <w:bCs/>
                <w:highlight w:val="none"/>
              </w:rPr>
            </w:pPr>
            <w:r>
              <w:rPr>
                <w:rFonts w:hint="eastAsia" w:ascii="宋体" w:hAnsi="宋体" w:eastAsia="宋体" w:cs="宋体"/>
                <w:bCs/>
                <w:highlight w:val="none"/>
              </w:rPr>
              <w:t>服务质量方案</w:t>
            </w:r>
          </w:p>
        </w:tc>
        <w:tc>
          <w:tcPr>
            <w:tcW w:w="6887"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评标委员会根据投标人编制的服务质量方案的管理措施、保障等方面进行评价：</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质量管理措施、保障方案科学合理的，得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8</w:t>
            </w:r>
            <w:r>
              <w:rPr>
                <w:rFonts w:hint="eastAsia" w:ascii="宋体" w:hAnsi="宋体" w:eastAsia="宋体" w:cs="宋体"/>
                <w:bCs/>
                <w:color w:val="auto"/>
                <w:highlight w:val="none"/>
              </w:rPr>
              <w:t>（含）分；</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质量管理措施、保障方案基本可行的，得</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 xml:space="preserve">（含）分； </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质量管理措施、保障方案不全面的，得0（不含）-</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 xml:space="preserve">（含）分；其余情况不得分。 </w:t>
            </w:r>
          </w:p>
        </w:tc>
        <w:tc>
          <w:tcPr>
            <w:tcW w:w="80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宋体" w:hAnsi="宋体" w:eastAsia="宋体" w:cs="宋体"/>
                <w:color w:val="auto"/>
                <w:highlight w:val="none"/>
                <w:lang w:val="en-US"/>
              </w:rPr>
            </w:pPr>
            <w:r>
              <w:rPr>
                <w:rFonts w:hint="eastAsia" w:ascii="宋体" w:hAnsi="宋体" w:eastAsia="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highlight w:val="none"/>
                <w:lang w:eastAsia="zh-CN"/>
              </w:rPr>
            </w:pPr>
            <w:r>
              <w:rPr>
                <w:rFonts w:hint="eastAsia" w:ascii="宋体" w:hAnsi="宋体" w:eastAsia="宋体" w:cs="宋体"/>
                <w:bCs/>
                <w:highlight w:val="none"/>
                <w:lang w:val="en-US" w:eastAsia="zh-CN"/>
              </w:rPr>
              <w:t>6</w:t>
            </w:r>
          </w:p>
        </w:tc>
        <w:tc>
          <w:tcPr>
            <w:tcW w:w="1779"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hint="eastAsia" w:ascii="宋体" w:hAnsi="宋体" w:eastAsia="宋体" w:cs="宋体"/>
                <w:bCs/>
                <w:highlight w:val="none"/>
                <w:lang w:eastAsia="zh-CN"/>
              </w:rPr>
            </w:pPr>
            <w:r>
              <w:rPr>
                <w:rFonts w:hint="eastAsia" w:ascii="宋体" w:hAnsi="宋体" w:eastAsia="宋体" w:cs="宋体"/>
                <w:bCs/>
                <w:highlight w:val="none"/>
              </w:rPr>
              <w:t>拍卖或拍租周期保证措</w:t>
            </w:r>
            <w:r>
              <w:rPr>
                <w:rFonts w:hint="eastAsia" w:ascii="宋体" w:hAnsi="宋体" w:eastAsia="宋体" w:cs="宋体"/>
                <w:bCs/>
                <w:highlight w:val="none"/>
                <w:lang w:eastAsia="zh-CN"/>
              </w:rPr>
              <w:t>施</w:t>
            </w:r>
          </w:p>
        </w:tc>
        <w:tc>
          <w:tcPr>
            <w:tcW w:w="6887"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评标委员会根据投标人编制的拍卖或拍租周期保证措方案的保障措施、计划安排等方面进行评价：</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拍卖或拍租周期保障计划安排合理、工序协调合理的，得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8</w:t>
            </w:r>
            <w:r>
              <w:rPr>
                <w:rFonts w:hint="eastAsia" w:ascii="宋体" w:hAnsi="宋体" w:eastAsia="宋体" w:cs="宋体"/>
                <w:bCs/>
                <w:color w:val="auto"/>
                <w:highlight w:val="none"/>
              </w:rPr>
              <w:t>（含）分；</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拍卖或拍租周期保障计划安排一般、工序协调基本可行的，得</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（含）分；</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 xml:space="preserve">拍卖或拍租周期保障计划、工序协调不全面的，得0（不含）-3（含）分；其余情况不得分。 </w:t>
            </w:r>
          </w:p>
        </w:tc>
        <w:tc>
          <w:tcPr>
            <w:tcW w:w="80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highlight w:val="none"/>
                <w:lang w:eastAsia="zh-CN"/>
              </w:rPr>
            </w:pPr>
            <w:r>
              <w:rPr>
                <w:rFonts w:hint="eastAsia" w:ascii="宋体" w:hAnsi="宋体" w:eastAsia="宋体" w:cs="宋体"/>
                <w:bCs/>
                <w:highlight w:val="none"/>
                <w:lang w:val="en-US" w:eastAsia="zh-CN"/>
              </w:rPr>
              <w:t>7</w:t>
            </w:r>
          </w:p>
        </w:tc>
        <w:tc>
          <w:tcPr>
            <w:tcW w:w="1779"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宋体" w:hAnsi="宋体" w:eastAsia="宋体" w:cs="宋体"/>
                <w:bCs/>
                <w:highlight w:val="none"/>
              </w:rPr>
            </w:pPr>
            <w:r>
              <w:rPr>
                <w:rFonts w:hint="eastAsia" w:ascii="宋体" w:hAnsi="宋体" w:eastAsia="宋体" w:cs="宋体"/>
                <w:bCs/>
                <w:highlight w:val="none"/>
              </w:rPr>
              <w:t>应急措施方案</w:t>
            </w:r>
          </w:p>
        </w:tc>
        <w:tc>
          <w:tcPr>
            <w:tcW w:w="6887"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评标委员会根据投标人编制的应急措施方案的可行性、针对性等方面进行评价：</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方案内容完整，针对性、周密性强，可行性高的得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9</w:t>
            </w:r>
            <w:r>
              <w:rPr>
                <w:rFonts w:hint="eastAsia" w:ascii="宋体" w:hAnsi="宋体" w:eastAsia="宋体" w:cs="宋体"/>
                <w:bCs/>
                <w:color w:val="auto"/>
                <w:highlight w:val="none"/>
              </w:rPr>
              <w:t xml:space="preserve">（含）分； </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方案内容相对完整，针对性、周密性中等，可行性一般的得</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（不含）—</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 xml:space="preserve">（含）分； </w:t>
            </w:r>
          </w:p>
          <w:p>
            <w:pPr>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 xml:space="preserve">方案内容不完整，针对性、周密性一般，可行性差的得0（不含）-3（含）分； 其余情况不得分。 </w:t>
            </w:r>
          </w:p>
        </w:tc>
        <w:tc>
          <w:tcPr>
            <w:tcW w:w="80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color w:val="auto"/>
                <w:highlight w:val="none"/>
              </w:rPr>
            </w:pPr>
            <w:r>
              <w:rPr>
                <w:rFonts w:hint="eastAsia" w:ascii="宋体" w:hAnsi="宋体" w:eastAsia="宋体" w:cs="宋体"/>
                <w:color w:val="auto"/>
                <w:sz w:val="24"/>
                <w:szCs w:val="24"/>
                <w:highlight w:val="none"/>
                <w:lang w:val="en-US" w:eastAsia="zh-CN"/>
              </w:rPr>
              <w:t>9</w:t>
            </w:r>
          </w:p>
        </w:tc>
      </w:tr>
    </w:tbl>
    <w:p>
      <w:pPr>
        <w:snapToGrid w:val="0"/>
        <w:spacing w:line="360" w:lineRule="auto"/>
        <w:ind w:firstLine="487" w:firstLineChars="202"/>
        <w:rPr>
          <w:rFonts w:ascii="宋体" w:hAnsi="宋体" w:eastAsia="宋体" w:cs="宋体"/>
          <w:b/>
          <w:bCs/>
          <w:highlight w:val="none"/>
        </w:rPr>
      </w:pPr>
      <w:r>
        <w:rPr>
          <w:rFonts w:hint="eastAsia" w:ascii="宋体" w:hAnsi="宋体" w:eastAsia="宋体" w:cs="宋体"/>
          <w:b/>
          <w:bCs/>
          <w:highlight w:val="none"/>
        </w:rPr>
        <w:t>注：商务技术标评分中所涉及相关资料等证明材料均须提供有效的原件复印件加盖供应商单位公章，所提供的相关材料缺失、不符或不提供者，有关评分内容不得分。评标未尽事宜由评标委员会根据有关规定讨论决定。</w:t>
      </w:r>
    </w:p>
    <w:p>
      <w:pPr>
        <w:snapToGrid w:val="0"/>
        <w:spacing w:line="360" w:lineRule="auto"/>
        <w:ind w:firstLine="241" w:firstLineChars="100"/>
        <w:outlineLvl w:val="2"/>
        <w:rPr>
          <w:rFonts w:ascii="宋体" w:hAnsi="宋体" w:eastAsia="宋体" w:cs="宋体"/>
          <w:b/>
          <w:bCs/>
          <w:highlight w:val="none"/>
        </w:rPr>
      </w:pPr>
      <w:r>
        <w:rPr>
          <w:rFonts w:hint="eastAsia" w:ascii="宋体" w:hAnsi="宋体" w:eastAsia="宋体" w:cs="宋体"/>
          <w:b/>
          <w:bCs/>
          <w:highlight w:val="none"/>
        </w:rPr>
        <w:t>（二）价格标评分</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20分</w:t>
      </w:r>
      <w:r>
        <w:rPr>
          <w:rFonts w:hint="eastAsia" w:ascii="宋体" w:hAnsi="宋体" w:eastAsia="宋体" w:cs="宋体"/>
          <w:b/>
          <w:bCs/>
          <w:color w:val="auto"/>
          <w:highlight w:val="none"/>
        </w:rPr>
        <w:t>）</w:t>
      </w:r>
      <w:r>
        <w:rPr>
          <w:rFonts w:hint="eastAsia" w:ascii="宋体" w:hAnsi="宋体" w:eastAsia="宋体" w:cs="宋体"/>
          <w:b/>
          <w:bCs/>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确定有效报价</w:t>
      </w:r>
    </w:p>
    <w:p>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本项目报价不得小于下浮率25%，投标人报价下浮率大于或等于25%且至多保留两位小数为有效报价，否则视为无效报价。如：报价下浮率19%（报价下浮率小于25%）、25.123%（报价下浮率小数保留超出两位小数）均为无效报价，26.21%为有效报价。</w:t>
      </w:r>
    </w:p>
    <w:p>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（2）</w:t>
      </w:r>
      <w:r>
        <w:rPr>
          <w:rFonts w:hint="eastAsia" w:ascii="宋体" w:hAnsi="宋体" w:eastAsia="宋体" w:cs="宋体"/>
          <w:b/>
          <w:bCs/>
          <w:color w:val="000000"/>
          <w:highlight w:val="none"/>
          <w:lang w:val="en-US" w:eastAsia="zh-CN"/>
        </w:rPr>
        <w:t>价格标</w:t>
      </w:r>
      <w:r>
        <w:rPr>
          <w:rFonts w:hint="eastAsia" w:ascii="宋体" w:hAnsi="宋体" w:eastAsia="宋体" w:cs="宋体"/>
          <w:b/>
          <w:bCs/>
          <w:color w:val="000000"/>
          <w:highlight w:val="none"/>
        </w:rPr>
        <w:t>得分统一采用低价优先法计算，即满足招标文件要求且</w:t>
      </w:r>
      <w:r>
        <w:rPr>
          <w:rFonts w:hint="eastAsia" w:ascii="宋体" w:hAnsi="宋体" w:eastAsia="宋体" w:cs="宋体"/>
          <w:b/>
          <w:bCs/>
          <w:color w:val="000000"/>
          <w:highlight w:val="none"/>
          <w:lang w:val="en-US" w:eastAsia="zh-CN"/>
        </w:rPr>
        <w:t>下浮最多的投标报价</w:t>
      </w:r>
      <w:r>
        <w:rPr>
          <w:rFonts w:hint="eastAsia" w:ascii="宋体" w:hAnsi="宋体" w:eastAsia="宋体" w:cs="宋体"/>
          <w:b/>
          <w:bCs/>
          <w:color w:val="000000"/>
          <w:highlight w:val="none"/>
        </w:rPr>
        <w:t>为评标基准价</w:t>
      </w:r>
      <w:r>
        <w:rPr>
          <w:rFonts w:hint="eastAsia" w:ascii="宋体" w:hAnsi="宋体" w:eastAsia="宋体" w:cs="宋体"/>
          <w:b/>
          <w:bCs/>
          <w:color w:val="000000"/>
          <w:highlight w:val="none"/>
          <w:lang w:val="en-US" w:eastAsia="zh-CN"/>
        </w:rPr>
        <w:t>（评标基准下浮率）</w:t>
      </w:r>
      <w:r>
        <w:rPr>
          <w:rFonts w:hint="eastAsia" w:ascii="宋体" w:hAnsi="宋体" w:eastAsia="宋体" w:cs="宋体"/>
          <w:b/>
          <w:bCs/>
          <w:color w:val="000000"/>
          <w:highlight w:val="none"/>
        </w:rPr>
        <w:t>，其</w:t>
      </w:r>
      <w:r>
        <w:rPr>
          <w:rFonts w:hint="eastAsia" w:ascii="宋体" w:hAnsi="宋体" w:eastAsia="宋体" w:cs="宋体"/>
          <w:b/>
          <w:bCs/>
          <w:color w:val="000000"/>
          <w:highlight w:val="none"/>
          <w:lang w:val="en-US" w:eastAsia="zh-CN"/>
        </w:rPr>
        <w:t>价格标</w:t>
      </w:r>
      <w:r>
        <w:rPr>
          <w:rFonts w:hint="eastAsia" w:ascii="宋体" w:hAnsi="宋体" w:eastAsia="宋体" w:cs="宋体"/>
          <w:b/>
          <w:bCs/>
          <w:color w:val="000000"/>
          <w:highlight w:val="none"/>
        </w:rPr>
        <w:t>得分为满分</w:t>
      </w:r>
      <w:r>
        <w:rPr>
          <w:rFonts w:hint="eastAsia" w:ascii="宋体" w:hAnsi="宋体" w:eastAsia="宋体" w:cs="宋体"/>
          <w:b/>
          <w:bCs/>
          <w:color w:val="000000"/>
          <w:highlight w:val="none"/>
          <w:lang w:val="en-US" w:eastAsia="zh-CN"/>
        </w:rPr>
        <w:t>2</w:t>
      </w:r>
      <w:r>
        <w:rPr>
          <w:rFonts w:hint="eastAsia" w:ascii="宋体" w:hAnsi="宋体" w:eastAsia="宋体" w:cs="宋体"/>
          <w:b/>
          <w:bCs/>
          <w:color w:val="000000"/>
          <w:highlight w:val="none"/>
        </w:rPr>
        <w:t>0分。</w:t>
      </w:r>
    </w:p>
    <w:p>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ascii="宋体" w:hAnsi="宋体" w:eastAsia="宋体" w:cs="宋体"/>
          <w:b/>
          <w:bCs/>
          <w:color w:val="000000"/>
          <w:highlight w:val="none"/>
          <w:lang w:val="en-US" w:eastAsia="zh-CN"/>
        </w:rPr>
      </w:pPr>
      <w:r>
        <w:rPr>
          <w:rFonts w:hint="eastAsia" w:ascii="宋体" w:hAnsi="宋体" w:eastAsia="宋体" w:cs="宋体"/>
          <w:b/>
          <w:bCs/>
          <w:color w:val="000000"/>
          <w:highlight w:val="none"/>
          <w:lang w:val="en-US" w:eastAsia="zh-CN"/>
        </w:rPr>
        <w:t>（3）计算报价得分</w:t>
      </w:r>
    </w:p>
    <w:p>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ascii="宋体" w:hAnsi="宋体" w:eastAsia="宋体" w:cs="宋体"/>
          <w:b/>
          <w:bCs/>
          <w:color w:val="000000"/>
          <w:highlight w:val="none"/>
          <w:lang w:val="en-US" w:eastAsia="zh-CN"/>
        </w:rPr>
      </w:pPr>
      <w:r>
        <w:rPr>
          <w:rFonts w:hint="eastAsia" w:ascii="宋体" w:hAnsi="宋体" w:eastAsia="宋体" w:cs="宋体"/>
          <w:b/>
          <w:bCs/>
          <w:color w:val="000000"/>
          <w:highlight w:val="none"/>
          <w:lang w:val="en-US" w:eastAsia="zh-CN"/>
        </w:rPr>
        <w:t>其他投标人的价格标得分分别按照下列公式计算：</w:t>
      </w:r>
    </w:p>
    <w:p>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ascii="宋体" w:hAnsi="宋体" w:eastAsia="宋体" w:cs="宋体"/>
          <w:b/>
          <w:bCs/>
          <w:color w:val="000000"/>
          <w:highlight w:val="none"/>
          <w:lang w:val="en-US" w:eastAsia="zh-CN"/>
        </w:rPr>
      </w:pPr>
      <w:r>
        <w:rPr>
          <w:rFonts w:hint="eastAsia" w:ascii="宋体" w:hAnsi="宋体" w:eastAsia="宋体" w:cs="宋体"/>
          <w:b/>
          <w:bCs/>
          <w:color w:val="000000"/>
          <w:highlight w:val="none"/>
          <w:lang w:val="en-US" w:eastAsia="zh-CN"/>
        </w:rPr>
        <w:t>价格标得分 =（下浮率报价/评标基准价）×20</w:t>
      </w:r>
    </w:p>
    <w:p>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ascii="宋体" w:hAnsi="宋体" w:eastAsia="宋体" w:cs="宋体"/>
          <w:b/>
          <w:bCs/>
          <w:color w:val="000000"/>
          <w:highlight w:val="none"/>
          <w:lang w:eastAsia="zh-CN"/>
        </w:rPr>
      </w:pPr>
      <w:r>
        <w:rPr>
          <w:rFonts w:hint="eastAsia" w:ascii="宋体" w:hAnsi="宋体" w:eastAsia="宋体" w:cs="宋体"/>
          <w:b/>
          <w:bCs/>
          <w:color w:val="000000"/>
          <w:highlight w:val="none"/>
        </w:rPr>
        <w:t>例:如本项目有效投标人仅有A、B、C三家单位</w:t>
      </w:r>
      <w:r>
        <w:rPr>
          <w:rFonts w:hint="eastAsia" w:ascii="宋体" w:hAnsi="宋体" w:eastAsia="宋体" w:cs="宋体"/>
          <w:b/>
          <w:bCs/>
          <w:color w:val="000000"/>
          <w:highlight w:val="none"/>
          <w:lang w:eastAsia="zh-CN"/>
        </w:rPr>
        <w:t>：</w:t>
      </w:r>
    </w:p>
    <w:tbl>
      <w:tblPr>
        <w:tblStyle w:val="14"/>
        <w:tblW w:w="44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969"/>
        <w:gridCol w:w="1497"/>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2" w:type="pct"/>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投标单位</w:t>
            </w:r>
          </w:p>
        </w:tc>
        <w:tc>
          <w:tcPr>
            <w:tcW w:w="1197" w:type="pct"/>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下浮率报价</w:t>
            </w:r>
          </w:p>
        </w:tc>
        <w:tc>
          <w:tcPr>
            <w:tcW w:w="910" w:type="pct"/>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评标基准价</w:t>
            </w:r>
          </w:p>
        </w:tc>
        <w:tc>
          <w:tcPr>
            <w:tcW w:w="2019" w:type="pct"/>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2"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A</w:t>
            </w:r>
          </w:p>
        </w:tc>
        <w:tc>
          <w:tcPr>
            <w:tcW w:w="1197"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w:t>
            </w:r>
          </w:p>
        </w:tc>
        <w:tc>
          <w:tcPr>
            <w:tcW w:w="910" w:type="pct"/>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w:t>
            </w:r>
          </w:p>
        </w:tc>
        <w:tc>
          <w:tcPr>
            <w:tcW w:w="2019" w:type="pct"/>
            <w:noWrap w:val="0"/>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25/31*20=16.13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2"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B</w:t>
            </w:r>
          </w:p>
        </w:tc>
        <w:tc>
          <w:tcPr>
            <w:tcW w:w="1197"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p>
        </w:tc>
        <w:tc>
          <w:tcPr>
            <w:tcW w:w="910" w:type="pct"/>
            <w:vMerge w:val="continue"/>
            <w:noWrap w:val="0"/>
            <w:vAlign w:val="center"/>
          </w:tcPr>
          <w:p>
            <w:pPr>
              <w:jc w:val="center"/>
              <w:rPr>
                <w:rFonts w:hint="eastAsia" w:ascii="宋体" w:hAnsi="宋体" w:eastAsia="宋体" w:cs="宋体"/>
                <w:sz w:val="24"/>
                <w:szCs w:val="24"/>
                <w:highlight w:val="none"/>
              </w:rPr>
            </w:pPr>
          </w:p>
        </w:tc>
        <w:tc>
          <w:tcPr>
            <w:tcW w:w="2019" w:type="pct"/>
            <w:noWrap w:val="0"/>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28/31*20=18.06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2"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C</w:t>
            </w:r>
          </w:p>
        </w:tc>
        <w:tc>
          <w:tcPr>
            <w:tcW w:w="1197"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w:t>
            </w:r>
          </w:p>
        </w:tc>
        <w:tc>
          <w:tcPr>
            <w:tcW w:w="910" w:type="pct"/>
            <w:vMerge w:val="continue"/>
            <w:noWrap w:val="0"/>
            <w:vAlign w:val="center"/>
          </w:tcPr>
          <w:p>
            <w:pPr>
              <w:jc w:val="center"/>
              <w:rPr>
                <w:rFonts w:hint="eastAsia" w:ascii="宋体" w:hAnsi="宋体" w:eastAsia="宋体" w:cs="宋体"/>
                <w:sz w:val="24"/>
                <w:szCs w:val="24"/>
                <w:highlight w:val="none"/>
              </w:rPr>
            </w:pPr>
          </w:p>
        </w:tc>
        <w:tc>
          <w:tcPr>
            <w:tcW w:w="2019" w:type="pct"/>
            <w:noWrap w:val="0"/>
            <w:vAlign w:val="center"/>
          </w:tcPr>
          <w:p>
            <w:pPr>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20</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4" w:firstLineChars="202"/>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评标委员会认为投标人的报价明显低于其他投标人的报价，有可能影响服务质量或者不能诚信履约的，评标委员会将以书面形式要求投标人进行澄清或提供补充说明及有关资料，投标人应作出书面答复；投标人不能证明其投标合理性的，评标委员会应当将其作为无效投标处理。</w:t>
      </w:r>
    </w:p>
    <w:p>
      <w:pPr>
        <w:snapToGrid w:val="0"/>
        <w:spacing w:line="360" w:lineRule="auto"/>
        <w:ind w:firstLine="487" w:firstLineChars="202"/>
        <w:rPr>
          <w:rFonts w:ascii="宋体" w:hAnsi="宋体" w:eastAsia="宋体" w:cs="宋体"/>
          <w:b/>
          <w:bCs/>
          <w:highlight w:val="none"/>
        </w:rPr>
      </w:pPr>
      <w:r>
        <w:rPr>
          <w:rFonts w:hint="eastAsia" w:ascii="宋体" w:hAnsi="宋体" w:eastAsia="宋体" w:cs="宋体"/>
          <w:b/>
          <w:bCs/>
          <w:highlight w:val="none"/>
        </w:rPr>
        <w:t>五、出现下列情形之一的，作无效投标处理</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1.投标文件未按招标文件要求签署、盖章的；</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2.不具备招标文件中规定的资格要求的；</w:t>
      </w:r>
    </w:p>
    <w:p>
      <w:pPr>
        <w:snapToGrid w:val="0"/>
        <w:spacing w:line="360" w:lineRule="auto"/>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投标报价（报价下浮率）低于成本或者小于2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%的（如下浮率19%为无效报价）；</w:t>
      </w:r>
    </w:p>
    <w:p>
      <w:pPr>
        <w:snapToGrid w:val="0"/>
        <w:spacing w:line="360" w:lineRule="auto"/>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投标报价下浮率保留小数点后位数超过两位的（如下浮率2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.123%为无效报价）；</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.投标文件含有采购人不能接受的附加条件的；</w:t>
      </w:r>
    </w:p>
    <w:p>
      <w:pPr>
        <w:snapToGrid w:val="0"/>
        <w:spacing w:line="360" w:lineRule="auto"/>
        <w:ind w:firstLine="484" w:firstLineChars="202"/>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不同文件（A资格后审材料文件、B商务技术标文件、C价格标文件）混装的；</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法律、法规和招标文件规定的其他无效情形。</w:t>
      </w:r>
    </w:p>
    <w:p>
      <w:pPr>
        <w:snapToGrid w:val="0"/>
        <w:spacing w:line="360" w:lineRule="auto"/>
        <w:ind w:firstLine="482" w:firstLineChars="200"/>
        <w:outlineLvl w:val="1"/>
        <w:rPr>
          <w:rFonts w:ascii="宋体" w:hAnsi="宋体" w:eastAsia="宋体" w:cs="宋体"/>
          <w:highlight w:val="none"/>
        </w:rPr>
      </w:pPr>
      <w:r>
        <w:rPr>
          <w:rFonts w:hint="eastAsia" w:ascii="宋体" w:hAnsi="宋体" w:eastAsia="宋体" w:cs="宋体"/>
          <w:b/>
          <w:bCs/>
          <w:highlight w:val="none"/>
        </w:rPr>
        <w:t>六、有下列情形之一的，视为投标人恶意串通投标，其投标无效</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1.直接或者间接从采购人或者采购代理机构处获得其他供应商的相关情况并修改其投标文件；</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2.按照采购人或者采购代理机构的授意撤换、修改投标文件；</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3.与其他的供应商协商报价、技术方案等投标文件的实质性内容；</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4.属于同一集团、协会、商会等组织成员的供应商，按照该组织要求协同参加采购活动；</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5.供应商之间事先约定由某一特定供应商成交；</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6.供应商之间商定部分供应商放弃参加采购活动或者放弃成交；</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7.供应商与采购人或者采购代理机构之间、供应商相互之间，为谋求特定供应商中标或者排斥其他供应商的其他串通行为；</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8.不同投标人的投标文件由同一单位或者个人编制；</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9.不同投标人委托同一单位或者个人办理投标事宜；</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10.不同投标人的投标文件载明的项目管理成员或者联系人员为同一人；</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11.不同投标人的投标文件异常一致或者投标报价呈规律性差异；</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12.不同投标人的投标文件相互混装。</w:t>
      </w:r>
    </w:p>
    <w:p>
      <w:pPr>
        <w:snapToGrid w:val="0"/>
        <w:spacing w:line="360" w:lineRule="auto"/>
        <w:ind w:firstLine="482" w:firstLineChars="200"/>
        <w:outlineLvl w:val="1"/>
        <w:rPr>
          <w:rFonts w:ascii="宋体" w:hAnsi="宋体" w:eastAsia="宋体" w:cs="宋体"/>
          <w:highlight w:val="none"/>
        </w:rPr>
      </w:pPr>
      <w:r>
        <w:rPr>
          <w:rFonts w:hint="eastAsia" w:ascii="宋体" w:hAnsi="宋体" w:eastAsia="宋体" w:cs="宋体"/>
          <w:b/>
          <w:bCs/>
          <w:highlight w:val="none"/>
        </w:rPr>
        <w:t>七、出现下列情形之一的，作废标处理</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1.符合资格条件的供应商或者对招标文件作实质响应的供应商不足</w:t>
      </w:r>
      <w:r>
        <w:rPr>
          <w:rFonts w:hint="eastAsia" w:ascii="宋体" w:hAnsi="宋体" w:eastAsia="宋体" w:cs="宋体"/>
          <w:highlight w:val="none"/>
          <w:lang w:val="en-US" w:eastAsia="zh-CN"/>
        </w:rPr>
        <w:t>五</w:t>
      </w:r>
      <w:r>
        <w:rPr>
          <w:rFonts w:hint="eastAsia" w:ascii="宋体" w:hAnsi="宋体" w:eastAsia="宋体" w:cs="宋体"/>
          <w:highlight w:val="none"/>
        </w:rPr>
        <w:t>家的；</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2.出现影响采购公正的违法违规行为的；</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3.所有投标人报价超出采购预算价的；</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4.评标委员会依据法律法规可以认定为废标的其他情况。</w:t>
      </w:r>
    </w:p>
    <w:p>
      <w:pPr>
        <w:snapToGrid w:val="0"/>
        <w:spacing w:line="360" w:lineRule="auto"/>
        <w:ind w:firstLine="482" w:firstLineChars="200"/>
        <w:outlineLvl w:val="1"/>
        <w:rPr>
          <w:rFonts w:ascii="宋体" w:hAnsi="宋体" w:eastAsia="宋体" w:cs="宋体"/>
          <w:highlight w:val="none"/>
        </w:rPr>
      </w:pPr>
      <w:r>
        <w:rPr>
          <w:rFonts w:hint="eastAsia" w:ascii="宋体" w:hAnsi="宋体" w:eastAsia="宋体" w:cs="宋体"/>
          <w:b/>
          <w:bCs/>
          <w:highlight w:val="none"/>
        </w:rPr>
        <w:t>八、因重大变故，采购任务被取消的，采购人或者采购代理机构应当终止采购活动，通知所有参加采购活动的供应商，并将项目实施情况和采购任务取消原因报送采购人的监管部门。</w:t>
      </w:r>
    </w:p>
    <w:p>
      <w:pPr>
        <w:snapToGrid w:val="0"/>
        <w:spacing w:line="360" w:lineRule="auto"/>
        <w:ind w:firstLine="482" w:firstLineChars="200"/>
        <w:outlineLvl w:val="1"/>
        <w:rPr>
          <w:rFonts w:ascii="宋体" w:hAnsi="宋体" w:eastAsia="宋体" w:cs="宋体"/>
          <w:b/>
          <w:bCs/>
          <w:highlight w:val="none"/>
        </w:rPr>
      </w:pPr>
      <w:r>
        <w:rPr>
          <w:rFonts w:hint="eastAsia" w:ascii="宋体" w:hAnsi="宋体" w:eastAsia="宋体" w:cs="宋体"/>
          <w:b/>
          <w:bCs/>
          <w:highlight w:val="none"/>
        </w:rPr>
        <w:t>九、中标通知</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1、开标结束后，招标采购单位自中标人确定之日起3个工作日内在指定媒体上公告中标结果。</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2、中标公告期限为1个工作日，期限结束后向中标人发出《中标通知书》。</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3、《中标通知书》一经发出，即具有法律效力。采购人、中标人依法承担法律责任。</w:t>
      </w:r>
    </w:p>
    <w:p>
      <w:pPr>
        <w:pageBreakBefore/>
        <w:tabs>
          <w:tab w:val="left" w:pos="1050"/>
          <w:tab w:val="left" w:pos="2375"/>
          <w:tab w:val="center" w:pos="4818"/>
          <w:tab w:val="right" w:leader="dot" w:pos="9402"/>
        </w:tabs>
        <w:spacing w:before="312" w:beforeLines="100" w:line="360" w:lineRule="auto"/>
        <w:jc w:val="center"/>
        <w:outlineLvl w:val="0"/>
        <w:rPr>
          <w:rFonts w:ascii="宋体" w:hAnsi="宋体" w:eastAsia="宋体" w:cs="宋体"/>
          <w:b/>
          <w:bCs/>
          <w:sz w:val="32"/>
          <w:szCs w:val="32"/>
          <w:highlight w:val="none"/>
        </w:rPr>
      </w:pPr>
      <w:r>
        <w:rPr>
          <w:rFonts w:hint="eastAsia" w:ascii="宋体" w:hAnsi="宋体" w:eastAsia="宋体" w:cs="宋体"/>
          <w:b/>
          <w:bCs/>
          <w:sz w:val="32"/>
          <w:szCs w:val="32"/>
          <w:highlight w:val="none"/>
        </w:rPr>
        <w:t>第五章 合同的授予和履约</w:t>
      </w:r>
    </w:p>
    <w:p>
      <w:pPr>
        <w:spacing w:line="360" w:lineRule="auto"/>
        <w:ind w:firstLine="484" w:firstLineChars="202"/>
        <w:rPr>
          <w:rFonts w:ascii="宋体" w:hAnsi="宋体" w:eastAsia="宋体" w:cs="宋体"/>
          <w:kern w:val="0"/>
          <w:highlight w:val="none"/>
        </w:rPr>
      </w:pPr>
      <w:bookmarkStart w:id="30" w:name="_Toc363573859"/>
      <w:bookmarkEnd w:id="30"/>
      <w:r>
        <w:rPr>
          <w:rFonts w:hint="eastAsia" w:ascii="宋体" w:hAnsi="宋体" w:eastAsia="宋体" w:cs="宋体"/>
          <w:kern w:val="0"/>
          <w:highlight w:val="none"/>
        </w:rPr>
        <w:t>一、中标人在接到采购代理机构发出送达的《中标通知书》后，30日内与采购人签订采购合同，所签合同不得对招标文件作实质性修改，否则由此给采购人造成损失的，中标人应承担赔偿责任。采购人不得向中标人提出不合理的要求作为签订合同的条件，不得与中标人私下订立背离招标文件实质性内容的合同（协议）。</w:t>
      </w:r>
    </w:p>
    <w:p>
      <w:pPr>
        <w:spacing w:line="360" w:lineRule="auto"/>
        <w:ind w:firstLine="484" w:firstLineChars="202"/>
        <w:rPr>
          <w:rFonts w:ascii="宋体" w:hAnsi="宋体" w:eastAsia="宋体" w:cs="宋体"/>
          <w:kern w:val="0"/>
          <w:highlight w:val="none"/>
        </w:rPr>
      </w:pPr>
      <w:r>
        <w:rPr>
          <w:rFonts w:hint="eastAsia" w:ascii="宋体" w:hAnsi="宋体" w:eastAsia="宋体" w:cs="宋体"/>
          <w:kern w:val="0"/>
          <w:highlight w:val="none"/>
        </w:rPr>
        <w:t>二、招标文件、中标人的投标文件及评审过程中的有关书面澄清、承诺等均应作为合同附件，具有同等的法律效力。</w:t>
      </w:r>
    </w:p>
    <w:p>
      <w:pPr>
        <w:spacing w:line="360" w:lineRule="auto"/>
        <w:ind w:firstLine="484" w:firstLineChars="202"/>
        <w:rPr>
          <w:rFonts w:ascii="宋体" w:hAnsi="宋体" w:eastAsia="宋体" w:cs="宋体"/>
          <w:kern w:val="0"/>
          <w:highlight w:val="none"/>
        </w:rPr>
      </w:pPr>
      <w:r>
        <w:rPr>
          <w:rFonts w:hint="eastAsia" w:ascii="宋体" w:hAnsi="宋体" w:eastAsia="宋体" w:cs="宋体"/>
          <w:kern w:val="0"/>
          <w:highlight w:val="none"/>
        </w:rPr>
        <w:t>三、采购人和中标人应相互配合，中标人须按采购合同约定积极组织本项目的融资贷款实施，确保按时履约提供服务贷款投放。</w:t>
      </w:r>
    </w:p>
    <w:p>
      <w:pPr>
        <w:spacing w:line="360" w:lineRule="auto"/>
        <w:ind w:firstLine="484" w:firstLineChars="202"/>
        <w:rPr>
          <w:rFonts w:ascii="宋体" w:hAnsi="宋体" w:eastAsia="宋体" w:cs="宋体"/>
          <w:kern w:val="0"/>
          <w:highlight w:val="none"/>
        </w:rPr>
      </w:pPr>
      <w:r>
        <w:rPr>
          <w:rFonts w:hint="eastAsia" w:ascii="宋体" w:hAnsi="宋体" w:eastAsia="宋体" w:cs="宋体"/>
          <w:kern w:val="0"/>
          <w:highlight w:val="none"/>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pPr>
        <w:pStyle w:val="22"/>
        <w:jc w:val="center"/>
        <w:rPr>
          <w:rFonts w:eastAsia="宋体" w:cs="宋体"/>
          <w:kern w:val="0"/>
          <w:highlight w:val="none"/>
        </w:rPr>
      </w:pPr>
    </w:p>
    <w:p>
      <w:pPr>
        <w:rPr>
          <w:rFonts w:ascii="宋体" w:hAnsi="宋体" w:eastAsia="宋体" w:cs="宋体"/>
          <w:kern w:val="0"/>
          <w:highlight w:val="none"/>
        </w:rPr>
      </w:pPr>
      <w:r>
        <w:rPr>
          <w:rFonts w:hint="eastAsia" w:ascii="宋体" w:hAnsi="宋体" w:eastAsia="宋体" w:cs="宋体"/>
          <w:kern w:val="0"/>
          <w:highlight w:val="none"/>
        </w:rPr>
        <w:br w:type="page"/>
      </w:r>
    </w:p>
    <w:p>
      <w:pPr>
        <w:pStyle w:val="22"/>
        <w:ind w:firstLine="960"/>
        <w:jc w:val="center"/>
        <w:rPr>
          <w:rFonts w:eastAsia="宋体" w:cs="宋体"/>
          <w:kern w:val="0"/>
          <w:sz w:val="48"/>
          <w:szCs w:val="48"/>
          <w:highlight w:val="none"/>
        </w:rPr>
      </w:pPr>
      <w:r>
        <w:rPr>
          <w:rFonts w:hint="eastAsia" w:eastAsia="宋体" w:cs="宋体"/>
          <w:kern w:val="0"/>
          <w:sz w:val="48"/>
          <w:szCs w:val="48"/>
          <w:highlight w:val="none"/>
        </w:rPr>
        <w:t>合 同</w:t>
      </w:r>
    </w:p>
    <w:p>
      <w:pPr>
        <w:spacing w:line="380" w:lineRule="exact"/>
        <w:jc w:val="left"/>
        <w:rPr>
          <w:rFonts w:ascii="宋体" w:hAnsi="宋体" w:eastAsia="宋体" w:cs="宋体"/>
          <w:highlight w:val="none"/>
          <w:u w:val="single"/>
        </w:rPr>
      </w:pPr>
      <w:r>
        <w:rPr>
          <w:rFonts w:hint="eastAsia" w:ascii="宋体" w:hAnsi="宋体" w:eastAsia="宋体" w:cs="宋体"/>
          <w:highlight w:val="none"/>
        </w:rPr>
        <w:t>委托人：</w:t>
      </w:r>
      <w:r>
        <w:rPr>
          <w:rFonts w:hint="eastAsia" w:ascii="宋体" w:hAnsi="宋体" w:eastAsia="宋体" w:cs="宋体"/>
          <w:highlight w:val="none"/>
          <w:u w:val="single"/>
        </w:rPr>
        <w:t xml:space="preserve">南通市崇川文化旅游发展有限公司 </w:t>
      </w:r>
      <w:r>
        <w:rPr>
          <w:rFonts w:hint="eastAsia" w:ascii="宋体" w:hAnsi="宋体" w:eastAsia="宋体" w:cs="宋体"/>
          <w:highlight w:val="none"/>
        </w:rPr>
        <w:t xml:space="preserve">      合同编号：</w:t>
      </w:r>
      <w:r>
        <w:rPr>
          <w:rFonts w:hint="eastAsia" w:ascii="宋体" w:hAnsi="宋体" w:eastAsia="宋体" w:cs="宋体"/>
          <w:highlight w:val="none"/>
          <w:u w:val="single"/>
        </w:rPr>
        <w:t xml:space="preserve">            </w:t>
      </w:r>
    </w:p>
    <w:p>
      <w:pPr>
        <w:tabs>
          <w:tab w:val="left" w:pos="6300"/>
          <w:tab w:val="left" w:pos="8640"/>
        </w:tabs>
        <w:spacing w:line="380" w:lineRule="exact"/>
        <w:ind w:right="51"/>
        <w:rPr>
          <w:rFonts w:ascii="宋体" w:hAnsi="宋体" w:eastAsia="宋体" w:cs="宋体"/>
          <w:highlight w:val="none"/>
          <w:u w:val="single"/>
        </w:rPr>
      </w:pPr>
      <w:r>
        <w:rPr>
          <w:rFonts w:hint="eastAsia" w:ascii="宋体" w:hAnsi="宋体" w:eastAsia="宋体" w:cs="宋体"/>
          <w:highlight w:val="none"/>
        </w:rPr>
        <w:t xml:space="preserve">                                             签订地点：</w:t>
      </w:r>
      <w:r>
        <w:rPr>
          <w:rFonts w:hint="eastAsia" w:ascii="宋体" w:hAnsi="宋体" w:eastAsia="宋体" w:cs="宋体"/>
          <w:highlight w:val="none"/>
          <w:u w:val="single"/>
        </w:rPr>
        <w:t xml:space="preserve">    南通     </w:t>
      </w:r>
    </w:p>
    <w:p>
      <w:pPr>
        <w:spacing w:line="380" w:lineRule="exact"/>
        <w:rPr>
          <w:rFonts w:ascii="宋体" w:hAnsi="宋体" w:eastAsia="宋体" w:cs="宋体"/>
          <w:highlight w:val="none"/>
          <w:u w:val="single"/>
        </w:rPr>
      </w:pPr>
      <w:r>
        <w:rPr>
          <w:rFonts w:hint="eastAsia" w:ascii="宋体" w:hAnsi="宋体" w:eastAsia="宋体" w:cs="宋体"/>
          <w:highlight w:val="none"/>
        </w:rPr>
        <w:t>拍卖人：</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签订时间：</w:t>
      </w:r>
      <w:r>
        <w:rPr>
          <w:rFonts w:hint="eastAsia" w:ascii="宋体" w:hAnsi="宋体" w:eastAsia="宋体" w:cs="宋体"/>
          <w:highlight w:val="none"/>
          <w:u w:val="single"/>
        </w:rPr>
        <w:t xml:space="preserve"> 2023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 xml:space="preserve">日 </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依据《中华人民共和国拍卖法》《中华人民共和国民法典》《江苏省合同监督管理办法》《拍卖监督管理暂行办法》（国家工商行政管理总局令第101号）及其他有关规定，经双方平等、自愿、协商达成协议如下：</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第一条  委托人保证对拍卖、拍租标的拥有无可争议的所有权（处分权，以下同），并根据拍卖人的要求提供拍卖、拍租标的的有关证明和资料，如实说明拍卖、拍租标的的瑕疵。</w:t>
      </w:r>
    </w:p>
    <w:p>
      <w:pPr>
        <w:spacing w:line="360" w:lineRule="auto"/>
        <w:ind w:firstLine="540"/>
        <w:rPr>
          <w:highlight w:val="none"/>
        </w:rPr>
      </w:pPr>
      <w:r>
        <w:rPr>
          <w:rFonts w:hint="eastAsia" w:ascii="宋体" w:hAnsi="宋体" w:eastAsia="宋体" w:cs="宋体"/>
          <w:highlight w:val="none"/>
        </w:rPr>
        <w:t>第二条  委托期限:</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日至</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pPr>
        <w:spacing w:line="360" w:lineRule="auto"/>
        <w:ind w:firstLine="540"/>
        <w:rPr>
          <w:rFonts w:ascii="宋体" w:hAnsi="宋体" w:eastAsia="宋体" w:cs="宋体"/>
          <w:highlight w:val="none"/>
        </w:rPr>
      </w:pPr>
      <w:r>
        <w:rPr>
          <w:rFonts w:hint="eastAsia" w:ascii="宋体" w:hAnsi="宋体" w:eastAsia="宋体" w:cs="宋体"/>
          <w:highlight w:val="none"/>
        </w:rPr>
        <w:t>第三条  拍卖、拍租标的的评估和鉴定</w:t>
      </w:r>
    </w:p>
    <w:p>
      <w:pPr>
        <w:spacing w:line="360" w:lineRule="auto"/>
        <w:ind w:firstLine="540"/>
        <w:rPr>
          <w:rFonts w:ascii="宋体" w:hAnsi="宋体" w:eastAsia="宋体" w:cs="宋体"/>
          <w:highlight w:val="none"/>
        </w:rPr>
      </w:pPr>
      <w:r>
        <w:rPr>
          <w:rFonts w:hint="eastAsia" w:ascii="宋体" w:hAnsi="宋体" w:eastAsia="宋体" w:cs="宋体"/>
          <w:highlight w:val="none"/>
        </w:rPr>
        <w:t>拍卖、拍租标的的评估和鉴定需要对拍卖、拍租标的进行评估的，可以委托评估，评估费用由</w:t>
      </w:r>
      <w:r>
        <w:rPr>
          <w:rFonts w:hint="eastAsia" w:ascii="宋体" w:hAnsi="宋体" w:eastAsia="宋体" w:cs="宋体"/>
          <w:highlight w:val="none"/>
          <w:u w:val="single"/>
        </w:rPr>
        <w:t xml:space="preserve"> 委托人 </w:t>
      </w:r>
      <w:r>
        <w:rPr>
          <w:rFonts w:hint="eastAsia" w:ascii="宋体" w:hAnsi="宋体" w:eastAsia="宋体" w:cs="宋体"/>
          <w:highlight w:val="none"/>
        </w:rPr>
        <w:t>承担。公告费由</w:t>
      </w:r>
      <w:r>
        <w:rPr>
          <w:rFonts w:hint="eastAsia" w:ascii="宋体" w:hAnsi="宋体" w:eastAsia="宋体" w:cs="宋体"/>
          <w:highlight w:val="none"/>
          <w:u w:val="single"/>
        </w:rPr>
        <w:t xml:space="preserve"> 拍卖人 </w:t>
      </w:r>
      <w:r>
        <w:rPr>
          <w:rFonts w:hint="eastAsia" w:ascii="宋体" w:hAnsi="宋体" w:eastAsia="宋体" w:cs="宋体"/>
          <w:highlight w:val="none"/>
        </w:rPr>
        <w:t>支付（委托人指定的媒体除外）。</w:t>
      </w:r>
    </w:p>
    <w:p>
      <w:pPr>
        <w:spacing w:line="360" w:lineRule="auto"/>
        <w:ind w:left="540"/>
        <w:rPr>
          <w:rFonts w:ascii="宋体" w:hAnsi="宋体" w:eastAsia="宋体" w:cs="宋体"/>
          <w:highlight w:val="none"/>
        </w:rPr>
      </w:pPr>
      <w:r>
        <w:rPr>
          <w:rFonts w:hint="eastAsia" w:ascii="宋体" w:hAnsi="宋体" w:eastAsia="宋体" w:cs="宋体"/>
          <w:highlight w:val="none"/>
        </w:rPr>
        <w:t>第四条  拍卖标的的交付（转移，以下同）及其时间、方式</w:t>
      </w:r>
    </w:p>
    <w:p>
      <w:pPr>
        <w:spacing w:line="360" w:lineRule="auto"/>
        <w:ind w:left="-2" w:leftChars="-1" w:firstLine="480" w:firstLineChars="200"/>
        <w:rPr>
          <w:rFonts w:ascii="宋体" w:hAnsi="宋体" w:eastAsia="宋体" w:cs="宋体"/>
          <w:highlight w:val="none"/>
        </w:rPr>
      </w:pPr>
      <w:r>
        <w:rPr>
          <w:rFonts w:hint="eastAsia" w:ascii="宋体" w:hAnsi="宋体" w:eastAsia="宋体" w:cs="宋体"/>
          <w:highlight w:val="none"/>
        </w:rPr>
        <w:t>拍卖标的经拍卖成交的，拍卖人应在 2个工作日内，将拍卖结果告知委托人。拍卖标的经拍卖成交的，由拍卖人协助委托人将标的交付买受人。 交付地点为标的物所在地现场交付，交付方式为</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left="-2" w:leftChars="-1" w:firstLine="480" w:firstLineChars="200"/>
        <w:rPr>
          <w:rFonts w:ascii="宋体" w:hAnsi="宋体" w:eastAsia="宋体" w:cs="宋体"/>
          <w:highlight w:val="none"/>
        </w:rPr>
      </w:pPr>
      <w:r>
        <w:rPr>
          <w:rFonts w:hint="eastAsia" w:ascii="宋体" w:hAnsi="宋体" w:eastAsia="宋体" w:cs="宋体"/>
          <w:highlight w:val="none"/>
        </w:rPr>
        <w:t>拍卖流卖或买受人最终毁约的，均视为不成交，不成交的房源在本次拍卖后即交回委托人所有，委托人可自行处置。</w:t>
      </w:r>
    </w:p>
    <w:p>
      <w:pPr>
        <w:spacing w:line="360" w:lineRule="auto"/>
        <w:ind w:left="-2" w:leftChars="-1" w:firstLine="480" w:firstLineChars="200"/>
        <w:rPr>
          <w:rFonts w:ascii="宋体" w:hAnsi="宋体" w:eastAsia="宋体" w:cs="宋体"/>
          <w:highlight w:val="none"/>
        </w:rPr>
      </w:pPr>
      <w:r>
        <w:rPr>
          <w:rFonts w:hint="eastAsia" w:ascii="宋体" w:hAnsi="宋体" w:eastAsia="宋体" w:cs="宋体"/>
          <w:highlight w:val="none"/>
        </w:rPr>
        <w:t>第五条    费用及其支付的方式、期限</w:t>
      </w:r>
    </w:p>
    <w:p>
      <w:pPr>
        <w:spacing w:line="360" w:lineRule="auto"/>
        <w:ind w:left="-2" w:leftChars="-1" w:firstLine="480" w:firstLineChars="200"/>
        <w:rPr>
          <w:rFonts w:ascii="宋体" w:hAnsi="宋体" w:eastAsia="宋体" w:cs="宋体"/>
          <w:highlight w:val="none"/>
        </w:rPr>
      </w:pPr>
      <w:r>
        <w:rPr>
          <w:rFonts w:hint="eastAsia" w:ascii="宋体" w:hAnsi="宋体" w:eastAsia="宋体" w:cs="宋体"/>
          <w:highlight w:val="none"/>
        </w:rPr>
        <w:t>收费标准：根据甲方设定下列最高</w:t>
      </w:r>
      <w:r>
        <w:rPr>
          <w:rFonts w:hint="eastAsia" w:ascii="宋体" w:hAnsi="宋体" w:eastAsia="宋体" w:cs="宋体"/>
          <w:highlight w:val="none"/>
          <w:lang w:val="en-US" w:eastAsia="zh-CN"/>
        </w:rPr>
        <w:t>收费</w:t>
      </w:r>
      <w:r>
        <w:rPr>
          <w:rFonts w:hint="eastAsia" w:ascii="宋体" w:hAnsi="宋体" w:eastAsia="宋体" w:cs="宋体"/>
          <w:highlight w:val="none"/>
        </w:rPr>
        <w:t>/费率，乙方下浮</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left="-2" w:leftChars="-1" w:firstLine="480" w:firstLineChars="200"/>
        <w:rPr>
          <w:rFonts w:hint="eastAsia" w:ascii="宋体" w:hAnsi="宋体" w:eastAsia="宋体" w:cs="宋体"/>
          <w:highlight w:val="none"/>
        </w:rPr>
      </w:pPr>
      <w:r>
        <w:rPr>
          <w:rFonts w:hint="eastAsia" w:ascii="宋体" w:hAnsi="宋体" w:eastAsia="宋体" w:cs="宋体"/>
          <w:highlight w:val="none"/>
        </w:rPr>
        <w:t>甲方设定最高收费/费率标准如下：</w:t>
      </w:r>
    </w:p>
    <w:tbl>
      <w:tblPr>
        <w:tblStyle w:val="14"/>
        <w:tblpPr w:vertAnchor="text"/>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01"/>
        <w:gridCol w:w="4317"/>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801" w:type="dxa"/>
            <w:tcMar>
              <w:left w:w="108" w:type="dxa"/>
              <w:right w:w="108" w:type="dxa"/>
            </w:tcMar>
            <w:vAlign w:val="center"/>
          </w:tcPr>
          <w:p>
            <w:pPr>
              <w:adjustRightInd w:val="0"/>
              <w:snapToGrid w:val="0"/>
              <w:jc w:val="center"/>
              <w:rPr>
                <w:rFonts w:ascii="宋体" w:hAnsi="宋体" w:eastAsia="宋体" w:cs="宋体"/>
                <w:b/>
                <w:bCs/>
                <w:highlight w:val="none"/>
              </w:rPr>
            </w:pPr>
            <w:r>
              <w:rPr>
                <w:rFonts w:hint="eastAsia" w:ascii="宋体" w:hAnsi="宋体" w:eastAsia="宋体" w:cs="宋体"/>
                <w:b/>
                <w:bCs/>
                <w:highlight w:val="none"/>
              </w:rPr>
              <w:t>档次</w:t>
            </w:r>
          </w:p>
        </w:tc>
        <w:tc>
          <w:tcPr>
            <w:tcW w:w="4317" w:type="dxa"/>
            <w:tcMar>
              <w:left w:w="108" w:type="dxa"/>
              <w:right w:w="108" w:type="dxa"/>
            </w:tcMar>
            <w:vAlign w:val="center"/>
          </w:tcPr>
          <w:p>
            <w:pPr>
              <w:adjustRightInd w:val="0"/>
              <w:snapToGrid w:val="0"/>
              <w:jc w:val="center"/>
              <w:rPr>
                <w:rFonts w:ascii="宋体" w:hAnsi="宋体" w:eastAsia="宋体" w:cs="宋体"/>
                <w:b/>
                <w:bCs/>
                <w:highlight w:val="none"/>
              </w:rPr>
            </w:pPr>
            <w:r>
              <w:rPr>
                <w:rFonts w:hint="eastAsia" w:ascii="宋体" w:hAnsi="宋体" w:eastAsia="宋体" w:cs="宋体"/>
                <w:b/>
                <w:bCs/>
                <w:highlight w:val="none"/>
              </w:rPr>
              <w:t>拍卖资产成交价格（万元）</w:t>
            </w:r>
          </w:p>
        </w:tc>
        <w:tc>
          <w:tcPr>
            <w:tcW w:w="3067" w:type="dxa"/>
            <w:tcMar>
              <w:left w:w="108" w:type="dxa"/>
              <w:right w:w="108" w:type="dxa"/>
            </w:tcMar>
            <w:vAlign w:val="center"/>
          </w:tcPr>
          <w:p>
            <w:pPr>
              <w:adjustRightInd w:val="0"/>
              <w:snapToGrid w:val="0"/>
              <w:jc w:val="center"/>
              <w:rPr>
                <w:rFonts w:ascii="宋体" w:hAnsi="宋体" w:eastAsia="宋体" w:cs="宋体"/>
                <w:b/>
                <w:bCs/>
                <w:highlight w:val="none"/>
              </w:rPr>
            </w:pPr>
            <w:r>
              <w:rPr>
                <w:rFonts w:hint="eastAsia" w:ascii="宋体" w:hAnsi="宋体" w:eastAsia="宋体" w:cs="宋体"/>
                <w:b/>
                <w:bCs/>
                <w:highlight w:val="none"/>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1801"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1</w:t>
            </w:r>
          </w:p>
        </w:tc>
        <w:tc>
          <w:tcPr>
            <w:tcW w:w="431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100以下（不含1</w:t>
            </w:r>
            <w:r>
              <w:rPr>
                <w:rFonts w:ascii="宋体" w:hAnsi="宋体" w:eastAsia="宋体" w:cs="宋体"/>
                <w:highlight w:val="none"/>
              </w:rPr>
              <w:t>00</w:t>
            </w:r>
            <w:r>
              <w:rPr>
                <w:rFonts w:hint="eastAsia" w:ascii="宋体" w:hAnsi="宋体" w:eastAsia="宋体" w:cs="宋体"/>
                <w:highlight w:val="none"/>
              </w:rPr>
              <w:t>）</w:t>
            </w:r>
          </w:p>
        </w:tc>
        <w:tc>
          <w:tcPr>
            <w:tcW w:w="306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801"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2</w:t>
            </w:r>
          </w:p>
        </w:tc>
        <w:tc>
          <w:tcPr>
            <w:tcW w:w="431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100-200（含100，下同）</w:t>
            </w:r>
          </w:p>
        </w:tc>
        <w:tc>
          <w:tcPr>
            <w:tcW w:w="306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801"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3</w:t>
            </w:r>
          </w:p>
        </w:tc>
        <w:tc>
          <w:tcPr>
            <w:tcW w:w="431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200-500</w:t>
            </w:r>
          </w:p>
        </w:tc>
        <w:tc>
          <w:tcPr>
            <w:tcW w:w="306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1801"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4</w:t>
            </w:r>
          </w:p>
        </w:tc>
        <w:tc>
          <w:tcPr>
            <w:tcW w:w="431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500-1000</w:t>
            </w:r>
          </w:p>
        </w:tc>
        <w:tc>
          <w:tcPr>
            <w:tcW w:w="306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801"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5</w:t>
            </w:r>
          </w:p>
        </w:tc>
        <w:tc>
          <w:tcPr>
            <w:tcW w:w="431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1000-5000</w:t>
            </w:r>
          </w:p>
        </w:tc>
        <w:tc>
          <w:tcPr>
            <w:tcW w:w="306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801"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6</w:t>
            </w:r>
          </w:p>
        </w:tc>
        <w:tc>
          <w:tcPr>
            <w:tcW w:w="431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5000-10000</w:t>
            </w:r>
          </w:p>
        </w:tc>
        <w:tc>
          <w:tcPr>
            <w:tcW w:w="306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801"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7</w:t>
            </w:r>
          </w:p>
        </w:tc>
        <w:tc>
          <w:tcPr>
            <w:tcW w:w="431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10000以上</w:t>
            </w:r>
          </w:p>
        </w:tc>
        <w:tc>
          <w:tcPr>
            <w:tcW w:w="306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1801" w:type="dxa"/>
            <w:tcMar>
              <w:left w:w="108" w:type="dxa"/>
              <w:right w:w="108" w:type="dxa"/>
            </w:tcMar>
            <w:vAlign w:val="center"/>
          </w:tcPr>
          <w:p>
            <w:pPr>
              <w:adjustRightInd w:val="0"/>
              <w:snapToGrid w:val="0"/>
              <w:jc w:val="center"/>
              <w:rPr>
                <w:rFonts w:ascii="宋体" w:hAnsi="宋体" w:eastAsia="宋体" w:cs="宋体"/>
                <w:b/>
                <w:bCs/>
                <w:highlight w:val="none"/>
              </w:rPr>
            </w:pPr>
            <w:r>
              <w:rPr>
                <w:rFonts w:hint="eastAsia" w:ascii="宋体" w:hAnsi="宋体" w:eastAsia="宋体" w:cs="宋体"/>
                <w:b/>
                <w:bCs/>
                <w:highlight w:val="none"/>
              </w:rPr>
              <w:t>档次</w:t>
            </w:r>
          </w:p>
        </w:tc>
        <w:tc>
          <w:tcPr>
            <w:tcW w:w="4317" w:type="dxa"/>
            <w:tcMar>
              <w:left w:w="108" w:type="dxa"/>
              <w:right w:w="108" w:type="dxa"/>
            </w:tcMar>
            <w:vAlign w:val="center"/>
          </w:tcPr>
          <w:p>
            <w:pPr>
              <w:adjustRightInd w:val="0"/>
              <w:snapToGrid w:val="0"/>
              <w:jc w:val="center"/>
              <w:rPr>
                <w:rFonts w:ascii="宋体" w:hAnsi="宋体" w:eastAsia="宋体" w:cs="宋体"/>
                <w:b/>
                <w:bCs/>
                <w:highlight w:val="none"/>
              </w:rPr>
            </w:pPr>
            <w:r>
              <w:rPr>
                <w:rFonts w:hint="eastAsia" w:ascii="宋体" w:hAnsi="宋体" w:eastAsia="宋体" w:cs="宋体"/>
                <w:b/>
                <w:bCs/>
                <w:highlight w:val="none"/>
              </w:rPr>
              <w:t>拍租资产成交年租金（万元）</w:t>
            </w:r>
          </w:p>
        </w:tc>
        <w:tc>
          <w:tcPr>
            <w:tcW w:w="3067" w:type="dxa"/>
            <w:tcMar>
              <w:left w:w="108" w:type="dxa"/>
              <w:right w:w="108" w:type="dxa"/>
            </w:tcMar>
            <w:vAlign w:val="center"/>
          </w:tcPr>
          <w:p>
            <w:pPr>
              <w:adjustRightInd w:val="0"/>
              <w:snapToGrid w:val="0"/>
              <w:jc w:val="center"/>
              <w:rPr>
                <w:rFonts w:ascii="宋体" w:hAnsi="宋体" w:eastAsia="宋体" w:cs="宋体"/>
                <w:b/>
                <w:bCs/>
                <w:highlight w:val="none"/>
              </w:rPr>
            </w:pPr>
            <w:r>
              <w:rPr>
                <w:rFonts w:hint="eastAsia" w:ascii="宋体" w:hAnsi="宋体" w:eastAsia="宋体" w:cs="宋体"/>
                <w:b/>
                <w:bCs/>
                <w:highlight w:val="none"/>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801" w:type="dxa"/>
            <w:tcMar>
              <w:left w:w="108" w:type="dxa"/>
              <w:right w:w="108" w:type="dxa"/>
            </w:tcMar>
            <w:vAlign w:val="center"/>
          </w:tcPr>
          <w:p>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8</w:t>
            </w:r>
          </w:p>
        </w:tc>
        <w:tc>
          <w:tcPr>
            <w:tcW w:w="431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10以下（不含1</w:t>
            </w:r>
            <w:r>
              <w:rPr>
                <w:rFonts w:ascii="宋体" w:hAnsi="宋体" w:eastAsia="宋体" w:cs="宋体"/>
                <w:highlight w:val="none"/>
              </w:rPr>
              <w:t>0</w:t>
            </w:r>
            <w:r>
              <w:rPr>
                <w:rFonts w:hint="eastAsia" w:ascii="宋体" w:hAnsi="宋体" w:eastAsia="宋体" w:cs="宋体"/>
                <w:highlight w:val="none"/>
              </w:rPr>
              <w:t>）</w:t>
            </w:r>
          </w:p>
        </w:tc>
        <w:tc>
          <w:tcPr>
            <w:tcW w:w="306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1801" w:type="dxa"/>
            <w:tcMar>
              <w:left w:w="108" w:type="dxa"/>
              <w:right w:w="108" w:type="dxa"/>
            </w:tcMar>
            <w:vAlign w:val="center"/>
          </w:tcPr>
          <w:p>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9</w:t>
            </w:r>
          </w:p>
        </w:tc>
        <w:tc>
          <w:tcPr>
            <w:tcW w:w="431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10-15（含10，下同）</w:t>
            </w:r>
          </w:p>
        </w:tc>
        <w:tc>
          <w:tcPr>
            <w:tcW w:w="306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1801" w:type="dxa"/>
            <w:tcMar>
              <w:left w:w="108" w:type="dxa"/>
              <w:right w:w="108" w:type="dxa"/>
            </w:tcMar>
            <w:vAlign w:val="center"/>
          </w:tcPr>
          <w:p>
            <w:pPr>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431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15-20</w:t>
            </w:r>
          </w:p>
        </w:tc>
        <w:tc>
          <w:tcPr>
            <w:tcW w:w="306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1801" w:type="dxa"/>
            <w:tcMar>
              <w:left w:w="108" w:type="dxa"/>
              <w:right w:w="108" w:type="dxa"/>
            </w:tcMar>
            <w:vAlign w:val="center"/>
          </w:tcPr>
          <w:p>
            <w:pPr>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11</w:t>
            </w:r>
          </w:p>
        </w:tc>
        <w:tc>
          <w:tcPr>
            <w:tcW w:w="431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20-50</w:t>
            </w:r>
          </w:p>
        </w:tc>
        <w:tc>
          <w:tcPr>
            <w:tcW w:w="306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801" w:type="dxa"/>
            <w:tcMar>
              <w:left w:w="108" w:type="dxa"/>
              <w:right w:w="108" w:type="dxa"/>
            </w:tcMar>
            <w:vAlign w:val="center"/>
          </w:tcPr>
          <w:p>
            <w:pPr>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12</w:t>
            </w:r>
          </w:p>
        </w:tc>
        <w:tc>
          <w:tcPr>
            <w:tcW w:w="431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50-100</w:t>
            </w:r>
          </w:p>
        </w:tc>
        <w:tc>
          <w:tcPr>
            <w:tcW w:w="306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1801" w:type="dxa"/>
            <w:tcMar>
              <w:left w:w="108" w:type="dxa"/>
              <w:right w:w="108" w:type="dxa"/>
            </w:tcMar>
            <w:vAlign w:val="center"/>
          </w:tcPr>
          <w:p>
            <w:pPr>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13</w:t>
            </w:r>
          </w:p>
        </w:tc>
        <w:tc>
          <w:tcPr>
            <w:tcW w:w="431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100-200</w:t>
            </w:r>
          </w:p>
        </w:tc>
        <w:tc>
          <w:tcPr>
            <w:tcW w:w="306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1801" w:type="dxa"/>
            <w:tcMar>
              <w:left w:w="108" w:type="dxa"/>
              <w:right w:w="108" w:type="dxa"/>
            </w:tcMar>
            <w:vAlign w:val="center"/>
          </w:tcPr>
          <w:p>
            <w:pPr>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14</w:t>
            </w:r>
          </w:p>
        </w:tc>
        <w:tc>
          <w:tcPr>
            <w:tcW w:w="4317" w:type="dxa"/>
            <w:tcMar>
              <w:left w:w="108" w:type="dxa"/>
              <w:right w:w="108" w:type="dxa"/>
            </w:tcMar>
            <w:vAlign w:val="center"/>
          </w:tcPr>
          <w:p>
            <w:pPr>
              <w:jc w:val="center"/>
              <w:rPr>
                <w:rFonts w:ascii="宋体" w:hAnsi="宋体" w:eastAsia="宋体" w:cs="宋体"/>
                <w:highlight w:val="none"/>
              </w:rPr>
            </w:pPr>
            <w:r>
              <w:rPr>
                <w:rFonts w:hint="eastAsia" w:ascii="宋体" w:hAnsi="宋体" w:eastAsia="宋体" w:cs="宋体"/>
                <w:highlight w:val="none"/>
              </w:rPr>
              <w:t>200以上</w:t>
            </w:r>
          </w:p>
        </w:tc>
        <w:tc>
          <w:tcPr>
            <w:tcW w:w="3067" w:type="dxa"/>
            <w:tcMar>
              <w:left w:w="108" w:type="dxa"/>
              <w:right w:w="108" w:type="dxa"/>
            </w:tcMar>
            <w:vAlign w:val="center"/>
          </w:tcPr>
          <w:p>
            <w:pPr>
              <w:adjustRightInd w:val="0"/>
              <w:snapToGrid w:val="0"/>
              <w:jc w:val="center"/>
              <w:rPr>
                <w:rFonts w:ascii="宋体" w:hAnsi="宋体" w:eastAsia="宋体" w:cs="宋体"/>
                <w:highlight w:val="none"/>
              </w:rPr>
            </w:pPr>
            <w:r>
              <w:rPr>
                <w:rFonts w:hint="eastAsia" w:ascii="宋体" w:hAnsi="宋体" w:eastAsia="宋体" w:cs="宋体"/>
                <w:highlight w:val="none"/>
              </w:rPr>
              <w:t>0.15</w:t>
            </w:r>
          </w:p>
        </w:tc>
      </w:tr>
    </w:tbl>
    <w:p>
      <w:pPr>
        <w:spacing w:line="360" w:lineRule="auto"/>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以上收费方式为按成交金额差额定律累进计费。拍卖（租） 服务费由买受人（</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承租人）支付。每次最低收费标准为1000元，最高收费不超过100万元。</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拍卖标的经拍卖成交的，拍卖人应在拍卖成交到账之日起</w:t>
      </w:r>
      <w:r>
        <w:rPr>
          <w:rFonts w:hint="eastAsia" w:ascii="宋体" w:hAnsi="宋体" w:eastAsia="宋体" w:cs="宋体"/>
          <w:highlight w:val="none"/>
          <w:u w:val="single"/>
        </w:rPr>
        <w:t xml:space="preserve"> 5 </w:t>
      </w:r>
      <w:r>
        <w:rPr>
          <w:rFonts w:hint="eastAsia" w:ascii="宋体" w:hAnsi="宋体" w:eastAsia="宋体" w:cs="宋体"/>
          <w:highlight w:val="none"/>
        </w:rPr>
        <w:t>日内，将拍卖成交款支付给委托人，支付方式为</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lang w:val="en-US" w:eastAsia="zh-CN"/>
        </w:rPr>
        <w:t>拍卖人</w:t>
      </w:r>
      <w:r>
        <w:rPr>
          <w:rFonts w:hint="eastAsia" w:ascii="宋体" w:hAnsi="宋体" w:eastAsia="宋体" w:cs="宋体"/>
          <w:highlight w:val="none"/>
        </w:rPr>
        <w:t>履约保证金经拍卖结束后，双方无异议，一个月内无息退还）</w:t>
      </w:r>
    </w:p>
    <w:p>
      <w:pPr>
        <w:tabs>
          <w:tab w:val="right" w:pos="8306"/>
        </w:tabs>
        <w:spacing w:line="360" w:lineRule="auto"/>
        <w:ind w:firstLine="540"/>
        <w:rPr>
          <w:rFonts w:ascii="宋体" w:hAnsi="宋体" w:eastAsia="宋体" w:cs="宋体"/>
          <w:highlight w:val="none"/>
        </w:rPr>
      </w:pPr>
      <w:r>
        <w:rPr>
          <w:rFonts w:hint="eastAsia" w:ascii="宋体" w:hAnsi="宋体" w:eastAsia="宋体" w:cs="宋体"/>
          <w:highlight w:val="none"/>
        </w:rPr>
        <w:t>第六条 履约保证金</w:t>
      </w:r>
    </w:p>
    <w:p>
      <w:pPr>
        <w:tabs>
          <w:tab w:val="right" w:pos="8306"/>
        </w:tabs>
        <w:spacing w:line="360" w:lineRule="auto"/>
        <w:ind w:firstLine="540"/>
        <w:rPr>
          <w:rFonts w:ascii="宋体" w:hAnsi="宋体" w:eastAsia="宋体" w:cs="宋体"/>
          <w:highlight w:val="none"/>
        </w:rPr>
      </w:pPr>
      <w:r>
        <w:rPr>
          <w:rFonts w:hint="eastAsia" w:ascii="宋体" w:hAnsi="宋体" w:eastAsia="宋体" w:cs="宋体"/>
          <w:highlight w:val="none"/>
        </w:rPr>
        <w:t>拍卖人缴履约保证金</w:t>
      </w:r>
      <w:r>
        <w:rPr>
          <w:rFonts w:hint="eastAsia" w:ascii="宋体" w:hAnsi="宋体" w:eastAsia="宋体" w:cs="宋体"/>
          <w:highlight w:val="none"/>
          <w:u w:val="single"/>
        </w:rPr>
        <w:t xml:space="preserve">          </w:t>
      </w:r>
      <w:r>
        <w:rPr>
          <w:rFonts w:hint="eastAsia" w:ascii="宋体" w:hAnsi="宋体" w:eastAsia="宋体" w:cs="宋体"/>
          <w:highlight w:val="none"/>
        </w:rPr>
        <w:t>至委托人账户。拍卖合同到期或拍卖项目结束，拍卖人无违约责任由委托方无息退还至拍卖人账户。</w:t>
      </w:r>
    </w:p>
    <w:p>
      <w:pPr>
        <w:numPr>
          <w:ilvl w:val="0"/>
          <w:numId w:val="3"/>
        </w:numPr>
        <w:tabs>
          <w:tab w:val="left" w:pos="0"/>
        </w:tabs>
        <w:spacing w:line="360" w:lineRule="auto"/>
        <w:ind w:firstLine="480" w:firstLineChars="200"/>
        <w:rPr>
          <w:highlight w:val="none"/>
        </w:rPr>
      </w:pPr>
      <w:r>
        <w:rPr>
          <w:rFonts w:hint="eastAsia" w:ascii="宋体" w:hAnsi="宋体" w:eastAsia="宋体" w:cs="宋体"/>
          <w:highlight w:val="none"/>
        </w:rPr>
        <w:t xml:space="preserve"> 拍卖标的的撤回和撤除  </w:t>
      </w:r>
    </w:p>
    <w:p>
      <w:pPr>
        <w:tabs>
          <w:tab w:val="left" w:pos="0"/>
        </w:tabs>
        <w:spacing w:line="360" w:lineRule="auto"/>
        <w:ind w:firstLine="480" w:firstLineChars="200"/>
        <w:rPr>
          <w:rFonts w:ascii="宋体" w:hAnsi="宋体" w:eastAsia="宋体" w:cs="宋体"/>
          <w:highlight w:val="none"/>
        </w:rPr>
      </w:pPr>
      <w:r>
        <w:rPr>
          <w:rFonts w:hint="eastAsia" w:ascii="宋体" w:hAnsi="宋体" w:eastAsia="宋体" w:cs="宋体"/>
          <w:highlight w:val="none"/>
        </w:rPr>
        <w:t>委托人在拍卖公告前撤回拍卖标的的（部分调整除外），应向拍卖人支付如下费用</w:t>
      </w:r>
      <w:r>
        <w:rPr>
          <w:rFonts w:hint="eastAsia" w:ascii="宋体" w:hAnsi="宋体" w:eastAsia="宋体" w:cs="宋体"/>
          <w:highlight w:val="none"/>
          <w:u w:val="single"/>
        </w:rPr>
        <w:t xml:space="preserve">  已经发生的招商费用  </w:t>
      </w:r>
      <w:r>
        <w:rPr>
          <w:rFonts w:hint="eastAsia" w:ascii="宋体" w:hAnsi="宋体" w:eastAsia="宋体" w:cs="宋体"/>
          <w:highlight w:val="none"/>
        </w:rPr>
        <w:t>。委托人在拍卖公告后但在拍卖前撤回拍卖标的的，除应当支付上述费用外，还应当承担拍卖人已经发生的</w:t>
      </w:r>
      <w:r>
        <w:rPr>
          <w:rFonts w:hint="eastAsia" w:ascii="宋体" w:hAnsi="宋体" w:eastAsia="宋体" w:cs="宋体"/>
          <w:highlight w:val="none"/>
          <w:u w:val="single"/>
        </w:rPr>
        <w:t xml:space="preserve"> 公告费、差旅费、通讯费  </w:t>
      </w:r>
      <w:r>
        <w:rPr>
          <w:rFonts w:hint="eastAsia" w:ascii="宋体" w:hAnsi="宋体" w:eastAsia="宋体" w:cs="宋体"/>
          <w:highlight w:val="none"/>
        </w:rPr>
        <w:t>等费用及因委托人撤拍而造成竞买人所发生的损失。</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委托人在约定期限不履行付款义务的，拍卖人有权从拍卖价款中予以扣除。</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拍卖人有足够理由证明拍卖标的存在下列情况之一的，拍卖人可以中止拍卖活动，并有权追究委托人法律责任：</w:t>
      </w:r>
    </w:p>
    <w:p>
      <w:pPr>
        <w:numPr>
          <w:ilvl w:val="0"/>
          <w:numId w:val="4"/>
        </w:numPr>
        <w:spacing w:line="360" w:lineRule="auto"/>
        <w:rPr>
          <w:rFonts w:ascii="宋体" w:hAnsi="宋体" w:eastAsia="宋体" w:cs="宋体"/>
          <w:highlight w:val="none"/>
        </w:rPr>
      </w:pPr>
      <w:r>
        <w:rPr>
          <w:rFonts w:hint="eastAsia" w:ascii="宋体" w:hAnsi="宋体" w:eastAsia="宋体" w:cs="宋体"/>
          <w:highlight w:val="none"/>
        </w:rPr>
        <w:t>拍卖标的的权属状况与委托人声明不一致的；</w:t>
      </w:r>
    </w:p>
    <w:p>
      <w:pPr>
        <w:numPr>
          <w:ilvl w:val="0"/>
          <w:numId w:val="4"/>
        </w:numPr>
        <w:spacing w:line="360" w:lineRule="auto"/>
        <w:rPr>
          <w:rFonts w:ascii="宋体" w:hAnsi="宋体" w:eastAsia="宋体" w:cs="宋体"/>
          <w:highlight w:val="none"/>
        </w:rPr>
      </w:pPr>
      <w:r>
        <w:rPr>
          <w:rFonts w:hint="eastAsia" w:ascii="宋体" w:hAnsi="宋体" w:eastAsia="宋体" w:cs="宋体"/>
          <w:highlight w:val="none"/>
        </w:rPr>
        <w:t>拍卖标的存在委托人未声明的重大瑕疵的；</w:t>
      </w:r>
    </w:p>
    <w:p>
      <w:pPr>
        <w:numPr>
          <w:ilvl w:val="0"/>
          <w:numId w:val="3"/>
        </w:numPr>
        <w:tabs>
          <w:tab w:val="left" w:pos="1620"/>
        </w:tabs>
        <w:spacing w:line="360" w:lineRule="auto"/>
        <w:ind w:firstLine="480" w:firstLineChars="200"/>
        <w:rPr>
          <w:rFonts w:ascii="宋体" w:hAnsi="宋体" w:eastAsia="宋体" w:cs="宋体"/>
          <w:highlight w:val="none"/>
        </w:rPr>
      </w:pPr>
      <w:r>
        <w:rPr>
          <w:rFonts w:hint="eastAsia" w:ascii="宋体" w:hAnsi="宋体" w:eastAsia="宋体" w:cs="宋体"/>
          <w:highlight w:val="none"/>
        </w:rPr>
        <w:t xml:space="preserve"> 拍品标的未实现交付的约定  </w:t>
      </w:r>
    </w:p>
    <w:p>
      <w:pPr>
        <w:tabs>
          <w:tab w:val="left" w:pos="1620"/>
        </w:tabs>
        <w:spacing w:line="360" w:lineRule="auto"/>
        <w:ind w:firstLine="480" w:firstLineChars="200"/>
        <w:rPr>
          <w:rFonts w:ascii="宋体" w:hAnsi="宋体" w:eastAsia="宋体" w:cs="宋体"/>
          <w:highlight w:val="none"/>
        </w:rPr>
      </w:pPr>
      <w:r>
        <w:rPr>
          <w:rFonts w:hint="eastAsia" w:ascii="宋体" w:hAnsi="宋体" w:eastAsia="宋体" w:cs="宋体"/>
          <w:highlight w:val="none"/>
        </w:rPr>
        <w:t>因委托人未交割的原因致使拍卖标的未能实现交付的，委托人应承担由此给买受人、拍卖人造成的损失。</w:t>
      </w:r>
    </w:p>
    <w:p>
      <w:pPr>
        <w:numPr>
          <w:ilvl w:val="0"/>
          <w:numId w:val="3"/>
        </w:numPr>
        <w:spacing w:line="360" w:lineRule="auto"/>
        <w:ind w:firstLine="480" w:firstLineChars="200"/>
        <w:rPr>
          <w:rFonts w:ascii="宋体" w:hAnsi="宋体" w:eastAsia="宋体" w:cs="宋体"/>
          <w:highlight w:val="none"/>
        </w:rPr>
      </w:pPr>
      <w:r>
        <w:rPr>
          <w:rFonts w:hint="eastAsia" w:ascii="宋体" w:hAnsi="宋体" w:eastAsia="宋体" w:cs="宋体"/>
          <w:highlight w:val="none"/>
        </w:rPr>
        <w:t xml:space="preserve"> 保密约定  </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拍卖人应当对委托人的</w:t>
      </w:r>
      <w:r>
        <w:rPr>
          <w:rFonts w:hint="eastAsia" w:ascii="宋体" w:hAnsi="宋体" w:eastAsia="宋体" w:cs="宋体"/>
          <w:highlight w:val="none"/>
          <w:u w:val="single"/>
        </w:rPr>
        <w:t xml:space="preserve">   保留价  </w:t>
      </w:r>
      <w:r>
        <w:rPr>
          <w:rFonts w:hint="eastAsia" w:ascii="宋体" w:hAnsi="宋体" w:eastAsia="宋体" w:cs="宋体"/>
          <w:highlight w:val="none"/>
        </w:rPr>
        <w:t>进行保密。保密约定对司法机关和政府监管机关不适用。</w:t>
      </w:r>
    </w:p>
    <w:p>
      <w:pPr>
        <w:tabs>
          <w:tab w:val="left" w:pos="1620"/>
        </w:tabs>
        <w:spacing w:line="360" w:lineRule="auto"/>
        <w:ind w:firstLine="360" w:firstLineChars="150"/>
        <w:rPr>
          <w:rFonts w:ascii="宋体" w:hAnsi="宋体" w:eastAsia="宋体" w:cs="宋体"/>
          <w:highlight w:val="none"/>
        </w:rPr>
      </w:pPr>
      <w:r>
        <w:rPr>
          <w:rFonts w:hint="eastAsia" w:ascii="宋体" w:hAnsi="宋体" w:eastAsia="宋体" w:cs="宋体"/>
          <w:highlight w:val="none"/>
        </w:rPr>
        <w:t>第十条  其他约定</w:t>
      </w:r>
    </w:p>
    <w:p>
      <w:pPr>
        <w:numPr>
          <w:ilvl w:val="0"/>
          <w:numId w:val="5"/>
        </w:numPr>
        <w:spacing w:line="360" w:lineRule="auto"/>
        <w:rPr>
          <w:rFonts w:ascii="宋体" w:hAnsi="宋体" w:eastAsia="宋体" w:cs="宋体"/>
          <w:highlight w:val="none"/>
        </w:rPr>
      </w:pPr>
      <w:r>
        <w:rPr>
          <w:rFonts w:hint="eastAsia" w:ascii="宋体" w:hAnsi="宋体" w:eastAsia="宋体" w:cs="宋体"/>
          <w:highlight w:val="none"/>
        </w:rPr>
        <w:t>委托人不得参与竞买，也不得委托他人代为竞买本合同所列标的；</w:t>
      </w:r>
    </w:p>
    <w:p>
      <w:pPr>
        <w:numPr>
          <w:ilvl w:val="0"/>
          <w:numId w:val="5"/>
        </w:numPr>
        <w:spacing w:line="360" w:lineRule="auto"/>
        <w:rPr>
          <w:rFonts w:ascii="宋体" w:hAnsi="宋体" w:eastAsia="宋体" w:cs="宋体"/>
          <w:highlight w:val="none"/>
        </w:rPr>
      </w:pPr>
      <w:r>
        <w:rPr>
          <w:rFonts w:hint="eastAsia" w:ascii="宋体" w:hAnsi="宋体" w:eastAsia="宋体" w:cs="宋体"/>
          <w:highlight w:val="none"/>
        </w:rPr>
        <w:t>拍卖人不得擅自变更拍卖标的保留底价，不得低于保留底价进行拍卖；</w:t>
      </w:r>
    </w:p>
    <w:p>
      <w:pPr>
        <w:numPr>
          <w:ilvl w:val="0"/>
          <w:numId w:val="5"/>
        </w:numPr>
        <w:spacing w:line="360" w:lineRule="auto"/>
        <w:rPr>
          <w:rFonts w:ascii="宋体" w:hAnsi="宋体" w:eastAsia="宋体" w:cs="宋体"/>
          <w:highlight w:val="none"/>
        </w:rPr>
      </w:pPr>
      <w:r>
        <w:rPr>
          <w:rFonts w:hint="eastAsia" w:ascii="宋体" w:hAnsi="宋体" w:eastAsia="宋体" w:cs="宋体"/>
          <w:highlight w:val="none"/>
        </w:rPr>
        <w:t>拍卖人不得擅自将拍卖标的委托他人进行拍卖；</w:t>
      </w:r>
    </w:p>
    <w:p>
      <w:pPr>
        <w:numPr>
          <w:ilvl w:val="0"/>
          <w:numId w:val="5"/>
        </w:numPr>
        <w:spacing w:line="360" w:lineRule="auto"/>
        <w:ind w:left="0" w:firstLine="480"/>
        <w:rPr>
          <w:rFonts w:ascii="宋体" w:hAnsi="宋体" w:eastAsia="宋体" w:cs="宋体"/>
          <w:highlight w:val="none"/>
        </w:rPr>
      </w:pPr>
      <w:r>
        <w:rPr>
          <w:rFonts w:hint="eastAsia" w:ascii="宋体" w:hAnsi="宋体" w:eastAsia="宋体" w:cs="宋体"/>
          <w:highlight w:val="none"/>
        </w:rPr>
        <w:t>权证申领发生的税费</w:t>
      </w:r>
      <w:r>
        <w:rPr>
          <w:rFonts w:hint="eastAsia" w:ascii="宋体" w:hAnsi="宋体" w:eastAsia="宋体" w:cs="宋体"/>
          <w:highlight w:val="none"/>
          <w:u w:val="single"/>
        </w:rPr>
        <w:t xml:space="preserve"> 按照国家相关税法规定有委托人和买受人各自</w:t>
      </w:r>
      <w:r>
        <w:rPr>
          <w:rFonts w:hint="eastAsia" w:ascii="宋体" w:hAnsi="宋体" w:eastAsia="宋体" w:cs="宋体"/>
          <w:highlight w:val="none"/>
        </w:rPr>
        <w:t>承担。标的物交接前的欠缴的水电物业等费用由</w:t>
      </w:r>
      <w:r>
        <w:rPr>
          <w:rFonts w:hint="eastAsia" w:ascii="宋体" w:hAnsi="宋体" w:eastAsia="宋体" w:cs="宋体"/>
          <w:highlight w:val="none"/>
          <w:u w:val="single"/>
        </w:rPr>
        <w:t xml:space="preserve">  委托人  </w:t>
      </w:r>
      <w:r>
        <w:rPr>
          <w:rFonts w:hint="eastAsia" w:ascii="宋体" w:hAnsi="宋体" w:eastAsia="宋体" w:cs="宋体"/>
          <w:highlight w:val="none"/>
        </w:rPr>
        <w:t>承担。</w:t>
      </w:r>
    </w:p>
    <w:p>
      <w:pPr>
        <w:numPr>
          <w:ilvl w:val="0"/>
          <w:numId w:val="5"/>
        </w:numPr>
        <w:spacing w:line="360" w:lineRule="auto"/>
        <w:ind w:left="0" w:firstLine="480"/>
        <w:rPr>
          <w:rFonts w:ascii="宋体" w:hAnsi="宋体" w:eastAsia="宋体" w:cs="宋体"/>
          <w:highlight w:val="none"/>
        </w:rPr>
      </w:pPr>
      <w:r>
        <w:rPr>
          <w:rFonts w:hint="eastAsia" w:ascii="宋体" w:hAnsi="宋体" w:eastAsia="宋体" w:cs="宋体"/>
          <w:highlight w:val="none"/>
        </w:rPr>
        <w:t>委托人的招标文件及拍卖人的投标文件作为本合同的组成部分，与本合同具有同等法律效力。</w:t>
      </w:r>
    </w:p>
    <w:p>
      <w:pPr>
        <w:numPr>
          <w:ilvl w:val="0"/>
          <w:numId w:val="5"/>
        </w:numPr>
        <w:spacing w:line="360" w:lineRule="auto"/>
        <w:ind w:left="0" w:firstLine="480"/>
        <w:rPr>
          <w:rFonts w:ascii="宋体" w:hAnsi="宋体" w:eastAsia="宋体" w:cs="宋体"/>
          <w:highlight w:val="none"/>
        </w:rPr>
      </w:pPr>
      <w:r>
        <w:rPr>
          <w:rFonts w:hint="eastAsia" w:ascii="宋体" w:hAnsi="宋体" w:eastAsia="宋体" w:cs="宋体"/>
          <w:highlight w:val="none"/>
        </w:rPr>
        <w:t>买受人竞拍成功后，出卖人将在五天内完成合同备案手续。在买受人合同备案前，如南通市房产政策调整，买卖双方将按新政策执行：根据新政策，买受人需退房的 ，拍卖行将买受人所交款项除报名费外全部退还（不计息）；买卖双方和拍卖行如有损失，均自行负责。</w:t>
      </w:r>
    </w:p>
    <w:p>
      <w:pPr>
        <w:numPr>
          <w:ilvl w:val="0"/>
          <w:numId w:val="5"/>
        </w:numPr>
        <w:spacing w:line="360" w:lineRule="auto"/>
        <w:ind w:left="0" w:firstLine="480"/>
        <w:rPr>
          <w:rFonts w:ascii="宋体" w:hAnsi="宋体" w:eastAsia="宋体" w:cs="宋体"/>
          <w:highlight w:val="none"/>
        </w:rPr>
      </w:pPr>
      <w:r>
        <w:rPr>
          <w:rFonts w:hint="eastAsia" w:ascii="宋体" w:hAnsi="宋体" w:eastAsia="宋体" w:cs="宋体"/>
          <w:highlight w:val="none"/>
        </w:rPr>
        <w:t>拍卖人完成拍卖后，应将拍卖过程中的所有资料装订成册，作为招标小结提交给委托方，本次拍卖结果报告一式两份。</w:t>
      </w:r>
    </w:p>
    <w:p>
      <w:pPr>
        <w:tabs>
          <w:tab w:val="left" w:pos="1200"/>
        </w:tabs>
        <w:spacing w:line="360" w:lineRule="auto"/>
        <w:ind w:left="410" w:leftChars="171" w:firstLine="120" w:firstLineChars="50"/>
        <w:rPr>
          <w:rFonts w:ascii="宋体" w:hAnsi="宋体" w:eastAsia="宋体" w:cs="宋体"/>
          <w:highlight w:val="none"/>
        </w:rPr>
      </w:pPr>
      <w:r>
        <w:rPr>
          <w:rFonts w:hint="eastAsia" w:ascii="宋体" w:hAnsi="宋体" w:eastAsia="宋体" w:cs="宋体"/>
          <w:highlight w:val="none"/>
        </w:rPr>
        <w:t>第十一条  违约责任</w:t>
      </w:r>
    </w:p>
    <w:p>
      <w:pPr>
        <w:spacing w:line="360" w:lineRule="auto"/>
        <w:ind w:left="480"/>
        <w:rPr>
          <w:rFonts w:ascii="宋体" w:hAnsi="宋体" w:eastAsia="宋体" w:cs="宋体"/>
          <w:highlight w:val="none"/>
        </w:rPr>
      </w:pPr>
      <w:r>
        <w:rPr>
          <w:rFonts w:hint="eastAsia" w:ascii="宋体" w:hAnsi="宋体" w:eastAsia="宋体" w:cs="宋体"/>
          <w:highlight w:val="none"/>
        </w:rPr>
        <w:t xml:space="preserve">任何一方违约，违约方应向守约方支付拍卖标的保留价 </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w:t>
      </w:r>
      <w:r>
        <w:rPr>
          <w:rFonts w:hint="eastAsia" w:ascii="宋体" w:hAnsi="宋体" w:eastAsia="宋体" w:cs="宋体"/>
          <w:highlight w:val="none"/>
        </w:rPr>
        <w:t>的违约金。</w:t>
      </w:r>
    </w:p>
    <w:p>
      <w:pPr>
        <w:spacing w:line="360" w:lineRule="auto"/>
        <w:ind w:left="480"/>
        <w:rPr>
          <w:rFonts w:ascii="宋体" w:hAnsi="宋体" w:eastAsia="宋体" w:cs="宋体"/>
          <w:highlight w:val="none"/>
        </w:rPr>
      </w:pPr>
      <w:r>
        <w:rPr>
          <w:rFonts w:hint="eastAsia" w:ascii="宋体" w:hAnsi="宋体" w:eastAsia="宋体" w:cs="宋体"/>
          <w:highlight w:val="none"/>
        </w:rPr>
        <w:t>第十二条  争议解决方式</w:t>
      </w:r>
    </w:p>
    <w:p>
      <w:pPr>
        <w:widowControl/>
        <w:spacing w:line="360" w:lineRule="auto"/>
        <w:ind w:firstLine="480" w:firstLineChars="200"/>
        <w:jc w:val="left"/>
        <w:rPr>
          <w:rFonts w:ascii="宋体" w:hAnsi="宋体" w:eastAsia="宋体" w:cs="宋体"/>
          <w:kern w:val="0"/>
          <w:highlight w:val="none"/>
        </w:rPr>
      </w:pPr>
      <w:r>
        <w:rPr>
          <w:rFonts w:hint="eastAsia" w:ascii="宋体" w:hAnsi="宋体" w:eastAsia="宋体" w:cs="宋体"/>
          <w:highlight w:val="none"/>
        </w:rPr>
        <w:t>双方在履行合同过程中发生争议，可以协商或由工商部门调解；协商调解不成的，</w:t>
      </w:r>
      <w:r>
        <w:rPr>
          <w:rFonts w:hint="eastAsia" w:ascii="宋体" w:hAnsi="宋体" w:eastAsia="宋体" w:cs="宋体"/>
          <w:kern w:val="0"/>
          <w:highlight w:val="none"/>
        </w:rPr>
        <w:t>依法向</w:t>
      </w:r>
      <w:r>
        <w:rPr>
          <w:rFonts w:hint="eastAsia" w:ascii="宋体" w:hAnsi="宋体" w:eastAsia="宋体" w:cs="宋体"/>
          <w:kern w:val="0"/>
          <w:highlight w:val="none"/>
          <w:u w:val="single"/>
        </w:rPr>
        <w:t xml:space="preserve">  南通市崇川区 </w:t>
      </w:r>
      <w:r>
        <w:rPr>
          <w:rFonts w:hint="eastAsia" w:ascii="宋体" w:hAnsi="宋体" w:eastAsia="宋体" w:cs="宋体"/>
          <w:kern w:val="0"/>
          <w:highlight w:val="none"/>
        </w:rPr>
        <w:t>人民法院起诉。</w:t>
      </w:r>
    </w:p>
    <w:p>
      <w:pPr>
        <w:spacing w:line="360" w:lineRule="auto"/>
        <w:ind w:left="480"/>
        <w:rPr>
          <w:rFonts w:ascii="宋体" w:hAnsi="宋体" w:eastAsia="宋体" w:cs="宋体"/>
          <w:highlight w:val="none"/>
        </w:rPr>
      </w:pPr>
      <w:r>
        <w:rPr>
          <w:rFonts w:hint="eastAsia" w:ascii="宋体" w:hAnsi="宋体" w:eastAsia="宋体" w:cs="宋体"/>
          <w:highlight w:val="none"/>
        </w:rPr>
        <w:t>第十三条  本合同一式</w:t>
      </w:r>
      <w:r>
        <w:rPr>
          <w:rFonts w:hint="eastAsia" w:ascii="宋体" w:hAnsi="宋体" w:eastAsia="宋体" w:cs="宋体"/>
          <w:highlight w:val="none"/>
          <w:u w:val="single"/>
        </w:rPr>
        <w:t xml:space="preserve">       </w:t>
      </w:r>
      <w:r>
        <w:rPr>
          <w:rFonts w:hint="eastAsia" w:ascii="宋体" w:hAnsi="宋体" w:eastAsia="宋体" w:cs="宋体"/>
          <w:highlight w:val="none"/>
        </w:rPr>
        <w:t>份，双方各执</w:t>
      </w:r>
      <w:r>
        <w:rPr>
          <w:rFonts w:hint="eastAsia" w:ascii="宋体" w:hAnsi="宋体" w:eastAsia="宋体" w:cs="宋体"/>
          <w:highlight w:val="none"/>
          <w:u w:val="single"/>
        </w:rPr>
        <w:t xml:space="preserve">     </w:t>
      </w:r>
      <w:r>
        <w:rPr>
          <w:rFonts w:hint="eastAsia" w:ascii="宋体" w:hAnsi="宋体" w:eastAsia="宋体" w:cs="宋体"/>
          <w:highlight w:val="none"/>
        </w:rPr>
        <w:t>份。</w:t>
      </w:r>
    </w:p>
    <w:tbl>
      <w:tblPr>
        <w:tblStyle w:val="14"/>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1"/>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691" w:type="dxa"/>
          </w:tcPr>
          <w:p>
            <w:pPr>
              <w:spacing w:line="360" w:lineRule="auto"/>
              <w:rPr>
                <w:rFonts w:hAnsi="宋体" w:eastAsia="宋体" w:cs="宋体"/>
                <w:highlight w:val="none"/>
              </w:rPr>
            </w:pPr>
            <w:r>
              <w:rPr>
                <w:rFonts w:hint="eastAsia" w:ascii="宋体" w:hAnsi="宋体" w:eastAsia="宋体" w:cs="宋体"/>
                <w:highlight w:val="none"/>
              </w:rPr>
              <w:t xml:space="preserve">委托人（盖章）： </w:t>
            </w:r>
          </w:p>
          <w:p>
            <w:pPr>
              <w:spacing w:line="360" w:lineRule="auto"/>
              <w:rPr>
                <w:rFonts w:ascii="宋体" w:hAnsi="宋体" w:eastAsia="宋体" w:cs="宋体"/>
                <w:highlight w:val="none"/>
              </w:rPr>
            </w:pPr>
            <w:r>
              <w:rPr>
                <w:rFonts w:hint="eastAsia" w:ascii="宋体" w:hAnsi="宋体" w:eastAsia="宋体" w:cs="宋体"/>
                <w:highlight w:val="none"/>
              </w:rPr>
              <w:t>住所：</w:t>
            </w:r>
          </w:p>
          <w:p>
            <w:pPr>
              <w:spacing w:line="360" w:lineRule="auto"/>
              <w:rPr>
                <w:rFonts w:ascii="宋体" w:hAnsi="宋体" w:eastAsia="宋体" w:cs="宋体"/>
                <w:highlight w:val="none"/>
              </w:rPr>
            </w:pPr>
            <w:r>
              <w:rPr>
                <w:rFonts w:hint="eastAsia" w:ascii="宋体" w:hAnsi="宋体" w:eastAsia="宋体" w:cs="宋体"/>
                <w:highlight w:val="none"/>
              </w:rPr>
              <w:t>法定代表人：</w:t>
            </w:r>
          </w:p>
          <w:p>
            <w:pPr>
              <w:spacing w:line="360" w:lineRule="auto"/>
              <w:rPr>
                <w:rFonts w:ascii="宋体" w:hAnsi="宋体" w:eastAsia="宋体" w:cs="宋体"/>
                <w:highlight w:val="none"/>
              </w:rPr>
            </w:pPr>
            <w:r>
              <w:rPr>
                <w:rFonts w:hint="eastAsia" w:ascii="宋体" w:hAnsi="宋体" w:eastAsia="宋体" w:cs="宋体"/>
                <w:highlight w:val="none"/>
              </w:rPr>
              <w:t>委托代理人：</w:t>
            </w:r>
          </w:p>
          <w:p>
            <w:pPr>
              <w:spacing w:line="360" w:lineRule="auto"/>
              <w:rPr>
                <w:rFonts w:ascii="宋体" w:hAnsi="宋体" w:eastAsia="宋体" w:cs="宋体"/>
                <w:highlight w:val="none"/>
              </w:rPr>
            </w:pPr>
            <w:r>
              <w:rPr>
                <w:rFonts w:hint="eastAsia" w:ascii="宋体" w:hAnsi="宋体" w:eastAsia="宋体" w:cs="宋体"/>
                <w:highlight w:val="none"/>
              </w:rPr>
              <w:t>联系电话：</w:t>
            </w:r>
          </w:p>
        </w:tc>
        <w:tc>
          <w:tcPr>
            <w:tcW w:w="4217" w:type="dxa"/>
          </w:tcPr>
          <w:p>
            <w:pPr>
              <w:spacing w:line="360" w:lineRule="auto"/>
              <w:rPr>
                <w:rFonts w:hAnsi="宋体" w:eastAsia="宋体" w:cs="宋体"/>
                <w:highlight w:val="none"/>
              </w:rPr>
            </w:pPr>
            <w:r>
              <w:rPr>
                <w:rFonts w:hint="eastAsia" w:ascii="宋体" w:hAnsi="宋体" w:eastAsia="宋体" w:cs="宋体"/>
                <w:highlight w:val="none"/>
              </w:rPr>
              <w:t>拍卖人（盖章）：</w:t>
            </w:r>
          </w:p>
          <w:p>
            <w:pPr>
              <w:spacing w:line="360" w:lineRule="auto"/>
              <w:rPr>
                <w:rFonts w:ascii="宋体" w:hAnsi="宋体" w:eastAsia="宋体" w:cs="宋体"/>
                <w:highlight w:val="none"/>
              </w:rPr>
            </w:pPr>
            <w:r>
              <w:rPr>
                <w:rFonts w:hint="eastAsia" w:ascii="宋体" w:hAnsi="宋体" w:eastAsia="宋体" w:cs="宋体"/>
                <w:highlight w:val="none"/>
              </w:rPr>
              <w:t>住所：</w:t>
            </w:r>
          </w:p>
          <w:p>
            <w:pPr>
              <w:spacing w:line="360" w:lineRule="auto"/>
              <w:rPr>
                <w:rFonts w:ascii="宋体" w:hAnsi="宋体" w:eastAsia="宋体" w:cs="宋体"/>
                <w:highlight w:val="none"/>
              </w:rPr>
            </w:pPr>
            <w:r>
              <w:rPr>
                <w:rFonts w:hint="eastAsia" w:ascii="宋体" w:hAnsi="宋体" w:eastAsia="宋体" w:cs="宋体"/>
                <w:highlight w:val="none"/>
              </w:rPr>
              <w:t>法定代表人：</w:t>
            </w:r>
          </w:p>
          <w:p>
            <w:pPr>
              <w:spacing w:line="360" w:lineRule="auto"/>
              <w:rPr>
                <w:rFonts w:ascii="宋体" w:hAnsi="宋体" w:eastAsia="宋体" w:cs="宋体"/>
                <w:highlight w:val="none"/>
              </w:rPr>
            </w:pPr>
            <w:r>
              <w:rPr>
                <w:rFonts w:hint="eastAsia" w:ascii="宋体" w:hAnsi="宋体" w:eastAsia="宋体" w:cs="宋体"/>
                <w:highlight w:val="none"/>
              </w:rPr>
              <w:t>联系电话：</w:t>
            </w:r>
          </w:p>
        </w:tc>
      </w:tr>
    </w:tbl>
    <w:p>
      <w:pPr>
        <w:pStyle w:val="22"/>
        <w:jc w:val="both"/>
        <w:rPr>
          <w:rFonts w:eastAsia="宋体" w:cs="宋体"/>
          <w:kern w:val="0"/>
          <w:highlight w:val="none"/>
        </w:rPr>
      </w:pPr>
    </w:p>
    <w:p>
      <w:pPr>
        <w:pageBreakBefore/>
        <w:tabs>
          <w:tab w:val="left" w:pos="1050"/>
          <w:tab w:val="left" w:pos="2375"/>
          <w:tab w:val="center" w:pos="4818"/>
          <w:tab w:val="right" w:leader="dot" w:pos="9402"/>
        </w:tabs>
        <w:spacing w:before="312" w:beforeLines="100" w:line="360" w:lineRule="auto"/>
        <w:jc w:val="center"/>
        <w:outlineLvl w:val="0"/>
        <w:rPr>
          <w:rFonts w:ascii="宋体" w:hAnsi="宋体" w:eastAsia="宋体" w:cs="宋体"/>
          <w:b/>
          <w:bCs/>
          <w:sz w:val="32"/>
          <w:szCs w:val="32"/>
          <w:highlight w:val="none"/>
        </w:rPr>
      </w:pPr>
      <w:r>
        <w:rPr>
          <w:rFonts w:hint="eastAsia" w:ascii="宋体" w:hAnsi="宋体" w:eastAsia="宋体" w:cs="宋体"/>
          <w:b/>
          <w:bCs/>
          <w:sz w:val="32"/>
          <w:szCs w:val="32"/>
          <w:highlight w:val="none"/>
        </w:rPr>
        <w:t>第六章 质疑与投诉</w:t>
      </w:r>
    </w:p>
    <w:p>
      <w:pPr>
        <w:spacing w:line="360" w:lineRule="auto"/>
        <w:ind w:firstLine="487" w:firstLineChars="202"/>
        <w:outlineLvl w:val="1"/>
        <w:rPr>
          <w:rFonts w:ascii="宋体" w:hAnsi="宋体" w:eastAsia="宋体" w:cs="宋体"/>
          <w:highlight w:val="none"/>
        </w:rPr>
      </w:pPr>
      <w:bookmarkStart w:id="31" w:name="_Hlk84518571"/>
      <w:r>
        <w:rPr>
          <w:rFonts w:hint="eastAsia" w:ascii="宋体" w:hAnsi="宋体" w:eastAsia="宋体" w:cs="宋体"/>
          <w:b/>
          <w:bCs/>
          <w:kern w:val="0"/>
          <w:highlight w:val="none"/>
        </w:rPr>
        <w:t>一、质疑的提出</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1.提出质疑的供应商（以下称质疑人）必须是直接参加本项目采购活动的当事人。</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2.下招标文件的供应商应根据第二章“投标人须知”中第一条第4款的约定提出；投标文件接收截止后，供应商未进行投标登记的，不能就投标文件接收截止后的评标过程、中标结果提出质疑；在评标过程中，凡主持人或评标委员会明确提出须由供应商确认的事项，供应商当场无异议的，事后不得提出质疑。</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3.对招标文件、评标过程、或者中标结果使自己的权益受到损害的，可以在知道或者应知其权益受到损害之日起7个工作日内，以书面形式向采购人、采购代理机构提出质疑。</w:t>
      </w:r>
    </w:p>
    <w:p>
      <w:pPr>
        <w:spacing w:line="360" w:lineRule="auto"/>
        <w:ind w:firstLine="487" w:firstLineChars="202"/>
        <w:rPr>
          <w:rFonts w:ascii="宋体" w:hAnsi="宋体" w:eastAsia="宋体" w:cs="宋体"/>
          <w:b/>
          <w:bCs/>
          <w:highlight w:val="none"/>
        </w:rPr>
      </w:pPr>
      <w:r>
        <w:rPr>
          <w:rFonts w:hint="eastAsia" w:ascii="宋体" w:hAnsi="宋体" w:eastAsia="宋体" w:cs="宋体"/>
          <w:b/>
          <w:bCs/>
          <w:highlight w:val="none"/>
        </w:rPr>
        <w:t>4.供应商应当在法定质疑期内一次性提出针对同一采购程序环节的质疑。</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5.提出质疑时，必须坚持“谁主张，谁举证”、“实事求是”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6.对本次采购有质疑的，实行实名制，不得进行虚假、恶意质疑。质疑人应在质疑有效期内以书面形式提交《质疑函》，其内容应包括：</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（1）供应商的姓名或者名称（以营业执照副本复印件为准）、地址、邮编、联系人及联系电话；</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（2）质疑项目的名称、编号；</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（3）具体、明确的质疑事项和与质疑事项相关的请求；</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（4）事实依据；</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（5）必要的法律依据；</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（6）提出质疑的日期。</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7.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8.与事实依据相关的佐证材料要具备客观性、关联性、合法性，无法查实的（如宣传册、媒体报道、猜测、推理等）不能作为佐证材料。</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9.采购人或采购代理机构不负责搜集与事实依据相关的佐证材料等工作。</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10.对不能提供与事实依据相关的佐证材料的、涉及商业秘密的、非书面形式的、非送达的、匿名的《质疑函》将不予受理。</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11.接收质疑函的方式：书面形式（当场送达或邮寄方式）。</w:t>
      </w:r>
    </w:p>
    <w:p>
      <w:pPr>
        <w:spacing w:line="360" w:lineRule="auto"/>
        <w:outlineLvl w:val="1"/>
        <w:rPr>
          <w:rFonts w:ascii="宋体" w:hAnsi="宋体" w:eastAsia="宋体" w:cs="宋体"/>
          <w:highlight w:val="none"/>
        </w:rPr>
      </w:pPr>
      <w:r>
        <w:rPr>
          <w:rFonts w:hint="eastAsia" w:ascii="宋体" w:hAnsi="宋体" w:eastAsia="宋体" w:cs="宋体"/>
          <w:b/>
          <w:bCs/>
          <w:kern w:val="0"/>
          <w:highlight w:val="none"/>
        </w:rPr>
        <w:t>二、《质疑函》的受理和回复</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1.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2.对不符合提出质疑要求的，出具《质疑退回通知书》并提出相关补充材料要求，质疑人未在规定的时间内提供补充佐证材料的，视同放弃质疑。</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3.采购人或采购代理机构有权将质疑人的质疑相关材料提供给相关专家或评标委员会审核，并将审核意见回复质疑人。</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4.因质疑情况复杂的，组织论证或审查时间较长的，采购人或采购代理机构以书面形式通知质疑人，可适当延长质疑回复处理时间。</w:t>
      </w:r>
    </w:p>
    <w:p>
      <w:pPr>
        <w:spacing w:line="360" w:lineRule="auto"/>
        <w:ind w:firstLine="487" w:firstLineChars="202"/>
        <w:outlineLvl w:val="1"/>
        <w:rPr>
          <w:rFonts w:ascii="宋体" w:hAnsi="宋体" w:eastAsia="宋体" w:cs="宋体"/>
          <w:highlight w:val="none"/>
        </w:rPr>
      </w:pPr>
      <w:r>
        <w:rPr>
          <w:rFonts w:hint="eastAsia" w:ascii="宋体" w:hAnsi="宋体" w:eastAsia="宋体" w:cs="宋体"/>
          <w:b/>
          <w:bCs/>
          <w:kern w:val="0"/>
          <w:highlight w:val="none"/>
        </w:rPr>
        <w:t>三、质疑处理</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1.质疑成立的处理：</w:t>
      </w:r>
    </w:p>
    <w:p>
      <w:pPr>
        <w:pStyle w:val="7"/>
        <w:snapToGrid w:val="0"/>
        <w:spacing w:line="480" w:lineRule="exact"/>
        <w:ind w:left="0" w:firstLine="480" w:firstLineChars="200"/>
        <w:contextualSpacing/>
        <w:rPr>
          <w:rFonts w:ascii="Times New Roman" w:eastAsia="宋体"/>
          <w:kern w:val="2"/>
          <w:sz w:val="24"/>
          <w:szCs w:val="24"/>
          <w:highlight w:val="none"/>
        </w:rPr>
      </w:pPr>
      <w:r>
        <w:rPr>
          <w:rFonts w:ascii="Times New Roman" w:eastAsia="宋体"/>
          <w:kern w:val="2"/>
          <w:sz w:val="24"/>
          <w:szCs w:val="24"/>
          <w:highlight w:val="none"/>
        </w:rPr>
        <w:t xml:space="preserve">（1）对于内容、格式符合规定的质疑函，采购人、采购代理机构在收到投标供应商的书面质疑后七个工作日内作出书面答复，但答复的内容不得涉及商业秘密。                       </w:t>
      </w:r>
    </w:p>
    <w:p>
      <w:pPr>
        <w:pStyle w:val="7"/>
        <w:snapToGrid w:val="0"/>
        <w:spacing w:line="480" w:lineRule="exact"/>
        <w:ind w:left="0" w:firstLine="480" w:firstLineChars="200"/>
        <w:contextualSpacing/>
        <w:rPr>
          <w:rFonts w:ascii="Times New Roman" w:eastAsia="宋体"/>
          <w:kern w:val="2"/>
          <w:sz w:val="24"/>
          <w:szCs w:val="24"/>
          <w:highlight w:val="none"/>
        </w:rPr>
      </w:pPr>
      <w:r>
        <w:rPr>
          <w:rFonts w:ascii="Times New Roman" w:eastAsia="宋体"/>
          <w:kern w:val="2"/>
          <w:sz w:val="24"/>
          <w:szCs w:val="24"/>
          <w:highlight w:val="none"/>
        </w:rPr>
        <w:t>（2）对采购文件提出的质疑，依法通过澄清或者修改可以继续开展采购活动的，澄清或者修改采购文件后继续开展采购活动；否则应当修改采购文件后重新开展采购活动。</w:t>
      </w:r>
    </w:p>
    <w:p>
      <w:pPr>
        <w:pStyle w:val="7"/>
        <w:snapToGrid w:val="0"/>
        <w:spacing w:line="480" w:lineRule="exact"/>
        <w:ind w:left="0" w:firstLine="480" w:firstLineChars="200"/>
        <w:contextualSpacing/>
        <w:rPr>
          <w:rFonts w:ascii="Times New Roman" w:eastAsia="宋体"/>
          <w:kern w:val="2"/>
          <w:sz w:val="24"/>
          <w:szCs w:val="24"/>
          <w:highlight w:val="none"/>
        </w:rPr>
      </w:pPr>
      <w:r>
        <w:rPr>
          <w:rFonts w:ascii="Times New Roman" w:eastAsia="宋体"/>
          <w:kern w:val="2"/>
          <w:sz w:val="24"/>
          <w:szCs w:val="24"/>
          <w:highlight w:val="none"/>
        </w:rPr>
        <w:t>（3）对采购过程、中标或者成交结果提出的质疑，合格供应商符合法定数量时，可以从合格的候选人中另行确定中标、成交供应商的，应当依法另行确定中标供应商；否则应当重新开展采购活动。</w:t>
      </w:r>
    </w:p>
    <w:p>
      <w:pPr>
        <w:pStyle w:val="7"/>
        <w:snapToGrid w:val="0"/>
        <w:spacing w:line="480" w:lineRule="exact"/>
        <w:ind w:left="0" w:firstLine="480" w:firstLineChars="200"/>
        <w:contextualSpacing/>
        <w:rPr>
          <w:rFonts w:ascii="Times New Roman" w:eastAsia="宋体"/>
          <w:kern w:val="2"/>
          <w:sz w:val="24"/>
          <w:szCs w:val="24"/>
          <w:highlight w:val="none"/>
        </w:rPr>
      </w:pPr>
      <w:r>
        <w:rPr>
          <w:rFonts w:ascii="Times New Roman" w:eastAsia="宋体"/>
          <w:kern w:val="2"/>
          <w:sz w:val="24"/>
          <w:szCs w:val="24"/>
          <w:highlight w:val="none"/>
        </w:rPr>
        <w:t>质疑答复导致中标、成交结果改变的，采购人或者采购代理机构应当将有关情况书面报告</w:t>
      </w:r>
      <w:r>
        <w:rPr>
          <w:rFonts w:hint="eastAsia" w:ascii="Times New Roman" w:eastAsia="宋体"/>
          <w:kern w:val="2"/>
          <w:sz w:val="24"/>
          <w:szCs w:val="24"/>
          <w:highlight w:val="none"/>
          <w:lang w:val="en-US" w:eastAsia="zh-CN"/>
        </w:rPr>
        <w:t>有关</w:t>
      </w:r>
      <w:r>
        <w:rPr>
          <w:rFonts w:ascii="Times New Roman" w:eastAsia="宋体"/>
          <w:kern w:val="2"/>
          <w:sz w:val="24"/>
          <w:szCs w:val="24"/>
          <w:highlight w:val="none"/>
        </w:rPr>
        <w:t>部门。</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2.质疑不成立的处理：</w:t>
      </w:r>
    </w:p>
    <w:p>
      <w:pPr>
        <w:spacing w:line="360" w:lineRule="auto"/>
        <w:ind w:firstLine="484" w:firstLineChars="202"/>
        <w:outlineLvl w:val="1"/>
        <w:rPr>
          <w:rFonts w:hint="eastAsia" w:ascii="宋体" w:hAnsi="宋体" w:eastAsia="宋体" w:cs="宋体"/>
          <w:highlight w:val="none"/>
        </w:rPr>
      </w:pPr>
      <w:r>
        <w:rPr>
          <w:rFonts w:hint="eastAsia" w:ascii="宋体" w:hAnsi="宋体" w:eastAsia="宋体" w:cs="宋体"/>
          <w:highlight w:val="none"/>
        </w:rPr>
        <w:t>若质疑不成立，或者成立未对中标、成交结果构成影响的，继续开展采购活动。</w:t>
      </w:r>
    </w:p>
    <w:p>
      <w:pPr>
        <w:spacing w:line="360" w:lineRule="auto"/>
        <w:ind w:firstLine="487" w:firstLineChars="202"/>
        <w:outlineLvl w:val="1"/>
        <w:rPr>
          <w:rFonts w:ascii="宋体" w:hAnsi="宋体" w:eastAsia="宋体" w:cs="宋体"/>
          <w:highlight w:val="none"/>
        </w:rPr>
      </w:pPr>
      <w:r>
        <w:rPr>
          <w:rFonts w:hint="eastAsia" w:ascii="宋体" w:hAnsi="宋体" w:eastAsia="宋体" w:cs="宋体"/>
          <w:b/>
          <w:bCs/>
          <w:kern w:val="0"/>
          <w:highlight w:val="none"/>
        </w:rPr>
        <w:t>四、关于投诉</w:t>
      </w:r>
    </w:p>
    <w:p>
      <w:pPr>
        <w:spacing w:line="360" w:lineRule="auto"/>
        <w:ind w:firstLine="484" w:firstLineChars="202"/>
        <w:rPr>
          <w:rFonts w:ascii="宋体" w:hAnsi="宋体" w:eastAsia="宋体" w:cs="宋体"/>
          <w:highlight w:val="none"/>
        </w:rPr>
      </w:pPr>
      <w:r>
        <w:rPr>
          <w:rFonts w:hint="eastAsia" w:ascii="宋体" w:hAnsi="宋体" w:eastAsia="宋体" w:cs="宋体"/>
          <w:highlight w:val="none"/>
        </w:rPr>
        <w:t>质疑供应商对采购人或采购代理机构的答复不满意的，采购人或代理机构未在规定的时间内做出答复的，可以在答复期满后15个工作日内向采购人的监督管理部门投诉。</w:t>
      </w:r>
    </w:p>
    <w:bookmarkEnd w:id="31"/>
    <w:p>
      <w:pPr>
        <w:pageBreakBefore/>
        <w:tabs>
          <w:tab w:val="left" w:pos="1050"/>
          <w:tab w:val="left" w:pos="2375"/>
          <w:tab w:val="center" w:pos="4818"/>
          <w:tab w:val="right" w:leader="dot" w:pos="9402"/>
        </w:tabs>
        <w:spacing w:before="312" w:beforeLines="100" w:line="360" w:lineRule="auto"/>
        <w:jc w:val="center"/>
        <w:outlineLvl w:val="0"/>
        <w:rPr>
          <w:rFonts w:ascii="宋体" w:hAnsi="宋体" w:eastAsia="宋体" w:cs="宋体"/>
          <w:b/>
          <w:bCs/>
          <w:sz w:val="32"/>
          <w:szCs w:val="32"/>
          <w:highlight w:val="none"/>
        </w:rPr>
      </w:pPr>
      <w:r>
        <w:rPr>
          <w:rFonts w:hint="eastAsia" w:ascii="宋体" w:hAnsi="宋体" w:eastAsia="宋体" w:cs="宋体"/>
          <w:b/>
          <w:bCs/>
          <w:sz w:val="32"/>
          <w:szCs w:val="32"/>
          <w:highlight w:val="none"/>
        </w:rPr>
        <w:t>第七章 投标文件的组成及格式</w:t>
      </w:r>
    </w:p>
    <w:p>
      <w:pPr>
        <w:adjustRightInd w:val="0"/>
        <w:snapToGrid w:val="0"/>
        <w:spacing w:line="360" w:lineRule="auto"/>
        <w:ind w:firstLine="487" w:firstLineChars="202"/>
        <w:jc w:val="left"/>
        <w:outlineLvl w:val="1"/>
        <w:rPr>
          <w:rFonts w:ascii="宋体" w:hAnsi="宋体" w:eastAsia="宋体" w:cs="宋体"/>
          <w:b/>
          <w:bCs/>
          <w:highlight w:val="none"/>
        </w:rPr>
      </w:pPr>
      <w:r>
        <w:rPr>
          <w:rFonts w:hint="eastAsia" w:ascii="宋体" w:hAnsi="宋体" w:eastAsia="宋体" w:cs="宋体"/>
          <w:b/>
          <w:bCs/>
          <w:highlight w:val="none"/>
        </w:rPr>
        <w:t>一、投标文件的组成</w:t>
      </w:r>
    </w:p>
    <w:p>
      <w:pPr>
        <w:adjustRightInd w:val="0"/>
        <w:snapToGrid w:val="0"/>
        <w:spacing w:line="360" w:lineRule="auto"/>
        <w:ind w:firstLine="484" w:firstLineChars="202"/>
        <w:jc w:val="left"/>
        <w:rPr>
          <w:rFonts w:ascii="宋体" w:hAnsi="宋体" w:eastAsia="宋体" w:cs="宋体"/>
          <w:highlight w:val="none"/>
        </w:rPr>
      </w:pPr>
      <w:r>
        <w:rPr>
          <w:rFonts w:hint="eastAsia" w:ascii="宋体" w:hAnsi="宋体" w:eastAsia="宋体" w:cs="宋体"/>
          <w:highlight w:val="none"/>
        </w:rPr>
        <w:t>1.A资格后审材料文件（</w:t>
      </w:r>
      <w:r>
        <w:rPr>
          <w:rFonts w:hint="eastAsia" w:ascii="宋体" w:hAnsi="宋体" w:eastAsia="宋体" w:cs="宋体"/>
          <w:highlight w:val="none"/>
          <w:u w:val="thick" w:color="FF0000"/>
        </w:rPr>
        <w:t>密封件，内含：1份“正本”和4份“副本”。</w:t>
      </w:r>
      <w:r>
        <w:rPr>
          <w:rFonts w:hint="eastAsia" w:ascii="宋体" w:hAnsi="宋体" w:eastAsia="宋体" w:cs="宋体"/>
          <w:highlight w:val="none"/>
        </w:rPr>
        <w:t>）</w:t>
      </w:r>
    </w:p>
    <w:p>
      <w:pPr>
        <w:adjustRightInd w:val="0"/>
        <w:snapToGrid w:val="0"/>
        <w:spacing w:line="360" w:lineRule="auto"/>
        <w:ind w:firstLine="484" w:firstLineChars="202"/>
        <w:jc w:val="left"/>
        <w:rPr>
          <w:rFonts w:ascii="宋体" w:hAnsi="宋体" w:eastAsia="宋体" w:cs="宋体"/>
          <w:highlight w:val="none"/>
        </w:rPr>
      </w:pPr>
      <w:r>
        <w:rPr>
          <w:rFonts w:hint="eastAsia" w:ascii="宋体" w:hAnsi="宋体" w:eastAsia="宋体" w:cs="宋体"/>
          <w:highlight w:val="none"/>
        </w:rPr>
        <w:t>2.B商务技术标文件（</w:t>
      </w:r>
      <w:r>
        <w:rPr>
          <w:rFonts w:hint="eastAsia" w:ascii="宋体" w:hAnsi="宋体" w:eastAsia="宋体" w:cs="宋体"/>
          <w:highlight w:val="none"/>
          <w:u w:val="thick" w:color="FF0000"/>
        </w:rPr>
        <w:t>密封件，内含：1份“正本”和4份“副本”。</w:t>
      </w:r>
      <w:r>
        <w:rPr>
          <w:rFonts w:hint="eastAsia" w:ascii="宋体" w:hAnsi="宋体" w:eastAsia="宋体" w:cs="宋体"/>
          <w:highlight w:val="none"/>
        </w:rPr>
        <w:t>）</w:t>
      </w:r>
    </w:p>
    <w:p>
      <w:pPr>
        <w:adjustRightInd w:val="0"/>
        <w:snapToGrid w:val="0"/>
        <w:spacing w:line="360" w:lineRule="auto"/>
        <w:ind w:firstLine="484" w:firstLineChars="202"/>
        <w:jc w:val="left"/>
        <w:rPr>
          <w:rFonts w:ascii="宋体" w:hAnsi="宋体" w:eastAsia="宋体" w:cs="宋体"/>
          <w:highlight w:val="none"/>
        </w:rPr>
      </w:pPr>
      <w:r>
        <w:rPr>
          <w:rFonts w:hint="eastAsia" w:ascii="宋体" w:hAnsi="宋体" w:eastAsia="宋体" w:cs="宋体"/>
          <w:highlight w:val="none"/>
        </w:rPr>
        <w:t>3.C价格标文件（</w:t>
      </w:r>
      <w:r>
        <w:rPr>
          <w:rFonts w:hint="eastAsia" w:ascii="宋体" w:hAnsi="宋体" w:eastAsia="宋体" w:cs="宋体"/>
          <w:highlight w:val="none"/>
          <w:u w:val="thick" w:color="FF0000"/>
        </w:rPr>
        <w:t>密封件，内含：1份“正本”和4份“副本”。</w:t>
      </w:r>
      <w:r>
        <w:rPr>
          <w:rFonts w:hint="eastAsia" w:ascii="宋体" w:hAnsi="宋体" w:eastAsia="宋体" w:cs="宋体"/>
          <w:highlight w:val="none"/>
        </w:rPr>
        <w:t>）</w:t>
      </w:r>
    </w:p>
    <w:p>
      <w:pPr>
        <w:adjustRightInd w:val="0"/>
        <w:snapToGrid w:val="0"/>
        <w:spacing w:line="360" w:lineRule="auto"/>
        <w:ind w:firstLine="487" w:firstLineChars="202"/>
        <w:jc w:val="left"/>
        <w:outlineLvl w:val="1"/>
        <w:rPr>
          <w:rFonts w:ascii="宋体" w:hAnsi="宋体" w:eastAsia="宋体" w:cs="宋体"/>
          <w:highlight w:val="none"/>
        </w:rPr>
      </w:pPr>
      <w:r>
        <w:rPr>
          <w:rFonts w:hint="eastAsia" w:ascii="宋体" w:hAnsi="宋体" w:eastAsia="宋体" w:cs="宋体"/>
          <w:b/>
          <w:bCs/>
          <w:highlight w:val="none"/>
        </w:rPr>
        <w:t xml:space="preserve">二、投标文件的内容 </w:t>
      </w:r>
    </w:p>
    <w:p>
      <w:pPr>
        <w:adjustRightInd w:val="0"/>
        <w:snapToGrid w:val="0"/>
        <w:spacing w:line="360" w:lineRule="auto"/>
        <w:ind w:firstLine="487" w:firstLineChars="202"/>
        <w:jc w:val="left"/>
        <w:outlineLvl w:val="2"/>
        <w:rPr>
          <w:rFonts w:ascii="宋体" w:hAnsi="宋体" w:eastAsia="宋体" w:cs="宋体"/>
          <w:highlight w:val="none"/>
        </w:rPr>
      </w:pPr>
      <w:r>
        <w:rPr>
          <w:rFonts w:hint="eastAsia" w:ascii="宋体" w:hAnsi="宋体" w:eastAsia="宋体" w:cs="宋体"/>
          <w:b/>
          <w:bCs/>
          <w:highlight w:val="none"/>
        </w:rPr>
        <w:t>（一）“A资格后审材料文件”的内容</w:t>
      </w:r>
    </w:p>
    <w:p>
      <w:pPr>
        <w:adjustRightInd w:val="0"/>
        <w:snapToGrid w:val="0"/>
        <w:spacing w:line="360" w:lineRule="auto"/>
        <w:ind w:firstLine="487" w:firstLineChars="202"/>
        <w:jc w:val="left"/>
        <w:rPr>
          <w:rFonts w:ascii="宋体" w:hAnsi="宋体" w:eastAsia="宋体" w:cs="宋体"/>
          <w:highlight w:val="none"/>
        </w:rPr>
      </w:pPr>
      <w:r>
        <w:rPr>
          <w:rFonts w:hint="eastAsia" w:ascii="宋体" w:hAnsi="宋体" w:eastAsia="宋体" w:cs="宋体"/>
          <w:b/>
          <w:bCs/>
          <w:highlight w:val="none"/>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招标采购单位有权取消其中标资格，并由该供应商承担一切责任和损失。</w:t>
      </w:r>
    </w:p>
    <w:p>
      <w:pPr>
        <w:adjustRightInd w:val="0"/>
        <w:snapToGrid w:val="0"/>
        <w:spacing w:line="360" w:lineRule="auto"/>
        <w:ind w:firstLine="484" w:firstLineChars="202"/>
        <w:jc w:val="left"/>
        <w:rPr>
          <w:rFonts w:ascii="宋体" w:hAnsi="宋体" w:eastAsia="宋体" w:cs="宋体"/>
          <w:highlight w:val="none"/>
        </w:rPr>
      </w:pPr>
      <w:bookmarkStart w:id="32" w:name="_Hlk69424499"/>
      <w:bookmarkEnd w:id="32"/>
      <w:r>
        <w:rPr>
          <w:rFonts w:hint="eastAsia" w:ascii="宋体" w:hAnsi="宋体" w:eastAsia="宋体" w:cs="宋体"/>
          <w:highlight w:val="none"/>
        </w:rPr>
        <w:t>1、投标人声明函原件；</w:t>
      </w:r>
    </w:p>
    <w:p>
      <w:pPr>
        <w:adjustRightInd w:val="0"/>
        <w:snapToGrid w:val="0"/>
        <w:spacing w:line="360" w:lineRule="auto"/>
        <w:ind w:firstLine="484" w:firstLineChars="202"/>
        <w:jc w:val="left"/>
        <w:rPr>
          <w:rFonts w:ascii="宋体" w:hAnsi="宋体" w:eastAsia="宋体" w:cs="宋体"/>
          <w:highlight w:val="none"/>
        </w:rPr>
      </w:pPr>
      <w:r>
        <w:rPr>
          <w:rFonts w:hint="eastAsia" w:ascii="宋体" w:hAnsi="宋体" w:eastAsia="宋体" w:cs="宋体"/>
          <w:highlight w:val="none"/>
        </w:rPr>
        <w:t>2、法定代表人身份证明书</w:t>
      </w:r>
      <w:r>
        <w:rPr>
          <w:rFonts w:hint="eastAsia" w:ascii="宋体" w:hAnsi="宋体" w:eastAsia="宋体" w:cs="宋体"/>
          <w:highlight w:val="none"/>
          <w:lang w:val="en-US" w:eastAsia="zh-CN"/>
        </w:rPr>
        <w:t>原件</w:t>
      </w:r>
      <w:r>
        <w:rPr>
          <w:rFonts w:hint="eastAsia" w:ascii="宋体" w:hAnsi="宋体" w:eastAsia="宋体" w:cs="宋体"/>
          <w:highlight w:val="none"/>
        </w:rPr>
        <w:t>；</w:t>
      </w:r>
    </w:p>
    <w:p>
      <w:pPr>
        <w:adjustRightInd w:val="0"/>
        <w:snapToGrid w:val="0"/>
        <w:spacing w:line="360" w:lineRule="auto"/>
        <w:ind w:firstLine="484" w:firstLineChars="202"/>
        <w:jc w:val="left"/>
        <w:rPr>
          <w:rFonts w:ascii="宋体" w:hAnsi="宋体" w:eastAsia="宋体" w:cs="宋体"/>
          <w:highlight w:val="none"/>
        </w:rPr>
      </w:pPr>
      <w:r>
        <w:rPr>
          <w:rFonts w:hint="eastAsia" w:ascii="宋体" w:hAnsi="宋体" w:eastAsia="宋体" w:cs="宋体"/>
          <w:highlight w:val="none"/>
        </w:rPr>
        <w:t>3、授权委托书（如有）原件，投标代表本人身份证复印件；</w:t>
      </w:r>
    </w:p>
    <w:p>
      <w:pPr>
        <w:adjustRightInd w:val="0"/>
        <w:snapToGrid w:val="0"/>
        <w:spacing w:line="360" w:lineRule="auto"/>
        <w:ind w:firstLine="484" w:firstLineChars="202"/>
        <w:jc w:val="left"/>
        <w:rPr>
          <w:rFonts w:ascii="宋体" w:hAnsi="宋体" w:eastAsia="宋体" w:cs="宋体"/>
          <w:highlight w:val="none"/>
        </w:rPr>
      </w:pPr>
      <w:r>
        <w:rPr>
          <w:rFonts w:hint="eastAsia" w:ascii="宋体" w:hAnsi="宋体" w:eastAsia="宋体" w:cs="宋体"/>
          <w:highlight w:val="none"/>
        </w:rPr>
        <w:t>4、有效的营业执照、有效的拍卖经营批准证书复印件；</w:t>
      </w:r>
    </w:p>
    <w:p>
      <w:pPr>
        <w:adjustRightInd w:val="0"/>
        <w:snapToGrid w:val="0"/>
        <w:spacing w:line="360" w:lineRule="auto"/>
        <w:ind w:firstLine="484" w:firstLineChars="202"/>
        <w:jc w:val="left"/>
        <w:rPr>
          <w:rFonts w:hint="default" w:ascii="宋体" w:hAnsi="宋体" w:eastAsia="宋体" w:cs="宋体"/>
          <w:highlight w:val="none"/>
          <w:lang w:val="en-US" w:eastAsia="zh-CN"/>
        </w:rPr>
      </w:pPr>
      <w:r>
        <w:rPr>
          <w:rFonts w:hint="eastAsia" w:ascii="宋体" w:hAnsi="宋体" w:eastAsia="宋体" w:cs="宋体"/>
          <w:highlight w:val="none"/>
        </w:rPr>
        <w:t>5、</w:t>
      </w:r>
      <w:r>
        <w:rPr>
          <w:rFonts w:hint="eastAsia" w:ascii="宋体" w:hAnsi="宋体" w:eastAsia="宋体" w:cs="宋体"/>
          <w:highlight w:val="none"/>
          <w:lang w:val="en-US" w:eastAsia="zh-CN"/>
        </w:rPr>
        <w:t>有效的合同及相关证明材料复印件；</w:t>
      </w:r>
    </w:p>
    <w:p>
      <w:pPr>
        <w:adjustRightInd w:val="0"/>
        <w:snapToGrid w:val="0"/>
        <w:spacing w:line="360" w:lineRule="auto"/>
        <w:ind w:firstLine="484" w:firstLineChars="202"/>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6、拟派项目负责人有效的拍卖师执业注册记录卡（注册在投标单位）复印件及社保机构出具的由投标人为其缴纳的连续6个月（2023年2月-2023年7月）社保缴费记录；</w:t>
      </w:r>
    </w:p>
    <w:p>
      <w:pPr>
        <w:adjustRightInd w:val="0"/>
        <w:snapToGrid w:val="0"/>
        <w:spacing w:line="360" w:lineRule="auto"/>
        <w:ind w:firstLine="484" w:firstLineChars="202"/>
        <w:jc w:val="left"/>
        <w:rPr>
          <w:rFonts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诚信承诺书原件；</w:t>
      </w:r>
    </w:p>
    <w:p>
      <w:pPr>
        <w:adjustRightInd w:val="0"/>
        <w:snapToGrid w:val="0"/>
        <w:spacing w:line="360" w:lineRule="auto"/>
        <w:ind w:firstLine="484" w:firstLineChars="202"/>
        <w:jc w:val="left"/>
        <w:rPr>
          <w:rFonts w:ascii="宋体" w:hAnsi="宋体" w:eastAsia="宋体" w:cs="宋体"/>
          <w:highlight w:val="none"/>
        </w:rPr>
      </w:pPr>
      <w:r>
        <w:rPr>
          <w:rFonts w:hint="eastAsia" w:ascii="宋体" w:hAnsi="宋体" w:eastAsia="宋体" w:cs="宋体"/>
          <w:highlight w:val="none"/>
          <w:lang w:val="en-US" w:eastAsia="zh-CN"/>
        </w:rPr>
        <w:t>8</w:t>
      </w:r>
      <w:r>
        <w:rPr>
          <w:rFonts w:hint="eastAsia" w:ascii="宋体" w:hAnsi="宋体" w:eastAsia="宋体" w:cs="宋体"/>
          <w:highlight w:val="none"/>
        </w:rPr>
        <w:t>、招标公告资格要求提供相应的佐证材料；</w:t>
      </w:r>
    </w:p>
    <w:p>
      <w:pPr>
        <w:adjustRightInd w:val="0"/>
        <w:snapToGrid w:val="0"/>
        <w:spacing w:line="360" w:lineRule="auto"/>
        <w:ind w:firstLine="484" w:firstLineChars="202"/>
        <w:jc w:val="left"/>
        <w:rPr>
          <w:rFonts w:ascii="宋体" w:hAnsi="宋体" w:eastAsia="宋体" w:cs="宋体"/>
          <w:highlight w:val="none"/>
        </w:rPr>
      </w:pPr>
      <w:r>
        <w:rPr>
          <w:rFonts w:hint="eastAsia" w:ascii="宋体" w:hAnsi="宋体" w:eastAsia="宋体" w:cs="宋体"/>
          <w:highlight w:val="none"/>
          <w:lang w:val="en-US" w:eastAsia="zh-CN"/>
        </w:rPr>
        <w:t>9</w:t>
      </w:r>
      <w:r>
        <w:rPr>
          <w:rFonts w:hint="eastAsia" w:ascii="宋体" w:hAnsi="宋体" w:eastAsia="宋体" w:cs="宋体"/>
          <w:highlight w:val="none"/>
        </w:rPr>
        <w:t>、其它需要提交的资格审查证明材料。</w:t>
      </w:r>
    </w:p>
    <w:p>
      <w:pPr>
        <w:adjustRightInd w:val="0"/>
        <w:snapToGrid w:val="0"/>
        <w:spacing w:line="360" w:lineRule="auto"/>
        <w:ind w:firstLine="487" w:firstLineChars="202"/>
        <w:jc w:val="left"/>
        <w:rPr>
          <w:rFonts w:ascii="宋体" w:hAnsi="宋体" w:eastAsia="宋体" w:cs="宋体"/>
          <w:b/>
          <w:bCs/>
          <w:highlight w:val="none"/>
        </w:rPr>
      </w:pPr>
      <w:r>
        <w:rPr>
          <w:rFonts w:hint="eastAsia" w:ascii="宋体" w:hAnsi="宋体" w:eastAsia="宋体" w:cs="宋体"/>
          <w:b/>
          <w:bCs/>
          <w:highlight w:val="none"/>
        </w:rPr>
        <w:t>注：以上材料均需加盖公章，如为复印件，须为有效原件的复印件，否则按资格审查不通过处理。</w:t>
      </w:r>
    </w:p>
    <w:p>
      <w:pPr>
        <w:adjustRightInd w:val="0"/>
        <w:snapToGrid w:val="0"/>
        <w:spacing w:line="360" w:lineRule="auto"/>
        <w:ind w:firstLine="487" w:firstLineChars="202"/>
        <w:jc w:val="left"/>
        <w:outlineLvl w:val="2"/>
        <w:rPr>
          <w:rFonts w:ascii="宋体" w:hAnsi="宋体" w:eastAsia="宋体" w:cs="宋体"/>
          <w:highlight w:val="none"/>
        </w:rPr>
      </w:pPr>
      <w:r>
        <w:rPr>
          <w:rFonts w:hint="eastAsia" w:ascii="宋体" w:hAnsi="宋体" w:eastAsia="宋体" w:cs="宋体"/>
          <w:b/>
          <w:bCs/>
          <w:highlight w:val="none"/>
        </w:rPr>
        <w:t>（二）“B商务技术标”文件的内容</w:t>
      </w:r>
    </w:p>
    <w:p>
      <w:pPr>
        <w:adjustRightInd w:val="0"/>
        <w:snapToGrid w:val="0"/>
        <w:spacing w:line="360" w:lineRule="auto"/>
        <w:ind w:firstLine="487" w:firstLineChars="202"/>
        <w:jc w:val="left"/>
        <w:rPr>
          <w:rFonts w:ascii="宋体" w:hAnsi="宋体" w:eastAsia="宋体" w:cs="宋体"/>
          <w:b/>
          <w:bCs/>
          <w:highlight w:val="none"/>
          <w:u w:val="thick" w:color="FF0000"/>
        </w:rPr>
      </w:pPr>
      <w:bookmarkStart w:id="33" w:name="_Hlk75276991"/>
      <w:bookmarkEnd w:id="33"/>
      <w:r>
        <w:rPr>
          <w:rFonts w:hint="eastAsia" w:ascii="宋体" w:hAnsi="宋体" w:eastAsia="宋体" w:cs="宋体"/>
          <w:b/>
          <w:bCs/>
          <w:highlight w:val="none"/>
        </w:rPr>
        <w:t>【特别提醒】以下商务技术标文件的内容，不得有缺项或漏项。否则将有可能被视为未实质性响应招标文件要求而作无效投标处理，亦可能直接影响商务技术标评审的得分。供应商应根据本招标文件第三章“项目需求”提供的主要技术规范、服务要求和标准等，</w:t>
      </w:r>
      <w:r>
        <w:rPr>
          <w:rFonts w:hint="eastAsia" w:ascii="宋体" w:hAnsi="宋体" w:eastAsia="宋体" w:cs="宋体"/>
          <w:b/>
          <w:bCs/>
          <w:highlight w:val="none"/>
          <w:u w:val="thick" w:color="FF0000"/>
        </w:rPr>
        <w:t>仔细阅读并在理解的基础上结合第四章“评标程序和方法”内的评审细则，编写编制商务技术标文件</w:t>
      </w:r>
      <w:r>
        <w:rPr>
          <w:rFonts w:hint="eastAsia" w:ascii="宋体" w:hAnsi="宋体" w:eastAsia="宋体" w:cs="宋体"/>
          <w:b/>
          <w:bCs/>
          <w:highlight w:val="none"/>
        </w:rPr>
        <w:t>。</w:t>
      </w:r>
    </w:p>
    <w:p>
      <w:pPr>
        <w:tabs>
          <w:tab w:val="left" w:pos="3375"/>
        </w:tabs>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1、投标响应函（格式参见第七章）。</w:t>
      </w:r>
    </w:p>
    <w:p>
      <w:pPr>
        <w:tabs>
          <w:tab w:val="left" w:pos="3375"/>
        </w:tabs>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2、评标办法中涉及的所需提供的全部资料 。</w:t>
      </w:r>
    </w:p>
    <w:p>
      <w:pPr>
        <w:adjustRightInd w:val="0"/>
        <w:snapToGrid w:val="0"/>
        <w:spacing w:line="360" w:lineRule="auto"/>
        <w:ind w:firstLine="480" w:firstLineChars="200"/>
        <w:jc w:val="left"/>
        <w:rPr>
          <w:rFonts w:ascii="宋体" w:hAnsi="宋体" w:eastAsia="宋体" w:cs="宋体"/>
          <w:bCs/>
          <w:highlight w:val="none"/>
        </w:rPr>
      </w:pPr>
      <w:r>
        <w:rPr>
          <w:rFonts w:hint="eastAsia" w:ascii="宋体" w:hAnsi="宋体" w:eastAsia="宋体" w:cs="宋体"/>
          <w:bCs/>
          <w:highlight w:val="none"/>
        </w:rPr>
        <w:t>3、评标办法中未涉及但投标供应商认为需要提交的其他资料。</w:t>
      </w:r>
    </w:p>
    <w:p>
      <w:pPr>
        <w:adjustRightInd w:val="0"/>
        <w:snapToGrid w:val="0"/>
        <w:spacing w:line="360" w:lineRule="auto"/>
        <w:ind w:firstLine="482" w:firstLineChars="200"/>
        <w:jc w:val="left"/>
        <w:rPr>
          <w:rFonts w:ascii="宋体" w:hAnsi="宋体" w:eastAsia="宋体" w:cs="宋体"/>
          <w:b/>
          <w:bCs/>
          <w:highlight w:val="none"/>
        </w:rPr>
      </w:pPr>
      <w:r>
        <w:rPr>
          <w:rFonts w:hint="eastAsia" w:ascii="宋体" w:hAnsi="宋体" w:eastAsia="宋体" w:cs="宋体"/>
          <w:b/>
          <w:highlight w:val="none"/>
        </w:rPr>
        <w:t>特别提醒：“资格审查文件”、“商务技术标”所须提供的材料（须加盖投标供应商公章）按招标文件要求装订，密封，递交。</w:t>
      </w:r>
    </w:p>
    <w:p>
      <w:pPr>
        <w:adjustRightInd w:val="0"/>
        <w:snapToGrid w:val="0"/>
        <w:spacing w:line="360" w:lineRule="auto"/>
        <w:ind w:firstLine="487" w:firstLineChars="202"/>
        <w:jc w:val="left"/>
        <w:rPr>
          <w:rFonts w:ascii="宋体" w:hAnsi="宋体" w:eastAsia="宋体" w:cs="宋体"/>
          <w:b/>
          <w:bCs/>
          <w:highlight w:val="none"/>
        </w:rPr>
      </w:pPr>
      <w:r>
        <w:rPr>
          <w:rFonts w:hint="eastAsia" w:ascii="宋体" w:hAnsi="宋体" w:eastAsia="宋体" w:cs="宋体"/>
          <w:b/>
          <w:bCs/>
          <w:highlight w:val="none"/>
        </w:rPr>
        <w:t>注：为方便评委评审，请投标人按评标办法中所涉及的内容顺序进行编制书面纸质文件，可以补充相关材料。</w:t>
      </w:r>
    </w:p>
    <w:p>
      <w:pPr>
        <w:adjustRightInd w:val="0"/>
        <w:snapToGrid w:val="0"/>
        <w:spacing w:line="360" w:lineRule="auto"/>
        <w:ind w:firstLine="487" w:firstLineChars="202"/>
        <w:jc w:val="left"/>
        <w:outlineLvl w:val="2"/>
        <w:rPr>
          <w:rFonts w:ascii="宋体" w:hAnsi="宋体" w:eastAsia="宋体" w:cs="宋体"/>
          <w:highlight w:val="none"/>
        </w:rPr>
      </w:pPr>
      <w:r>
        <w:rPr>
          <w:rFonts w:hint="eastAsia" w:ascii="宋体" w:hAnsi="宋体" w:eastAsia="宋体" w:cs="宋体"/>
          <w:b/>
          <w:bCs/>
          <w:highlight w:val="none"/>
        </w:rPr>
        <w:t>（三）“C价格标文件”的内容</w:t>
      </w:r>
    </w:p>
    <w:p>
      <w:pPr>
        <w:adjustRightInd w:val="0"/>
        <w:snapToGrid w:val="0"/>
        <w:spacing w:line="360" w:lineRule="auto"/>
        <w:ind w:firstLine="487" w:firstLineChars="202"/>
        <w:jc w:val="left"/>
        <w:rPr>
          <w:rFonts w:ascii="宋体" w:hAnsi="宋体" w:eastAsia="宋体" w:cs="宋体"/>
          <w:highlight w:val="none"/>
        </w:rPr>
      </w:pPr>
      <w:r>
        <w:rPr>
          <w:rFonts w:hint="eastAsia" w:ascii="宋体" w:hAnsi="宋体" w:eastAsia="宋体" w:cs="宋体"/>
          <w:b/>
          <w:bCs/>
          <w:highlight w:val="none"/>
        </w:rPr>
        <w:t>【特别说明】价格标文件中的报价，包括本采购文件规定涵盖的所有范围及相应说明的全部内容涉及到的费用。</w:t>
      </w:r>
    </w:p>
    <w:p>
      <w:pPr>
        <w:adjustRightInd w:val="0"/>
        <w:snapToGrid w:val="0"/>
        <w:spacing w:line="360" w:lineRule="auto"/>
        <w:ind w:firstLine="484" w:firstLineChars="202"/>
        <w:jc w:val="left"/>
        <w:rPr>
          <w:rFonts w:ascii="宋体" w:hAnsi="宋体" w:eastAsia="宋体" w:cs="宋体"/>
          <w:highlight w:val="none"/>
        </w:rPr>
      </w:pPr>
      <w:r>
        <w:rPr>
          <w:rFonts w:hint="eastAsia" w:ascii="宋体" w:hAnsi="宋体" w:eastAsia="宋体" w:cs="宋体"/>
          <w:highlight w:val="none"/>
        </w:rPr>
        <w:t>1.</w:t>
      </w:r>
      <w:bookmarkStart w:id="34" w:name="_Hlk78746600"/>
      <w:bookmarkEnd w:id="34"/>
      <w:r>
        <w:rPr>
          <w:rFonts w:hint="eastAsia" w:ascii="宋体" w:hAnsi="宋体" w:eastAsia="宋体" w:cs="宋体"/>
          <w:highlight w:val="none"/>
          <w:lang w:val="en-US" w:eastAsia="zh-CN"/>
        </w:rPr>
        <w:t>投标</w:t>
      </w:r>
      <w:r>
        <w:rPr>
          <w:rFonts w:hint="eastAsia" w:ascii="宋体" w:hAnsi="宋体" w:eastAsia="宋体" w:cs="宋体"/>
          <w:highlight w:val="none"/>
        </w:rPr>
        <w:t>函。</w:t>
      </w:r>
    </w:p>
    <w:p>
      <w:pPr>
        <w:pageBreakBefore/>
        <w:adjustRightInd w:val="0"/>
        <w:snapToGrid w:val="0"/>
        <w:spacing w:line="360" w:lineRule="auto"/>
        <w:jc w:val="left"/>
        <w:outlineLvl w:val="1"/>
        <w:rPr>
          <w:rFonts w:ascii="宋体" w:hAnsi="宋体" w:eastAsia="宋体" w:cs="宋体"/>
          <w:b/>
          <w:bCs/>
          <w:highlight w:val="none"/>
        </w:rPr>
      </w:pPr>
      <w:r>
        <w:rPr>
          <w:rFonts w:hint="eastAsia" w:ascii="宋体" w:hAnsi="宋体" w:eastAsia="宋体" w:cs="宋体"/>
          <w:b/>
          <w:bCs/>
          <w:highlight w:val="none"/>
        </w:rPr>
        <w:t>三、投标响应文件封面范例</w:t>
      </w:r>
    </w:p>
    <w:p>
      <w:pPr>
        <w:adjustRightInd w:val="0"/>
        <w:snapToGrid w:val="0"/>
        <w:spacing w:before="156" w:beforeLines="50" w:line="360" w:lineRule="auto"/>
        <w:jc w:val="center"/>
        <w:rPr>
          <w:rFonts w:ascii="宋体" w:hAnsi="宋体" w:eastAsia="宋体" w:cs="宋体"/>
          <w:kern w:val="44"/>
          <w:highlight w:val="none"/>
        </w:rPr>
      </w:pPr>
    </w:p>
    <w:p>
      <w:pPr>
        <w:spacing w:line="360" w:lineRule="auto"/>
        <w:jc w:val="center"/>
        <w:rPr>
          <w:rFonts w:hint="eastAsia" w:ascii="宋体" w:hAnsi="宋体" w:eastAsia="宋体" w:cs="宋体"/>
          <w:b/>
          <w:kern w:val="44"/>
          <w:sz w:val="36"/>
          <w:szCs w:val="36"/>
          <w:highlight w:val="none"/>
          <w:lang w:eastAsia="zh-CN"/>
        </w:rPr>
      </w:pPr>
      <w:r>
        <w:rPr>
          <w:rFonts w:hint="eastAsia" w:ascii="宋体" w:hAnsi="宋体" w:eastAsia="宋体" w:cs="宋体"/>
          <w:b/>
          <w:kern w:val="44"/>
          <w:sz w:val="36"/>
          <w:szCs w:val="36"/>
          <w:highlight w:val="none"/>
          <w:lang w:eastAsia="zh-CN"/>
        </w:rPr>
        <w:t>南通市崇川文化旅游发展有限公司2023-202</w:t>
      </w:r>
      <w:r>
        <w:rPr>
          <w:rFonts w:hint="eastAsia" w:ascii="宋体" w:hAnsi="宋体" w:eastAsia="宋体" w:cs="宋体"/>
          <w:b/>
          <w:kern w:val="44"/>
          <w:sz w:val="36"/>
          <w:szCs w:val="36"/>
          <w:highlight w:val="none"/>
          <w:lang w:val="en-US" w:eastAsia="zh-CN"/>
        </w:rPr>
        <w:t>5</w:t>
      </w:r>
      <w:r>
        <w:rPr>
          <w:rFonts w:hint="eastAsia" w:ascii="宋体" w:hAnsi="宋体" w:eastAsia="宋体" w:cs="宋体"/>
          <w:b/>
          <w:kern w:val="44"/>
          <w:sz w:val="36"/>
          <w:szCs w:val="36"/>
          <w:highlight w:val="none"/>
          <w:lang w:eastAsia="zh-CN"/>
        </w:rPr>
        <w:t>年度经营性物业处置服务机构项目（</w:t>
      </w:r>
      <w:r>
        <w:rPr>
          <w:rFonts w:hint="eastAsia" w:ascii="宋体" w:hAnsi="宋体" w:eastAsia="宋体" w:cs="宋体"/>
          <w:b/>
          <w:kern w:val="44"/>
          <w:sz w:val="36"/>
          <w:szCs w:val="36"/>
          <w:highlight w:val="none"/>
          <w:lang w:val="en-US" w:eastAsia="zh-CN"/>
        </w:rPr>
        <w:t>二次</w:t>
      </w:r>
      <w:r>
        <w:rPr>
          <w:rFonts w:hint="eastAsia" w:ascii="宋体" w:hAnsi="宋体" w:eastAsia="宋体" w:cs="宋体"/>
          <w:b/>
          <w:kern w:val="44"/>
          <w:sz w:val="36"/>
          <w:szCs w:val="36"/>
          <w:highlight w:val="none"/>
          <w:lang w:eastAsia="zh-CN"/>
        </w:rPr>
        <w:t>）</w:t>
      </w:r>
    </w:p>
    <w:p>
      <w:pPr>
        <w:spacing w:line="360" w:lineRule="auto"/>
        <w:jc w:val="center"/>
        <w:rPr>
          <w:rFonts w:ascii="宋体" w:hAnsi="宋体" w:eastAsia="宋体" w:cs="宋体"/>
          <w:b/>
          <w:kern w:val="44"/>
          <w:sz w:val="36"/>
          <w:szCs w:val="36"/>
          <w:highlight w:val="none"/>
        </w:rPr>
      </w:pPr>
    </w:p>
    <w:p>
      <w:pPr>
        <w:spacing w:line="360" w:lineRule="auto"/>
        <w:jc w:val="center"/>
        <w:rPr>
          <w:rFonts w:ascii="宋体" w:hAnsi="宋体" w:eastAsia="宋体" w:cs="宋体"/>
          <w:b/>
          <w:kern w:val="44"/>
          <w:sz w:val="36"/>
          <w:szCs w:val="36"/>
          <w:highlight w:val="none"/>
        </w:rPr>
      </w:pPr>
    </w:p>
    <w:p>
      <w:pPr>
        <w:spacing w:line="360" w:lineRule="auto"/>
        <w:jc w:val="center"/>
        <w:rPr>
          <w:rFonts w:ascii="宋体" w:hAnsi="宋体" w:eastAsia="宋体" w:cs="宋体"/>
          <w:b/>
          <w:kern w:val="44"/>
          <w:sz w:val="36"/>
          <w:szCs w:val="36"/>
          <w:highlight w:val="none"/>
        </w:rPr>
      </w:pPr>
    </w:p>
    <w:p>
      <w:pPr>
        <w:spacing w:line="360" w:lineRule="auto"/>
        <w:jc w:val="center"/>
        <w:rPr>
          <w:rFonts w:ascii="宋体" w:hAnsi="宋体" w:eastAsia="宋体" w:cs="宋体"/>
          <w:sz w:val="52"/>
          <w:szCs w:val="52"/>
          <w:highlight w:val="none"/>
        </w:rPr>
      </w:pPr>
      <w:r>
        <w:rPr>
          <w:rFonts w:hint="eastAsia" w:ascii="宋体" w:hAnsi="宋体" w:eastAsia="宋体" w:cs="宋体"/>
          <w:sz w:val="52"/>
          <w:szCs w:val="52"/>
          <w:highlight w:val="none"/>
        </w:rPr>
        <w:t>投标文件</w:t>
      </w:r>
    </w:p>
    <w:p>
      <w:pPr>
        <w:spacing w:line="360" w:lineRule="auto"/>
        <w:ind w:firstLine="1920" w:firstLineChars="800"/>
        <w:rPr>
          <w:rFonts w:ascii="宋体" w:hAnsi="宋体" w:eastAsia="宋体" w:cs="宋体"/>
          <w:highlight w:val="none"/>
        </w:rPr>
      </w:pPr>
    </w:p>
    <w:p>
      <w:pPr>
        <w:spacing w:line="360" w:lineRule="auto"/>
        <w:ind w:firstLine="1920" w:firstLineChars="800"/>
        <w:rPr>
          <w:rFonts w:ascii="宋体" w:hAnsi="宋体" w:eastAsia="宋体" w:cs="宋体"/>
          <w:highlight w:val="none"/>
        </w:rPr>
      </w:pPr>
    </w:p>
    <w:p>
      <w:pPr>
        <w:spacing w:line="360" w:lineRule="auto"/>
        <w:ind w:firstLine="1920" w:firstLineChars="800"/>
        <w:rPr>
          <w:rFonts w:ascii="宋体" w:hAnsi="宋体" w:eastAsia="宋体" w:cs="宋体"/>
          <w:highlight w:val="none"/>
        </w:rPr>
      </w:pPr>
      <w:r>
        <w:rPr>
          <w:rFonts w:hint="eastAsia" w:ascii="宋体" w:hAnsi="宋体" w:eastAsia="宋体" w:cs="宋体"/>
          <w:highlight w:val="none"/>
        </w:rPr>
        <w:t>对应投标文件，相应填写：A资格后审材料文件</w:t>
      </w:r>
    </w:p>
    <w:p>
      <w:pPr>
        <w:spacing w:line="360" w:lineRule="auto"/>
        <w:ind w:firstLine="4800" w:firstLineChars="2000"/>
        <w:jc w:val="left"/>
        <w:rPr>
          <w:rFonts w:ascii="宋体" w:hAnsi="宋体" w:eastAsia="宋体" w:cs="宋体"/>
          <w:highlight w:val="none"/>
        </w:rPr>
      </w:pPr>
      <w:r>
        <w:rPr>
          <w:rFonts w:hint="eastAsia" w:ascii="宋体" w:hAnsi="宋体" w:eastAsia="宋体" w:cs="宋体"/>
          <w:highlight w:val="none"/>
        </w:rPr>
        <w:t>B商务技术标文件</w:t>
      </w:r>
    </w:p>
    <w:p>
      <w:pPr>
        <w:spacing w:line="360" w:lineRule="auto"/>
        <w:ind w:firstLine="4800" w:firstLineChars="2000"/>
        <w:jc w:val="left"/>
        <w:rPr>
          <w:rFonts w:ascii="宋体" w:hAnsi="宋体" w:eastAsia="宋体" w:cs="宋体"/>
          <w:highlight w:val="none"/>
        </w:rPr>
      </w:pPr>
      <w:r>
        <w:rPr>
          <w:rFonts w:hint="eastAsia" w:ascii="宋体" w:hAnsi="宋体" w:eastAsia="宋体" w:cs="宋体"/>
          <w:highlight w:val="none"/>
        </w:rPr>
        <w:t>C价格标文件</w:t>
      </w:r>
    </w:p>
    <w:p>
      <w:pPr>
        <w:spacing w:line="360" w:lineRule="auto"/>
        <w:jc w:val="center"/>
        <w:rPr>
          <w:rFonts w:ascii="宋体" w:hAnsi="宋体" w:eastAsia="宋体" w:cs="宋体"/>
          <w:highlight w:val="none"/>
        </w:rPr>
      </w:pPr>
    </w:p>
    <w:p>
      <w:pPr>
        <w:spacing w:line="360" w:lineRule="auto"/>
        <w:jc w:val="center"/>
        <w:rPr>
          <w:rFonts w:ascii="宋体" w:hAnsi="宋体" w:eastAsia="宋体" w:cs="宋体"/>
          <w:highlight w:val="none"/>
        </w:rPr>
      </w:pPr>
      <w:r>
        <w:rPr>
          <w:rFonts w:hint="eastAsia" w:ascii="宋体" w:hAnsi="宋体" w:eastAsia="宋体" w:cs="宋体"/>
          <w:highlight w:val="none"/>
        </w:rPr>
        <w:t>（资格后审）</w:t>
      </w:r>
    </w:p>
    <w:p>
      <w:pPr>
        <w:pStyle w:val="12"/>
        <w:spacing w:line="360" w:lineRule="auto"/>
        <w:rPr>
          <w:rFonts w:ascii="宋体" w:hAnsi="宋体" w:eastAsia="宋体" w:cs="宋体"/>
          <w:highlight w:val="none"/>
        </w:rPr>
      </w:pPr>
    </w:p>
    <w:p>
      <w:pPr>
        <w:adjustRightInd w:val="0"/>
        <w:snapToGrid w:val="0"/>
        <w:spacing w:line="360" w:lineRule="auto"/>
        <w:rPr>
          <w:rFonts w:ascii="宋体" w:hAnsi="宋体" w:eastAsia="宋体" w:cs="宋体"/>
          <w:highlight w:val="none"/>
        </w:rPr>
      </w:pPr>
    </w:p>
    <w:p>
      <w:pPr>
        <w:adjustRightInd w:val="0"/>
        <w:snapToGrid w:val="0"/>
        <w:spacing w:line="360" w:lineRule="auto"/>
        <w:rPr>
          <w:rFonts w:ascii="宋体" w:hAnsi="宋体" w:eastAsia="宋体" w:cs="宋体"/>
          <w:highlight w:val="none"/>
        </w:rPr>
      </w:pPr>
    </w:p>
    <w:p>
      <w:pPr>
        <w:adjustRightInd w:val="0"/>
        <w:snapToGrid w:val="0"/>
        <w:spacing w:line="360" w:lineRule="auto"/>
        <w:rPr>
          <w:rFonts w:ascii="宋体" w:hAnsi="宋体" w:eastAsia="宋体" w:cs="宋体"/>
          <w:highlight w:val="none"/>
        </w:rPr>
      </w:pPr>
    </w:p>
    <w:p>
      <w:pPr>
        <w:adjustRightInd w:val="0"/>
        <w:snapToGrid w:val="0"/>
        <w:spacing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供应商：参加投标响应单位全称</w:t>
      </w:r>
    </w:p>
    <w:p>
      <w:pPr>
        <w:snapToGrid w:val="0"/>
        <w:spacing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二〇二三年  月  日</w:t>
      </w:r>
    </w:p>
    <w:p>
      <w:pPr>
        <w:spacing w:line="360" w:lineRule="auto"/>
        <w:rPr>
          <w:rFonts w:ascii="宋体" w:hAnsi="宋体" w:eastAsia="宋体" w:cs="宋体"/>
          <w:highlight w:val="none"/>
        </w:rPr>
      </w:pPr>
      <w:bookmarkStart w:id="35" w:name="_Hlk64479956"/>
      <w:bookmarkEnd w:id="35"/>
    </w:p>
    <w:p>
      <w:pPr>
        <w:pageBreakBefore/>
        <w:adjustRightInd w:val="0"/>
        <w:snapToGrid w:val="0"/>
        <w:spacing w:line="360" w:lineRule="auto"/>
        <w:outlineLvl w:val="2"/>
        <w:rPr>
          <w:rFonts w:ascii="宋体" w:hAnsi="宋体" w:eastAsia="宋体" w:cs="宋体"/>
          <w:b/>
          <w:bCs/>
          <w:highlight w:val="none"/>
        </w:rPr>
      </w:pPr>
      <w:r>
        <w:rPr>
          <w:rFonts w:hint="eastAsia" w:ascii="宋体" w:hAnsi="宋体" w:eastAsia="宋体" w:cs="宋体"/>
          <w:b/>
          <w:bCs/>
          <w:highlight w:val="none"/>
        </w:rPr>
        <w:t>（一）A资格审查文件（</w:t>
      </w:r>
      <w:r>
        <w:rPr>
          <w:rFonts w:hint="eastAsia" w:ascii="宋体" w:hAnsi="宋体" w:eastAsia="宋体" w:cs="宋体"/>
          <w:b/>
          <w:bCs/>
          <w:highlight w:val="none"/>
          <w:u w:val="thick" w:color="FF0000"/>
        </w:rPr>
        <w:t>密封件，内含：1份“正本”和4份“副本”。</w:t>
      </w:r>
      <w:r>
        <w:rPr>
          <w:rFonts w:hint="eastAsia" w:ascii="宋体" w:hAnsi="宋体" w:eastAsia="宋体" w:cs="宋体"/>
          <w:b/>
          <w:bCs/>
          <w:highlight w:val="none"/>
        </w:rPr>
        <w:t>）</w:t>
      </w:r>
    </w:p>
    <w:p>
      <w:pPr>
        <w:snapToGrid w:val="0"/>
        <w:spacing w:before="312" w:beforeLines="100" w:line="360" w:lineRule="auto"/>
        <w:jc w:val="center"/>
        <w:outlineLvl w:val="4"/>
        <w:rPr>
          <w:rFonts w:ascii="宋体" w:hAnsi="宋体" w:eastAsia="宋体" w:cs="宋体"/>
          <w:b/>
          <w:bCs/>
          <w:highlight w:val="none"/>
        </w:rPr>
      </w:pPr>
      <w:r>
        <w:rPr>
          <w:rFonts w:hint="eastAsia" w:ascii="宋体" w:hAnsi="宋体" w:eastAsia="宋体" w:cs="宋体"/>
          <w:b/>
          <w:bCs/>
          <w:highlight w:val="none"/>
        </w:rPr>
        <w:t>（1）法定代表人身份证明</w:t>
      </w:r>
    </w:p>
    <w:p>
      <w:pPr>
        <w:snapToGrid w:val="0"/>
        <w:spacing w:before="312" w:beforeLines="100" w:after="312" w:afterLines="100" w:line="360" w:lineRule="auto"/>
        <w:rPr>
          <w:rFonts w:ascii="宋体" w:hAnsi="宋体" w:eastAsia="宋体" w:cs="宋体"/>
          <w:highlight w:val="none"/>
        </w:rPr>
      </w:pPr>
      <w:r>
        <w:rPr>
          <w:rFonts w:hint="eastAsia" w:ascii="宋体" w:hAnsi="宋体" w:eastAsia="宋体" w:cs="宋体"/>
          <w:highlight w:val="none"/>
          <w:u w:val="single"/>
          <w:lang w:val="zh-CN"/>
        </w:rPr>
        <w:t xml:space="preserve">               （招标单位全称）</w:t>
      </w:r>
      <w:r>
        <w:rPr>
          <w:rFonts w:hint="eastAsia" w:ascii="宋体" w:hAnsi="宋体" w:eastAsia="宋体" w:cs="宋体"/>
          <w:highlight w:val="none"/>
        </w:rPr>
        <w:t>：</w:t>
      </w:r>
    </w:p>
    <w:p>
      <w:pPr>
        <w:snapToGrid w:val="0"/>
        <w:spacing w:line="360" w:lineRule="auto"/>
        <w:rPr>
          <w:rFonts w:ascii="宋体" w:hAnsi="宋体" w:eastAsia="宋体" w:cs="宋体"/>
          <w:highlight w:val="none"/>
        </w:rPr>
      </w:pPr>
      <w:r>
        <w:rPr>
          <w:rFonts w:hint="eastAsia" w:ascii="宋体" w:hAnsi="宋体" w:eastAsia="宋体" w:cs="宋体"/>
          <w:highlight w:val="none"/>
          <w:u w:val="single"/>
        </w:rPr>
        <w:t xml:space="preserve">             （先生／女士）</w:t>
      </w:r>
      <w:r>
        <w:rPr>
          <w:rFonts w:hint="eastAsia" w:ascii="宋体" w:hAnsi="宋体" w:eastAsia="宋体" w:cs="宋体"/>
          <w:highlight w:val="none"/>
        </w:rPr>
        <w:t>现任我单位</w:t>
      </w:r>
      <w:r>
        <w:rPr>
          <w:rFonts w:hint="eastAsia" w:ascii="宋体" w:hAnsi="宋体" w:eastAsia="宋体" w:cs="宋体"/>
          <w:highlight w:val="none"/>
          <w:u w:val="single"/>
        </w:rPr>
        <w:t xml:space="preserve">       </w:t>
      </w:r>
      <w:r>
        <w:rPr>
          <w:rFonts w:hint="eastAsia" w:ascii="宋体" w:hAnsi="宋体" w:eastAsia="宋体" w:cs="宋体"/>
          <w:highlight w:val="none"/>
        </w:rPr>
        <w:t>职务，为法定代表人，特此证明。</w:t>
      </w:r>
    </w:p>
    <w:p>
      <w:pPr>
        <w:snapToGrid w:val="0"/>
        <w:spacing w:line="360" w:lineRule="auto"/>
        <w:ind w:firstLine="480" w:firstLineChars="200"/>
        <w:rPr>
          <w:rFonts w:ascii="宋体" w:hAnsi="宋体" w:eastAsia="宋体" w:cs="宋体"/>
          <w:highlight w:val="none"/>
          <w:u w:val="single"/>
        </w:rPr>
      </w:pPr>
      <w:r>
        <w:rPr>
          <w:rFonts w:hint="eastAsia" w:ascii="宋体" w:hAnsi="宋体" w:eastAsia="宋体" w:cs="宋体"/>
          <w:highlight w:val="none"/>
        </w:rPr>
        <w:t>身份证号码：</w:t>
      </w:r>
    </w:p>
    <w:p>
      <w:pPr>
        <w:snapToGrid w:val="0"/>
        <w:spacing w:line="360" w:lineRule="auto"/>
        <w:ind w:firstLine="484" w:firstLineChars="202"/>
        <w:jc w:val="right"/>
        <w:rPr>
          <w:rFonts w:ascii="宋体" w:hAnsi="宋体" w:eastAsia="宋体" w:cs="宋体"/>
          <w:highlight w:val="none"/>
        </w:rPr>
      </w:pPr>
      <w:r>
        <w:rPr>
          <w:rFonts w:hint="eastAsia" w:ascii="宋体" w:hAnsi="宋体" w:eastAsia="宋体" w:cs="宋体"/>
          <w:highlight w:val="none"/>
        </w:rPr>
        <w:t>供应商（盖章）</w:t>
      </w:r>
    </w:p>
    <w:p>
      <w:pPr>
        <w:snapToGrid w:val="0"/>
        <w:spacing w:line="360" w:lineRule="auto"/>
        <w:ind w:firstLine="484" w:firstLineChars="202"/>
        <w:jc w:val="right"/>
        <w:rPr>
          <w:rFonts w:ascii="宋体" w:hAnsi="宋体" w:eastAsia="宋体" w:cs="宋体"/>
          <w:highlight w:val="none"/>
        </w:rPr>
      </w:pPr>
      <w:r>
        <w:rPr>
          <w:rFonts w:hint="eastAsia" w:ascii="宋体" w:hAnsi="宋体" w:eastAsia="宋体" w:cs="宋体"/>
          <w:highlight w:val="none"/>
        </w:rPr>
        <w:t>年  月  日</w:t>
      </w:r>
    </w:p>
    <w:p>
      <w:pPr>
        <w:snapToGrid w:val="0"/>
        <w:spacing w:line="360" w:lineRule="auto"/>
        <w:ind w:firstLine="484" w:firstLineChars="202"/>
        <w:jc w:val="left"/>
        <w:rPr>
          <w:rFonts w:ascii="宋体" w:hAnsi="宋体" w:eastAsia="宋体" w:cs="宋体"/>
          <w:highlight w:val="none"/>
        </w:rPr>
      </w:pPr>
    </w:p>
    <w:p>
      <w:pPr>
        <w:snapToGrid w:val="0"/>
        <w:spacing w:line="360" w:lineRule="auto"/>
        <w:ind w:firstLine="484" w:firstLineChars="202"/>
        <w:jc w:val="left"/>
        <w:rPr>
          <w:rFonts w:ascii="宋体" w:hAnsi="宋体" w:eastAsia="宋体" w:cs="宋体"/>
          <w:highlight w:val="none"/>
        </w:rPr>
      </w:pPr>
    </w:p>
    <w:p>
      <w:pPr>
        <w:snapToGrid w:val="0"/>
        <w:spacing w:line="360" w:lineRule="auto"/>
        <w:jc w:val="center"/>
        <w:rPr>
          <w:rFonts w:ascii="宋体" w:hAnsi="宋体" w:eastAsia="宋体" w:cs="宋体"/>
          <w:b/>
          <w:bCs/>
          <w:highlight w:val="none"/>
        </w:rPr>
      </w:pPr>
      <w:r>
        <w:rPr>
          <w:rFonts w:hint="eastAsia" w:ascii="宋体" w:hAnsi="宋体" w:eastAsia="宋体" w:cs="宋体"/>
          <w:b/>
          <w:bCs/>
          <w:highlight w:val="none"/>
        </w:rPr>
        <w:t>法定代表人身份证复印件</w:t>
      </w:r>
    </w:p>
    <w:p>
      <w:pPr>
        <w:snapToGrid w:val="0"/>
        <w:spacing w:line="360" w:lineRule="auto"/>
        <w:jc w:val="center"/>
        <w:rPr>
          <w:rFonts w:ascii="宋体" w:hAnsi="宋体" w:eastAsia="宋体" w:cs="宋体"/>
          <w:b/>
          <w:bCs/>
          <w:highlight w:val="none"/>
        </w:rPr>
      </w:pPr>
    </w:p>
    <w:p>
      <w:pPr>
        <w:snapToGrid w:val="0"/>
        <w:spacing w:line="360" w:lineRule="auto"/>
        <w:jc w:val="center"/>
        <w:rPr>
          <w:rFonts w:ascii="宋体" w:hAnsi="宋体" w:eastAsia="宋体" w:cs="宋体"/>
          <w:b/>
          <w:bCs/>
          <w:highlight w:val="none"/>
        </w:rPr>
      </w:pPr>
    </w:p>
    <w:p>
      <w:pPr>
        <w:snapToGrid w:val="0"/>
        <w:spacing w:line="360" w:lineRule="auto"/>
        <w:jc w:val="center"/>
        <w:rPr>
          <w:rFonts w:ascii="宋体" w:hAnsi="宋体" w:eastAsia="宋体" w:cs="宋体"/>
          <w:b/>
          <w:bCs/>
          <w:highlight w:val="none"/>
        </w:rPr>
      </w:pPr>
    </w:p>
    <w:p>
      <w:pPr>
        <w:snapToGrid w:val="0"/>
        <w:spacing w:line="360" w:lineRule="auto"/>
        <w:jc w:val="center"/>
        <w:rPr>
          <w:rFonts w:ascii="宋体" w:hAnsi="宋体" w:eastAsia="宋体" w:cs="宋体"/>
          <w:b/>
          <w:bCs/>
          <w:highlight w:val="none"/>
        </w:rPr>
      </w:pPr>
    </w:p>
    <w:p>
      <w:pPr>
        <w:snapToGrid w:val="0"/>
        <w:spacing w:line="360" w:lineRule="auto"/>
        <w:jc w:val="center"/>
        <w:rPr>
          <w:rFonts w:ascii="宋体" w:hAnsi="宋体" w:eastAsia="宋体" w:cs="宋体"/>
          <w:b/>
          <w:bCs/>
          <w:highlight w:val="none"/>
        </w:rPr>
      </w:pPr>
    </w:p>
    <w:p>
      <w:pPr>
        <w:snapToGrid w:val="0"/>
        <w:spacing w:line="360" w:lineRule="auto"/>
        <w:jc w:val="center"/>
        <w:rPr>
          <w:rFonts w:ascii="宋体" w:hAnsi="宋体" w:eastAsia="宋体" w:cs="宋体"/>
          <w:highlight w:val="none"/>
        </w:rPr>
      </w:pPr>
      <w:r>
        <w:rPr>
          <w:rFonts w:hint="eastAsia" w:ascii="宋体" w:hAnsi="宋体" w:eastAsia="宋体" w:cs="宋体"/>
          <w:highlight w:val="none"/>
        </w:rPr>
        <w:t>（粘贴此处）</w:t>
      </w:r>
    </w:p>
    <w:p>
      <w:pPr>
        <w:snapToGrid w:val="0"/>
        <w:spacing w:line="360" w:lineRule="auto"/>
        <w:jc w:val="center"/>
        <w:rPr>
          <w:rFonts w:ascii="宋体" w:hAnsi="宋体" w:eastAsia="宋体" w:cs="宋体"/>
          <w:highlight w:val="none"/>
        </w:rPr>
      </w:pPr>
    </w:p>
    <w:p>
      <w:pPr>
        <w:snapToGrid w:val="0"/>
        <w:spacing w:line="360" w:lineRule="auto"/>
        <w:jc w:val="center"/>
        <w:rPr>
          <w:rFonts w:ascii="宋体" w:hAnsi="宋体" w:eastAsia="宋体" w:cs="宋体"/>
          <w:highlight w:val="none"/>
        </w:rPr>
      </w:pPr>
    </w:p>
    <w:p>
      <w:pPr>
        <w:snapToGrid w:val="0"/>
        <w:spacing w:line="360" w:lineRule="auto"/>
        <w:jc w:val="center"/>
        <w:rPr>
          <w:rFonts w:ascii="宋体" w:hAnsi="宋体" w:eastAsia="宋体" w:cs="宋体"/>
          <w:highlight w:val="none"/>
        </w:rPr>
      </w:pPr>
    </w:p>
    <w:p>
      <w:pPr>
        <w:snapToGrid w:val="0"/>
        <w:spacing w:line="360" w:lineRule="auto"/>
        <w:jc w:val="left"/>
        <w:rPr>
          <w:rFonts w:ascii="宋体" w:hAnsi="宋体" w:eastAsia="宋体" w:cs="宋体"/>
          <w:highlight w:val="none"/>
        </w:rPr>
      </w:pPr>
    </w:p>
    <w:p>
      <w:pPr>
        <w:snapToGrid w:val="0"/>
        <w:spacing w:line="360" w:lineRule="auto"/>
        <w:jc w:val="left"/>
        <w:rPr>
          <w:rFonts w:ascii="宋体" w:hAnsi="宋体" w:eastAsia="宋体" w:cs="宋体"/>
          <w:highlight w:val="none"/>
        </w:rPr>
      </w:pPr>
    </w:p>
    <w:p>
      <w:pPr>
        <w:rPr>
          <w:rFonts w:ascii="宋体" w:hAnsi="宋体" w:eastAsia="宋体" w:cs="宋体"/>
          <w:b/>
          <w:bCs/>
          <w:highlight w:val="none"/>
        </w:rPr>
      </w:pPr>
      <w:r>
        <w:rPr>
          <w:rFonts w:hint="eastAsia" w:ascii="宋体" w:hAnsi="宋体" w:eastAsia="宋体" w:cs="宋体"/>
          <w:b/>
          <w:bCs/>
          <w:highlight w:val="none"/>
        </w:rPr>
        <w:br w:type="page"/>
      </w:r>
    </w:p>
    <w:p>
      <w:pPr>
        <w:snapToGrid w:val="0"/>
        <w:spacing w:before="312" w:beforeLines="100" w:line="360" w:lineRule="auto"/>
        <w:jc w:val="center"/>
        <w:outlineLvl w:val="4"/>
        <w:rPr>
          <w:rFonts w:ascii="宋体" w:hAnsi="宋体" w:eastAsia="宋体" w:cs="宋体"/>
          <w:b/>
          <w:bCs/>
          <w:highlight w:val="none"/>
        </w:rPr>
      </w:pPr>
      <w:r>
        <w:rPr>
          <w:rFonts w:hint="eastAsia" w:ascii="宋体" w:hAnsi="宋体" w:eastAsia="宋体" w:cs="宋体"/>
          <w:b/>
          <w:bCs/>
          <w:highlight w:val="none"/>
        </w:rPr>
        <w:t>（2）法定代表人授权委托书</w:t>
      </w:r>
    </w:p>
    <w:p>
      <w:pPr>
        <w:snapToGrid w:val="0"/>
        <w:spacing w:before="312" w:beforeLines="100" w:after="312" w:afterLines="100" w:line="360" w:lineRule="auto"/>
        <w:rPr>
          <w:rFonts w:ascii="宋体" w:hAnsi="宋体" w:eastAsia="宋体" w:cs="宋体"/>
          <w:highlight w:val="none"/>
        </w:rPr>
      </w:pPr>
      <w:r>
        <w:rPr>
          <w:rFonts w:hint="eastAsia" w:ascii="宋体" w:hAnsi="宋体" w:eastAsia="宋体" w:cs="宋体"/>
          <w:highlight w:val="none"/>
          <w:u w:val="single"/>
          <w:lang w:val="zh-CN"/>
        </w:rPr>
        <w:t xml:space="preserve">               （招标单位全称）</w:t>
      </w:r>
      <w:r>
        <w:rPr>
          <w:rFonts w:hint="eastAsia" w:ascii="宋体" w:hAnsi="宋体" w:eastAsia="宋体" w:cs="宋体"/>
          <w:highlight w:val="none"/>
        </w:rPr>
        <w:t>：</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本授权委托书声明：我</w:t>
      </w:r>
      <w:r>
        <w:rPr>
          <w:rFonts w:hint="eastAsia" w:ascii="宋体" w:hAnsi="宋体" w:eastAsia="宋体" w:cs="宋体"/>
          <w:highlight w:val="none"/>
          <w:u w:val="single"/>
        </w:rPr>
        <w:t>（姓名）</w:t>
      </w:r>
      <w:r>
        <w:rPr>
          <w:rFonts w:hint="eastAsia" w:ascii="宋体" w:hAnsi="宋体" w:eastAsia="宋体" w:cs="宋体"/>
          <w:highlight w:val="none"/>
        </w:rPr>
        <w:t>系</w:t>
      </w:r>
      <w:r>
        <w:rPr>
          <w:rFonts w:hint="eastAsia" w:ascii="宋体" w:hAnsi="宋体" w:eastAsia="宋体" w:cs="宋体"/>
          <w:highlight w:val="none"/>
          <w:u w:val="single"/>
        </w:rPr>
        <w:t>（供应商名称）</w:t>
      </w:r>
      <w:r>
        <w:rPr>
          <w:rFonts w:hint="eastAsia" w:ascii="宋体" w:hAnsi="宋体" w:eastAsia="宋体" w:cs="宋体"/>
          <w:highlight w:val="none"/>
        </w:rPr>
        <w:t>的法定代表人，现授权委托</w:t>
      </w:r>
      <w:r>
        <w:rPr>
          <w:rFonts w:hint="eastAsia" w:ascii="宋体" w:hAnsi="宋体" w:eastAsia="宋体" w:cs="宋体"/>
          <w:highlight w:val="none"/>
          <w:u w:val="single"/>
        </w:rPr>
        <w:t>（姓名）</w:t>
      </w:r>
      <w:r>
        <w:rPr>
          <w:rFonts w:hint="eastAsia" w:ascii="宋体" w:hAnsi="宋体" w:eastAsia="宋体" w:cs="宋体"/>
          <w:highlight w:val="none"/>
        </w:rPr>
        <w:t>为我公司委托代理人，以本公司的名义参加</w:t>
      </w:r>
      <w:r>
        <w:rPr>
          <w:rFonts w:hint="eastAsia" w:ascii="宋体" w:hAnsi="宋体" w:eastAsia="宋体" w:cs="宋体"/>
          <w:highlight w:val="none"/>
          <w:u w:val="single"/>
          <w:lang w:val="zh-CN"/>
        </w:rPr>
        <w:t>（项目名称）</w:t>
      </w:r>
      <w:r>
        <w:rPr>
          <w:rFonts w:hint="eastAsia" w:ascii="宋体" w:hAnsi="宋体" w:eastAsia="宋体" w:cs="宋体"/>
          <w:highlight w:val="none"/>
        </w:rPr>
        <w:t>的采购响应投标活动。委托代理人在开标、评标、合同谈判过程中所签署的一切文件和处理与之有关的一切事务，我均予以承认。</w:t>
      </w:r>
    </w:p>
    <w:p>
      <w:pPr>
        <w:snapToGrid w:val="0"/>
        <w:spacing w:line="360" w:lineRule="auto"/>
        <w:ind w:firstLine="484" w:firstLineChars="202"/>
        <w:rPr>
          <w:rFonts w:ascii="宋体" w:hAnsi="宋体" w:eastAsia="宋体" w:cs="宋体"/>
          <w:highlight w:val="none"/>
        </w:rPr>
      </w:pP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委托代理人无转委权。特此委托。</w:t>
      </w:r>
    </w:p>
    <w:p>
      <w:pPr>
        <w:snapToGrid w:val="0"/>
        <w:spacing w:line="360" w:lineRule="auto"/>
        <w:ind w:firstLine="972" w:firstLineChars="405"/>
        <w:rPr>
          <w:rFonts w:ascii="宋体" w:hAnsi="宋体" w:eastAsia="宋体" w:cs="宋体"/>
          <w:highlight w:val="none"/>
        </w:rPr>
      </w:pPr>
    </w:p>
    <w:p>
      <w:pPr>
        <w:snapToGrid w:val="0"/>
        <w:spacing w:line="360" w:lineRule="auto"/>
        <w:ind w:firstLine="972" w:firstLineChars="405"/>
        <w:rPr>
          <w:rFonts w:ascii="宋体" w:hAnsi="宋体" w:eastAsia="宋体" w:cs="宋体"/>
          <w:highlight w:val="none"/>
        </w:rPr>
      </w:pPr>
      <w:r>
        <w:rPr>
          <w:rFonts w:hint="eastAsia" w:ascii="宋体" w:hAnsi="宋体" w:eastAsia="宋体" w:cs="宋体"/>
          <w:highlight w:val="none"/>
        </w:rPr>
        <w:t>法定代表人签字：</w:t>
      </w:r>
    </w:p>
    <w:p>
      <w:pPr>
        <w:snapToGrid w:val="0"/>
        <w:spacing w:line="360" w:lineRule="auto"/>
        <w:ind w:firstLine="972" w:firstLineChars="405"/>
        <w:rPr>
          <w:rFonts w:ascii="宋体" w:hAnsi="宋体" w:eastAsia="宋体" w:cs="宋体"/>
          <w:highlight w:val="none"/>
        </w:rPr>
      </w:pPr>
    </w:p>
    <w:p>
      <w:pPr>
        <w:snapToGrid w:val="0"/>
        <w:spacing w:line="360" w:lineRule="auto"/>
        <w:ind w:firstLine="972" w:firstLineChars="405"/>
        <w:rPr>
          <w:rFonts w:ascii="宋体" w:hAnsi="宋体" w:eastAsia="宋体" w:cs="宋体"/>
          <w:highlight w:val="none"/>
        </w:rPr>
      </w:pPr>
      <w:r>
        <w:rPr>
          <w:rFonts w:hint="eastAsia" w:ascii="宋体" w:hAnsi="宋体" w:eastAsia="宋体" w:cs="宋体"/>
          <w:highlight w:val="none"/>
        </w:rPr>
        <w:t>委托代理人身份证号：</w:t>
      </w:r>
    </w:p>
    <w:p>
      <w:pPr>
        <w:snapToGrid w:val="0"/>
        <w:spacing w:line="360" w:lineRule="auto"/>
        <w:ind w:firstLine="972" w:firstLineChars="405"/>
        <w:rPr>
          <w:rFonts w:ascii="宋体" w:hAnsi="宋体" w:eastAsia="宋体" w:cs="宋体"/>
          <w:highlight w:val="none"/>
        </w:rPr>
      </w:pPr>
    </w:p>
    <w:p>
      <w:pPr>
        <w:snapToGrid w:val="0"/>
        <w:spacing w:line="360" w:lineRule="auto"/>
        <w:ind w:firstLine="972" w:firstLineChars="405"/>
        <w:rPr>
          <w:rFonts w:ascii="宋体" w:hAnsi="宋体" w:eastAsia="宋体" w:cs="宋体"/>
          <w:highlight w:val="none"/>
        </w:rPr>
      </w:pPr>
      <w:r>
        <w:rPr>
          <w:rFonts w:hint="eastAsia" w:ascii="宋体" w:hAnsi="宋体" w:eastAsia="宋体" w:cs="宋体"/>
          <w:highlight w:val="none"/>
        </w:rPr>
        <w:t>委托代理人签字：</w:t>
      </w:r>
    </w:p>
    <w:p>
      <w:pPr>
        <w:snapToGrid w:val="0"/>
        <w:spacing w:line="360" w:lineRule="auto"/>
        <w:ind w:firstLine="484" w:firstLineChars="202"/>
        <w:jc w:val="right"/>
        <w:rPr>
          <w:rFonts w:ascii="宋体" w:hAnsi="宋体" w:eastAsia="宋体" w:cs="宋体"/>
          <w:highlight w:val="none"/>
        </w:rPr>
      </w:pPr>
      <w:r>
        <w:rPr>
          <w:rFonts w:hint="eastAsia" w:ascii="宋体" w:hAnsi="宋体" w:eastAsia="宋体" w:cs="宋体"/>
          <w:highlight w:val="none"/>
        </w:rPr>
        <w:t>供应商（盖章）</w:t>
      </w:r>
    </w:p>
    <w:p>
      <w:pPr>
        <w:snapToGrid w:val="0"/>
        <w:spacing w:line="360" w:lineRule="auto"/>
        <w:ind w:firstLine="484" w:firstLineChars="202"/>
        <w:jc w:val="right"/>
        <w:rPr>
          <w:rFonts w:ascii="宋体" w:hAnsi="宋体" w:eastAsia="宋体" w:cs="宋体"/>
          <w:highlight w:val="none"/>
        </w:rPr>
      </w:pPr>
      <w:r>
        <w:rPr>
          <w:rFonts w:hint="eastAsia" w:ascii="宋体" w:hAnsi="宋体" w:eastAsia="宋体" w:cs="宋体"/>
          <w:highlight w:val="none"/>
        </w:rPr>
        <w:t>年  月  日</w:t>
      </w:r>
    </w:p>
    <w:p>
      <w:pPr>
        <w:snapToGrid w:val="0"/>
        <w:spacing w:line="360" w:lineRule="auto"/>
        <w:ind w:firstLine="484" w:firstLineChars="202"/>
        <w:jc w:val="left"/>
        <w:rPr>
          <w:rFonts w:ascii="宋体" w:hAnsi="宋体" w:eastAsia="宋体" w:cs="宋体"/>
          <w:highlight w:val="none"/>
        </w:rPr>
      </w:pPr>
    </w:p>
    <w:p>
      <w:pPr>
        <w:snapToGrid w:val="0"/>
        <w:spacing w:line="360" w:lineRule="auto"/>
        <w:ind w:firstLine="484" w:firstLineChars="202"/>
        <w:jc w:val="left"/>
        <w:rPr>
          <w:rFonts w:ascii="宋体" w:hAnsi="宋体" w:eastAsia="宋体" w:cs="宋体"/>
          <w:highlight w:val="none"/>
        </w:rPr>
      </w:pPr>
    </w:p>
    <w:p>
      <w:pPr>
        <w:snapToGrid w:val="0"/>
        <w:spacing w:line="360" w:lineRule="auto"/>
        <w:jc w:val="center"/>
        <w:rPr>
          <w:rFonts w:ascii="宋体" w:hAnsi="宋体" w:eastAsia="宋体" w:cs="宋体"/>
          <w:b/>
          <w:bCs/>
          <w:highlight w:val="none"/>
        </w:rPr>
      </w:pPr>
      <w:r>
        <w:rPr>
          <w:rFonts w:hint="eastAsia" w:ascii="宋体" w:hAnsi="宋体" w:eastAsia="宋体" w:cs="宋体"/>
          <w:b/>
          <w:bCs/>
          <w:highlight w:val="none"/>
        </w:rPr>
        <w:t>委托代理人身份证复印件</w:t>
      </w:r>
    </w:p>
    <w:p>
      <w:pPr>
        <w:snapToGrid w:val="0"/>
        <w:spacing w:line="360" w:lineRule="auto"/>
        <w:jc w:val="center"/>
        <w:rPr>
          <w:rFonts w:ascii="宋体" w:hAnsi="宋体" w:eastAsia="宋体" w:cs="宋体"/>
          <w:b/>
          <w:bCs/>
          <w:highlight w:val="none"/>
        </w:rPr>
      </w:pPr>
    </w:p>
    <w:p>
      <w:pPr>
        <w:snapToGrid w:val="0"/>
        <w:spacing w:line="360" w:lineRule="auto"/>
        <w:jc w:val="center"/>
        <w:rPr>
          <w:rFonts w:ascii="宋体" w:hAnsi="宋体" w:eastAsia="宋体" w:cs="宋体"/>
          <w:highlight w:val="none"/>
        </w:rPr>
      </w:pPr>
      <w:r>
        <w:rPr>
          <w:rFonts w:hint="eastAsia" w:ascii="宋体" w:hAnsi="宋体" w:eastAsia="宋体" w:cs="宋体"/>
          <w:highlight w:val="none"/>
        </w:rPr>
        <w:t>（粘贴此处）</w:t>
      </w:r>
    </w:p>
    <w:p>
      <w:pPr>
        <w:rPr>
          <w:rFonts w:ascii="宋体" w:hAnsi="宋体" w:eastAsia="宋体" w:cs="宋体"/>
          <w:b/>
          <w:bCs/>
          <w:highlight w:val="none"/>
        </w:rPr>
      </w:pPr>
      <w:r>
        <w:rPr>
          <w:rFonts w:hint="eastAsia" w:ascii="宋体" w:hAnsi="宋体" w:eastAsia="宋体" w:cs="宋体"/>
          <w:b/>
          <w:bCs/>
          <w:highlight w:val="none"/>
        </w:rPr>
        <w:br w:type="page"/>
      </w:r>
    </w:p>
    <w:p>
      <w:pPr>
        <w:pStyle w:val="27"/>
        <w:spacing w:line="560" w:lineRule="exact"/>
        <w:jc w:val="center"/>
        <w:rPr>
          <w:b/>
          <w:bCs/>
          <w:sz w:val="32"/>
          <w:szCs w:val="32"/>
          <w:highlight w:val="none"/>
        </w:rPr>
      </w:pPr>
      <w:r>
        <w:rPr>
          <w:rFonts w:hint="eastAsia" w:ascii="宋体" w:hAnsi="宋体" w:cs="宋体"/>
          <w:b/>
          <w:bCs/>
          <w:sz w:val="24"/>
          <w:szCs w:val="32"/>
          <w:highlight w:val="none"/>
        </w:rPr>
        <w:t>（3）</w:t>
      </w:r>
      <w:r>
        <w:rPr>
          <w:b/>
          <w:bCs/>
          <w:sz w:val="32"/>
          <w:szCs w:val="32"/>
          <w:highlight w:val="none"/>
        </w:rPr>
        <w:t>投标人声明函</w:t>
      </w:r>
    </w:p>
    <w:p>
      <w:pPr>
        <w:spacing w:line="460" w:lineRule="exact"/>
        <w:rPr>
          <w:b/>
          <w:bCs/>
          <w:sz w:val="44"/>
          <w:szCs w:val="44"/>
          <w:highlight w:val="none"/>
        </w:rPr>
      </w:pPr>
      <w:r>
        <w:rPr>
          <w:b/>
          <w:bCs/>
          <w:szCs w:val="21"/>
          <w:highlight w:val="none"/>
        </w:rPr>
        <w:t xml:space="preserve">                       </w:t>
      </w:r>
      <w:r>
        <w:rPr>
          <w:b/>
          <w:bCs/>
          <w:sz w:val="44"/>
          <w:szCs w:val="44"/>
          <w:highlight w:val="none"/>
        </w:rPr>
        <w:t xml:space="preserve">   </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我单位参加</w:t>
      </w:r>
      <w:r>
        <w:rPr>
          <w:rFonts w:hint="eastAsia" w:ascii="宋体" w:hAnsi="宋体" w:eastAsia="宋体" w:cs="宋体"/>
          <w:highlight w:val="none"/>
          <w:u w:val="single"/>
        </w:rPr>
        <w:t xml:space="preserve">            （项目名称）</w:t>
      </w:r>
      <w:r>
        <w:rPr>
          <w:rFonts w:hint="eastAsia" w:ascii="宋体" w:hAnsi="宋体" w:eastAsia="宋体" w:cs="宋体"/>
          <w:highlight w:val="none"/>
        </w:rPr>
        <w:t>投标活动。我单位声明如下：</w:t>
      </w: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我单位具有独立承担民事责任的能力；</w:t>
      </w: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我单位具有良好的商业信誉和健全的财务会计制度；</w:t>
      </w: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 xml:space="preserve">我单位具有履行合同所必需的设备和专业技术能力； </w:t>
      </w: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我单位有依法缴纳税收和社会保障资金的良好记录；</w:t>
      </w: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我单位参加采购活动前三年内，在经营活动中没有重大违法记录；在投标截止时间节点，没有被“信用中国”网站（www.creditchina.gov.cn）列入失信被执行人、重大税收违法案件当事人名单、政府采购严重失信行为记录名单；</w:t>
      </w: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我单位满足法律、行政法规规定的其他条件。</w:t>
      </w:r>
    </w:p>
    <w:p>
      <w:pPr>
        <w:snapToGrid w:val="0"/>
        <w:spacing w:line="360" w:lineRule="auto"/>
        <w:ind w:firstLine="484" w:firstLineChars="202"/>
        <w:rPr>
          <w:rFonts w:ascii="宋体" w:hAnsi="宋体" w:eastAsia="宋体" w:cs="宋体"/>
          <w:highlight w:val="none"/>
        </w:rPr>
      </w:pP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 xml:space="preserve">                                     承诺人名称（盖单位公章）：</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 xml:space="preserve">  </w:t>
      </w:r>
    </w:p>
    <w:p>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 xml:space="preserve">                              日期：______年    月    日</w:t>
      </w:r>
    </w:p>
    <w:p>
      <w:pPr>
        <w:rPr>
          <w:rFonts w:ascii="宋体" w:hAnsi="宋体" w:eastAsia="宋体" w:cs="宋体"/>
          <w:b/>
          <w:sz w:val="32"/>
          <w:highlight w:val="none"/>
        </w:rPr>
      </w:pPr>
      <w:r>
        <w:rPr>
          <w:rFonts w:hint="eastAsia" w:ascii="宋体" w:hAnsi="宋体" w:eastAsia="宋体" w:cs="宋体"/>
          <w:b/>
          <w:sz w:val="32"/>
          <w:highlight w:val="none"/>
        </w:rPr>
        <w:br w:type="page"/>
      </w:r>
    </w:p>
    <w:p>
      <w:pPr>
        <w:spacing w:before="156" w:beforeLines="50" w:after="156" w:afterLines="50" w:line="400" w:lineRule="exact"/>
        <w:jc w:val="center"/>
        <w:rPr>
          <w:rFonts w:ascii="宋体" w:hAnsi="宋体" w:cs="宋体"/>
          <w:b/>
          <w:sz w:val="32"/>
          <w:highlight w:val="none"/>
        </w:rPr>
      </w:pPr>
      <w:r>
        <w:rPr>
          <w:rFonts w:hint="eastAsia" w:ascii="宋体" w:hAnsi="宋体" w:eastAsia="宋体" w:cs="宋体"/>
          <w:b/>
          <w:sz w:val="32"/>
          <w:highlight w:val="none"/>
        </w:rPr>
        <w:t>（4）诚信承诺书</w:t>
      </w: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致：</w:t>
      </w:r>
      <w:r>
        <w:rPr>
          <w:rFonts w:hint="eastAsia" w:ascii="宋体" w:hAnsi="宋体" w:eastAsia="宋体" w:cs="宋体"/>
          <w:highlight w:val="none"/>
          <w:u w:val="single"/>
          <w:lang w:val="zh-CN"/>
        </w:rPr>
        <w:t xml:space="preserve">               （招标单位全称）</w:t>
      </w: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u w:val="single"/>
          <w:lang w:val="zh-CN"/>
        </w:rPr>
        <w:t xml:space="preserve">                （投标人全称） </w:t>
      </w:r>
      <w:r>
        <w:rPr>
          <w:rFonts w:hint="eastAsia" w:ascii="宋体" w:hAnsi="宋体" w:eastAsia="宋体" w:cs="宋体"/>
          <w:highlight w:val="none"/>
          <w:lang w:val="zh-CN"/>
        </w:rPr>
        <w:t>参与</w:t>
      </w:r>
      <w:r>
        <w:rPr>
          <w:rFonts w:hint="eastAsia" w:ascii="宋体" w:hAnsi="宋体" w:eastAsia="宋体" w:cs="宋体"/>
          <w:highlight w:val="none"/>
          <w:u w:val="single"/>
          <w:lang w:val="zh-CN"/>
        </w:rPr>
        <w:t xml:space="preserve">                 （项目名称）</w:t>
      </w:r>
      <w:r>
        <w:rPr>
          <w:rFonts w:hint="eastAsia" w:ascii="宋体" w:hAnsi="宋体" w:eastAsia="宋体" w:cs="宋体"/>
          <w:highlight w:val="none"/>
          <w:lang w:val="zh-CN"/>
        </w:rPr>
        <w:t>投标，我单位愿意作出以下承诺：</w:t>
      </w: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1.我单位参与本</w:t>
      </w:r>
      <w:r>
        <w:rPr>
          <w:rFonts w:hint="eastAsia" w:ascii="宋体" w:hAnsi="宋体" w:eastAsia="宋体" w:cs="宋体"/>
          <w:highlight w:val="none"/>
        </w:rPr>
        <w:t>项目</w:t>
      </w:r>
      <w:r>
        <w:rPr>
          <w:rFonts w:hint="eastAsia" w:ascii="宋体" w:hAnsi="宋体" w:eastAsia="宋体" w:cs="宋体"/>
          <w:highlight w:val="none"/>
          <w:lang w:val="zh-CN"/>
        </w:rPr>
        <w:t>投标，提交的投标文件真实可信。证件及有关附件是真实的，复印件与原件是一致的。绝无借资质、挂靠、提供虚假材料等违规现象。</w:t>
      </w: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2.我单位不参与任何串标围标等违法活动。</w:t>
      </w: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3.我单位遵守国家廉政相关规定，无失信、行贿等不良行为。</w:t>
      </w: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4.如中标，我单位将按照投标文件中委派的人员及时到位，且全面负责工作。</w:t>
      </w: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5.若我单位未能兑现以上承诺，愿意接受没收投标保证金的处理，并愿意接受业主和监管部门的处罚。</w:t>
      </w: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对违反承诺内容所引发的一切后果，我单位愿负法律责任。</w:t>
      </w:r>
    </w:p>
    <w:p>
      <w:pPr>
        <w:snapToGrid w:val="0"/>
        <w:spacing w:line="360" w:lineRule="auto"/>
        <w:ind w:firstLine="484" w:firstLineChars="202"/>
        <w:rPr>
          <w:rFonts w:ascii="宋体" w:hAnsi="宋体" w:eastAsia="宋体" w:cs="宋体"/>
          <w:highlight w:val="none"/>
          <w:lang w:val="zh-CN"/>
        </w:rPr>
      </w:pP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rPr>
        <w:t>供应商</w:t>
      </w:r>
      <w:r>
        <w:rPr>
          <w:rFonts w:hint="eastAsia" w:ascii="宋体" w:hAnsi="宋体" w:eastAsia="宋体" w:cs="宋体"/>
          <w:highlight w:val="none"/>
          <w:lang w:val="zh-CN"/>
        </w:rPr>
        <w:t>(盖</w:t>
      </w:r>
      <w:r>
        <w:rPr>
          <w:rFonts w:hint="eastAsia" w:ascii="宋体" w:hAnsi="宋体" w:eastAsia="宋体" w:cs="宋体"/>
          <w:highlight w:val="none"/>
        </w:rPr>
        <w:t>投标单位公</w:t>
      </w:r>
      <w:r>
        <w:rPr>
          <w:rFonts w:hint="eastAsia" w:ascii="宋体" w:hAnsi="宋体" w:eastAsia="宋体" w:cs="宋体"/>
          <w:highlight w:val="none"/>
          <w:lang w:val="zh-CN"/>
        </w:rPr>
        <w:t>章)：</w:t>
      </w:r>
    </w:p>
    <w:p>
      <w:pPr>
        <w:snapToGrid w:val="0"/>
        <w:spacing w:line="360" w:lineRule="auto"/>
        <w:ind w:firstLine="484" w:firstLineChars="202"/>
        <w:rPr>
          <w:rFonts w:ascii="宋体" w:hAnsi="宋体" w:eastAsia="宋体" w:cs="宋体"/>
          <w:highlight w:val="none"/>
          <w:lang w:val="zh-CN"/>
        </w:rPr>
      </w:pPr>
    </w:p>
    <w:p>
      <w:pPr>
        <w:snapToGrid w:val="0"/>
        <w:spacing w:line="360" w:lineRule="auto"/>
        <w:ind w:firstLine="484" w:firstLineChars="202"/>
        <w:rPr>
          <w:rFonts w:ascii="宋体" w:hAnsi="宋体" w:eastAsia="宋体" w:cs="宋体"/>
          <w:highlight w:val="none"/>
          <w:lang w:val="zh-CN"/>
        </w:rPr>
      </w:pP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法定代表人或委托代理人(签字或盖章)：</w:t>
      </w:r>
    </w:p>
    <w:p>
      <w:pPr>
        <w:snapToGrid w:val="0"/>
        <w:spacing w:line="360" w:lineRule="auto"/>
        <w:ind w:firstLine="484" w:firstLineChars="202"/>
        <w:rPr>
          <w:rFonts w:ascii="宋体" w:hAnsi="宋体" w:eastAsia="宋体" w:cs="宋体"/>
          <w:highlight w:val="none"/>
          <w:lang w:val="zh-CN"/>
        </w:rPr>
      </w:pPr>
    </w:p>
    <w:p>
      <w:pPr>
        <w:snapToGrid w:val="0"/>
        <w:spacing w:line="360" w:lineRule="auto"/>
        <w:ind w:firstLine="484" w:firstLineChars="202"/>
        <w:rPr>
          <w:rFonts w:ascii="宋体" w:hAnsi="宋体" w:eastAsia="宋体" w:cs="宋体"/>
          <w:highlight w:val="none"/>
          <w:lang w:val="zh-CN"/>
        </w:rPr>
      </w:pPr>
    </w:p>
    <w:p>
      <w:pPr>
        <w:snapToGrid w:val="0"/>
        <w:spacing w:line="360" w:lineRule="auto"/>
        <w:ind w:firstLine="484" w:firstLineChars="202"/>
        <w:rPr>
          <w:rFonts w:ascii="宋体" w:hAnsi="宋体" w:eastAsia="宋体" w:cs="宋体"/>
          <w:highlight w:val="none"/>
          <w:lang w:val="zh-CN"/>
        </w:rPr>
      </w:pPr>
      <w:r>
        <w:rPr>
          <w:rFonts w:hint="eastAsia" w:ascii="宋体" w:hAnsi="宋体" w:eastAsia="宋体" w:cs="宋体"/>
          <w:highlight w:val="none"/>
          <w:lang w:val="zh-CN"/>
        </w:rPr>
        <w:t>日期：  年  月   日</w:t>
      </w:r>
    </w:p>
    <w:p>
      <w:pPr>
        <w:spacing w:line="360" w:lineRule="auto"/>
        <w:ind w:firstLine="424" w:firstLineChars="177"/>
        <w:rPr>
          <w:rFonts w:ascii="宋体" w:hAnsi="宋体" w:eastAsia="宋体" w:cs="宋体"/>
          <w:highlight w:val="none"/>
        </w:rPr>
      </w:pPr>
    </w:p>
    <w:p>
      <w:pPr>
        <w:spacing w:line="360" w:lineRule="auto"/>
        <w:ind w:firstLine="424" w:firstLineChars="177"/>
        <w:rPr>
          <w:rFonts w:ascii="宋体" w:hAnsi="宋体" w:eastAsia="宋体" w:cs="宋体"/>
          <w:highlight w:val="none"/>
        </w:rPr>
      </w:pPr>
    </w:p>
    <w:p>
      <w:pPr>
        <w:spacing w:line="360" w:lineRule="auto"/>
        <w:ind w:firstLine="424" w:firstLineChars="177"/>
        <w:rPr>
          <w:rFonts w:ascii="宋体" w:hAnsi="宋体" w:eastAsia="宋体" w:cs="宋体"/>
          <w:highlight w:val="none"/>
        </w:rPr>
      </w:pPr>
    </w:p>
    <w:p>
      <w:pPr>
        <w:spacing w:line="360" w:lineRule="auto"/>
        <w:ind w:firstLine="424" w:firstLineChars="177"/>
        <w:rPr>
          <w:rFonts w:ascii="宋体" w:hAnsi="宋体" w:eastAsia="宋体" w:cs="宋体"/>
          <w:highlight w:val="none"/>
        </w:rPr>
      </w:pPr>
    </w:p>
    <w:p>
      <w:pPr>
        <w:spacing w:line="360" w:lineRule="auto"/>
        <w:ind w:firstLine="424" w:firstLineChars="177"/>
        <w:rPr>
          <w:rFonts w:ascii="宋体" w:hAnsi="宋体" w:eastAsia="宋体" w:cs="宋体"/>
          <w:highlight w:val="none"/>
        </w:rPr>
      </w:pPr>
    </w:p>
    <w:p>
      <w:pPr>
        <w:spacing w:line="360" w:lineRule="auto"/>
        <w:ind w:firstLine="424" w:firstLineChars="177"/>
        <w:rPr>
          <w:rFonts w:ascii="宋体" w:hAnsi="宋体" w:eastAsia="宋体" w:cs="宋体"/>
          <w:highlight w:val="none"/>
        </w:rPr>
      </w:pPr>
    </w:p>
    <w:p>
      <w:pPr>
        <w:spacing w:line="360" w:lineRule="auto"/>
        <w:ind w:firstLine="424" w:firstLineChars="177"/>
        <w:rPr>
          <w:rFonts w:ascii="宋体" w:hAnsi="宋体" w:eastAsia="宋体" w:cs="宋体"/>
          <w:highlight w:val="none"/>
        </w:rPr>
      </w:pPr>
    </w:p>
    <w:p>
      <w:pPr>
        <w:pageBreakBefore/>
        <w:adjustRightInd w:val="0"/>
        <w:snapToGrid w:val="0"/>
        <w:spacing w:line="360" w:lineRule="auto"/>
        <w:outlineLvl w:val="2"/>
        <w:rPr>
          <w:rFonts w:ascii="宋体" w:hAnsi="宋体" w:eastAsia="宋体" w:cs="宋体"/>
          <w:b/>
          <w:bCs/>
          <w:highlight w:val="none"/>
        </w:rPr>
      </w:pPr>
      <w:r>
        <w:rPr>
          <w:rFonts w:hint="eastAsia" w:ascii="宋体" w:hAnsi="宋体" w:eastAsia="宋体" w:cs="宋体"/>
          <w:b/>
          <w:bCs/>
          <w:highlight w:val="none"/>
        </w:rPr>
        <w:t>（二）B商务技术标文件（</w:t>
      </w:r>
      <w:r>
        <w:rPr>
          <w:rFonts w:hint="eastAsia" w:ascii="宋体" w:hAnsi="宋体" w:eastAsia="宋体" w:cs="宋体"/>
          <w:b/>
          <w:bCs/>
          <w:highlight w:val="none"/>
          <w:u w:val="thick" w:color="FF0000"/>
        </w:rPr>
        <w:t>密封件，内含：1份“正本”和4份“副本”。</w:t>
      </w:r>
      <w:r>
        <w:rPr>
          <w:rFonts w:hint="eastAsia" w:ascii="宋体" w:hAnsi="宋体" w:eastAsia="宋体" w:cs="宋体"/>
          <w:b/>
          <w:bCs/>
          <w:highlight w:val="none"/>
        </w:rPr>
        <w:t>）</w:t>
      </w:r>
    </w:p>
    <w:p>
      <w:pPr>
        <w:snapToGrid w:val="0"/>
        <w:spacing w:before="312" w:beforeLines="100" w:line="360" w:lineRule="auto"/>
        <w:jc w:val="center"/>
        <w:outlineLvl w:val="3"/>
        <w:rPr>
          <w:rFonts w:ascii="宋体" w:hAnsi="宋体" w:eastAsia="宋体" w:cs="宋体"/>
          <w:b/>
          <w:bCs/>
          <w:highlight w:val="none"/>
        </w:rPr>
      </w:pPr>
      <w:r>
        <w:rPr>
          <w:rFonts w:hint="eastAsia" w:ascii="宋体" w:hAnsi="宋体" w:eastAsia="宋体" w:cs="宋体"/>
          <w:b/>
          <w:bCs/>
          <w:highlight w:val="none"/>
        </w:rPr>
        <w:t>（1）投标响应函</w:t>
      </w:r>
    </w:p>
    <w:p>
      <w:pPr>
        <w:snapToGrid w:val="0"/>
        <w:spacing w:before="156" w:beforeLines="50" w:after="156" w:afterLines="50" w:line="360" w:lineRule="auto"/>
        <w:rPr>
          <w:rFonts w:ascii="宋体" w:hAnsi="宋体" w:eastAsia="宋体" w:cs="宋体"/>
          <w:highlight w:val="none"/>
        </w:rPr>
      </w:pPr>
      <w:r>
        <w:rPr>
          <w:rFonts w:hint="eastAsia" w:ascii="宋体" w:hAnsi="宋体" w:eastAsia="宋体" w:cs="宋体"/>
          <w:highlight w:val="none"/>
          <w:u w:val="single"/>
          <w:lang w:val="zh-CN"/>
        </w:rPr>
        <w:t xml:space="preserve">               （招标单位全称）</w:t>
      </w:r>
      <w:r>
        <w:rPr>
          <w:rFonts w:hint="eastAsia" w:ascii="宋体" w:hAnsi="宋体" w:eastAsia="宋体" w:cs="宋体"/>
          <w:highlight w:val="none"/>
        </w:rPr>
        <w:t>：</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依据贵单位</w:t>
      </w:r>
      <w:r>
        <w:rPr>
          <w:rFonts w:hint="eastAsia" w:ascii="宋体" w:hAnsi="宋体" w:eastAsia="宋体" w:cs="宋体"/>
          <w:highlight w:val="none"/>
          <w:u w:val="single"/>
        </w:rPr>
        <w:t>（项目名称）</w:t>
      </w:r>
      <w:r>
        <w:rPr>
          <w:rFonts w:hint="eastAsia" w:ascii="宋体" w:hAnsi="宋体" w:eastAsia="宋体" w:cs="宋体"/>
          <w:highlight w:val="none"/>
        </w:rPr>
        <w:t>公开招标采购的邀请，我方授权</w:t>
      </w:r>
      <w:r>
        <w:rPr>
          <w:rFonts w:hint="eastAsia" w:ascii="宋体" w:hAnsi="宋体" w:eastAsia="宋体" w:cs="宋体"/>
          <w:highlight w:val="none"/>
          <w:u w:val="single"/>
        </w:rPr>
        <w:t>（姓名）（职务）</w:t>
      </w:r>
      <w:r>
        <w:rPr>
          <w:rFonts w:hint="eastAsia" w:ascii="宋体" w:hAnsi="宋体" w:eastAsia="宋体" w:cs="宋体"/>
          <w:highlight w:val="none"/>
        </w:rPr>
        <w:t>为全权代表参加该项目的投标，全权处理本次投标的有关事宜。同时，我公司声明如下：</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1、同意并接受招标文件的各项要求，遵守招标文件中的各项规定，按招标文件的要求提供报价。</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2、我公司已经详细阅读了全部招标文件及其附件，我方已完全清晰理解招标文件的要求，不存在任何含糊不清和误解之处，同意放弃对这些文件所提出的异议和质疑的权利。</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3、我公司已毫无保留地向贵方提供一切所需的证明材料。</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4、我公司承诺在本次招标响应中提供的一切文件，无论是原件还是复印件均真实有效，绝无任何虚假、伪造和夸大的成份。否则，愿承担相应的后果和法律责任。</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5、我公司尊重评标小组所作的评定结果，同时清楚理解到报价最低并非意味着必定获得中标资格。</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6、一旦我方中标,我方将根据采购文件的要求和投标响应文件的承诺签订合同，严格履行合同的责任和义务,并保证在采购文件规定的时间完成项目，交付采购人验收、使用。</w:t>
      </w:r>
    </w:p>
    <w:p>
      <w:pPr>
        <w:spacing w:line="360" w:lineRule="auto"/>
        <w:ind w:firstLine="1560" w:firstLineChars="650"/>
        <w:jc w:val="right"/>
        <w:rPr>
          <w:rFonts w:ascii="宋体" w:hAnsi="宋体" w:eastAsia="宋体" w:cs="宋体"/>
          <w:highlight w:val="none"/>
        </w:rPr>
      </w:pPr>
    </w:p>
    <w:p>
      <w:pPr>
        <w:spacing w:line="360" w:lineRule="auto"/>
        <w:ind w:firstLine="1560" w:firstLineChars="650"/>
        <w:jc w:val="right"/>
        <w:rPr>
          <w:rFonts w:ascii="宋体" w:hAnsi="宋体" w:eastAsia="宋体" w:cs="宋体"/>
          <w:highlight w:val="none"/>
        </w:rPr>
      </w:pPr>
    </w:p>
    <w:p>
      <w:pPr>
        <w:spacing w:line="360" w:lineRule="auto"/>
        <w:ind w:firstLine="1560" w:firstLineChars="650"/>
        <w:jc w:val="right"/>
        <w:rPr>
          <w:rFonts w:ascii="宋体" w:hAnsi="宋体" w:eastAsia="宋体" w:cs="宋体"/>
          <w:highlight w:val="none"/>
        </w:rPr>
      </w:pPr>
      <w:r>
        <w:rPr>
          <w:rFonts w:hint="eastAsia" w:ascii="宋体" w:hAnsi="宋体" w:eastAsia="宋体" w:cs="宋体"/>
          <w:highlight w:val="none"/>
        </w:rPr>
        <w:t>投标供应商：（加盖公章）</w:t>
      </w:r>
    </w:p>
    <w:p>
      <w:pPr>
        <w:spacing w:line="360" w:lineRule="auto"/>
        <w:ind w:firstLine="1560" w:firstLineChars="650"/>
        <w:jc w:val="right"/>
        <w:rPr>
          <w:rFonts w:ascii="宋体" w:hAnsi="宋体" w:eastAsia="宋体" w:cs="宋体"/>
          <w:highlight w:val="none"/>
        </w:rPr>
      </w:pPr>
      <w:r>
        <w:rPr>
          <w:rFonts w:hint="eastAsia" w:ascii="宋体" w:hAnsi="宋体" w:eastAsia="宋体" w:cs="宋体"/>
          <w:highlight w:val="none"/>
        </w:rPr>
        <w:t>法定代表人或委托代理人：（签字或盖章）</w:t>
      </w:r>
    </w:p>
    <w:p>
      <w:pPr>
        <w:spacing w:line="360" w:lineRule="auto"/>
        <w:ind w:firstLine="4320" w:firstLineChars="1800"/>
        <w:jc w:val="center"/>
        <w:rPr>
          <w:rFonts w:ascii="宋体" w:hAnsi="宋体" w:eastAsia="宋体" w:cs="宋体"/>
          <w:highlight w:val="none"/>
        </w:rPr>
      </w:pPr>
      <w:r>
        <w:rPr>
          <w:rFonts w:hint="eastAsia" w:ascii="宋体" w:hAnsi="宋体" w:eastAsia="宋体" w:cs="宋体"/>
          <w:highlight w:val="none"/>
        </w:rPr>
        <w:t>年  月  日</w:t>
      </w:r>
    </w:p>
    <w:p>
      <w:pPr>
        <w:snapToGrid w:val="0"/>
        <w:spacing w:line="360" w:lineRule="auto"/>
        <w:rPr>
          <w:rFonts w:ascii="宋体" w:hAnsi="宋体" w:eastAsia="宋体" w:cs="宋体"/>
          <w:b/>
          <w:bCs/>
          <w:highlight w:val="none"/>
        </w:rPr>
      </w:pPr>
      <w:r>
        <w:rPr>
          <w:rFonts w:hint="eastAsia" w:ascii="宋体" w:hAnsi="宋体" w:eastAsia="宋体" w:cs="宋体"/>
          <w:b/>
          <w:bCs/>
          <w:highlight w:val="none"/>
        </w:rPr>
        <w:t>注：该文是格式文字表述，投标人</w:t>
      </w:r>
      <w:r>
        <w:rPr>
          <w:rFonts w:hint="eastAsia" w:ascii="宋体" w:hAnsi="宋体" w:eastAsia="宋体" w:cs="宋体"/>
          <w:b/>
          <w:bCs/>
          <w:highlight w:val="none"/>
          <w:u w:val="thick" w:color="FF0000"/>
        </w:rPr>
        <w:t>不得改动，必须提供</w:t>
      </w:r>
      <w:r>
        <w:rPr>
          <w:rFonts w:hint="eastAsia" w:ascii="宋体" w:hAnsi="宋体" w:eastAsia="宋体" w:cs="宋体"/>
          <w:b/>
          <w:bCs/>
          <w:highlight w:val="none"/>
        </w:rPr>
        <w:t>。</w:t>
      </w:r>
    </w:p>
    <w:p>
      <w:pPr>
        <w:pStyle w:val="22"/>
        <w:rPr>
          <w:highlight w:val="none"/>
        </w:rPr>
      </w:pPr>
    </w:p>
    <w:p>
      <w:pPr>
        <w:pStyle w:val="12"/>
        <w:spacing w:line="360" w:lineRule="auto"/>
        <w:rPr>
          <w:rFonts w:ascii="宋体" w:hAnsi="宋体" w:eastAsia="宋体" w:cs="宋体"/>
          <w:highlight w:val="none"/>
        </w:rPr>
      </w:pPr>
    </w:p>
    <w:p>
      <w:pPr>
        <w:rPr>
          <w:rFonts w:hint="eastAsia" w:ascii="宋体" w:hAnsi="宋体" w:eastAsia="宋体" w:cs="宋体"/>
          <w:b/>
          <w:highlight w:val="none"/>
        </w:rPr>
      </w:pPr>
      <w:r>
        <w:rPr>
          <w:rFonts w:hint="eastAsia" w:ascii="宋体" w:hAnsi="宋体" w:eastAsia="宋体" w:cs="宋体"/>
          <w:b/>
          <w:highlight w:val="none"/>
        </w:rPr>
        <w:br w:type="page"/>
      </w:r>
    </w:p>
    <w:p>
      <w:pPr>
        <w:jc w:val="center"/>
        <w:rPr>
          <w:rFonts w:ascii="宋体" w:hAnsi="宋体" w:eastAsia="宋体" w:cs="宋体"/>
          <w:b/>
          <w:highlight w:val="none"/>
        </w:rPr>
      </w:pPr>
      <w:r>
        <w:rPr>
          <w:rFonts w:hint="eastAsia" w:ascii="宋体" w:hAnsi="宋体" w:eastAsia="宋体" w:cs="宋体"/>
          <w:b/>
          <w:highlight w:val="none"/>
        </w:rPr>
        <w:t>（2）商务技术标其他材料</w:t>
      </w:r>
    </w:p>
    <w:p>
      <w:pPr>
        <w:pageBreakBefore/>
        <w:adjustRightInd w:val="0"/>
        <w:snapToGrid w:val="0"/>
        <w:spacing w:line="360" w:lineRule="auto"/>
        <w:outlineLvl w:val="2"/>
        <w:rPr>
          <w:rFonts w:ascii="宋体" w:hAnsi="宋体" w:eastAsia="宋体" w:cs="宋体"/>
          <w:b/>
          <w:bCs/>
          <w:highlight w:val="none"/>
        </w:rPr>
      </w:pPr>
      <w:r>
        <w:rPr>
          <w:rFonts w:hint="eastAsia" w:ascii="宋体" w:hAnsi="宋体" w:eastAsia="宋体" w:cs="宋体"/>
          <w:b/>
          <w:bCs/>
          <w:highlight w:val="none"/>
        </w:rPr>
        <w:t>（三）C价格标文件</w:t>
      </w:r>
    </w:p>
    <w:p>
      <w:pPr>
        <w:snapToGrid w:val="0"/>
        <w:spacing w:line="360" w:lineRule="auto"/>
        <w:ind w:firstLine="496" w:firstLineChars="206"/>
        <w:jc w:val="center"/>
        <w:rPr>
          <w:rFonts w:ascii="宋体" w:hAnsi="宋体" w:eastAsia="宋体" w:cs="宋体"/>
          <w:b/>
          <w:bCs/>
          <w:highlight w:val="none"/>
        </w:rPr>
      </w:pPr>
      <w:r>
        <w:rPr>
          <w:rFonts w:hint="eastAsia" w:ascii="宋体" w:hAnsi="宋体" w:eastAsia="宋体" w:cs="宋体"/>
          <w:b/>
          <w:bCs/>
          <w:highlight w:val="none"/>
        </w:rPr>
        <w:t>（1）投标函</w:t>
      </w:r>
    </w:p>
    <w:tbl>
      <w:tblPr>
        <w:tblStyle w:val="14"/>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6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pPr>
              <w:snapToGrid w:val="0"/>
              <w:ind w:left="1214" w:hanging="1214" w:hangingChars="506"/>
              <w:jc w:val="center"/>
              <w:rPr>
                <w:rFonts w:ascii="宋体" w:hAnsi="宋体" w:eastAsia="宋体" w:cs="宋体"/>
                <w:highlight w:val="none"/>
              </w:rPr>
            </w:pPr>
            <w:r>
              <w:rPr>
                <w:rFonts w:hint="eastAsia" w:ascii="宋体" w:hAnsi="宋体" w:eastAsia="宋体" w:cs="宋体"/>
                <w:highlight w:val="none"/>
              </w:rPr>
              <w:t>项目名称</w:t>
            </w:r>
          </w:p>
        </w:tc>
        <w:tc>
          <w:tcPr>
            <w:tcW w:w="6101" w:type="dxa"/>
            <w:tcBorders>
              <w:top w:val="single" w:color="auto" w:sz="4" w:space="0"/>
              <w:left w:val="single" w:color="auto" w:sz="4" w:space="0"/>
              <w:bottom w:val="single" w:color="auto" w:sz="4" w:space="0"/>
              <w:right w:val="single" w:color="auto" w:sz="4" w:space="0"/>
            </w:tcBorders>
            <w:vAlign w:val="center"/>
          </w:tcPr>
          <w:p>
            <w:pPr>
              <w:snapToGrid w:val="0"/>
              <w:ind w:left="1214" w:hanging="1214" w:hangingChars="506"/>
              <w:jc w:val="center"/>
              <w:rPr>
                <w:rFonts w:hint="eastAsia" w:ascii="宋体" w:hAnsi="宋体" w:eastAsia="宋体" w:cs="宋体"/>
                <w:highlight w:val="none"/>
                <w:lang w:eastAsia="zh-CN"/>
              </w:rPr>
            </w:pPr>
            <w:r>
              <w:rPr>
                <w:rFonts w:hint="eastAsia" w:ascii="宋体" w:hAnsi="宋体" w:eastAsia="宋体" w:cs="宋体"/>
                <w:highlight w:val="none"/>
                <w:lang w:eastAsia="zh-CN"/>
              </w:rPr>
              <w:t>南通市崇川文化旅游发展有限公司2023-202</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年度经营性物业处置服务机构项目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pPr>
              <w:snapToGrid w:val="0"/>
              <w:ind w:left="1214" w:hanging="1214" w:hangingChars="506"/>
              <w:jc w:val="center"/>
              <w:rPr>
                <w:rFonts w:ascii="宋体" w:hAnsi="宋体" w:eastAsia="宋体" w:cs="宋体"/>
                <w:highlight w:val="none"/>
              </w:rPr>
            </w:pPr>
            <w:r>
              <w:rPr>
                <w:rFonts w:hint="eastAsia" w:ascii="宋体" w:hAnsi="宋体" w:eastAsia="宋体" w:cs="宋体"/>
                <w:highlight w:val="none"/>
              </w:rPr>
              <w:t>投标下浮率</w:t>
            </w:r>
          </w:p>
        </w:tc>
        <w:tc>
          <w:tcPr>
            <w:tcW w:w="6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1219" w:hanging="1219" w:hangingChars="506"/>
              <w:jc w:val="center"/>
              <w:rPr>
                <w:rFonts w:ascii="宋体" w:hAnsi="宋体" w:eastAsia="宋体" w:cs="宋体"/>
                <w:b/>
                <w:bCs/>
                <w:highlight w:val="none"/>
              </w:rPr>
            </w:pPr>
            <w:r>
              <w:rPr>
                <w:rFonts w:hint="eastAsia" w:ascii="宋体" w:hAnsi="宋体" w:eastAsia="宋体" w:cs="宋体"/>
                <w:b/>
                <w:bCs/>
                <w:highlight w:val="none"/>
                <w:lang w:val="en-US" w:eastAsia="zh-CN"/>
              </w:rPr>
              <w:t>大写：</w:t>
            </w:r>
            <w:r>
              <w:rPr>
                <w:rFonts w:hint="eastAsia" w:ascii="宋体" w:hAnsi="宋体" w:eastAsia="宋体" w:cs="宋体"/>
                <w:b/>
                <w:bCs/>
                <w:highlight w:val="none"/>
              </w:rPr>
              <w:t>百分之</w:t>
            </w:r>
            <w:r>
              <w:rPr>
                <w:rFonts w:hint="eastAsia" w:ascii="宋体" w:hAnsi="宋体" w:eastAsia="宋体" w:cs="宋体"/>
                <w:b/>
                <w:bCs/>
                <w:highlight w:val="none"/>
                <w:u w:val="single"/>
                <w:lang w:val="en-US" w:eastAsia="zh-CN"/>
              </w:rPr>
              <w:t xml:space="preserve">        </w:t>
            </w:r>
            <w:r>
              <w:rPr>
                <w:rFonts w:hint="eastAsia" w:ascii="宋体" w:hAnsi="宋体" w:eastAsia="宋体" w:cs="宋体"/>
                <w:b/>
                <w:bCs/>
                <w:highlight w:val="none"/>
              </w:rPr>
              <w:t>（</w:t>
            </w:r>
            <w:r>
              <w:rPr>
                <w:rFonts w:hint="eastAsia" w:ascii="宋体" w:hAnsi="宋体" w:eastAsia="宋体" w:cs="宋体"/>
                <w:b/>
                <w:bCs/>
                <w:highlight w:val="none"/>
                <w:lang w:val="en-US" w:eastAsia="zh-CN"/>
              </w:rPr>
              <w:t>小写：</w:t>
            </w:r>
            <w:r>
              <w:rPr>
                <w:rFonts w:hint="eastAsia" w:ascii="宋体" w:hAnsi="宋体" w:eastAsia="宋体" w:cs="宋体"/>
                <w:b/>
                <w:bCs/>
                <w:highlight w:val="none"/>
                <w:u w:val="single"/>
                <w:lang w:val="en-US" w:eastAsia="zh-CN"/>
              </w:rPr>
              <w:t xml:space="preserve">        </w:t>
            </w:r>
            <w:r>
              <w:rPr>
                <w:rFonts w:hint="eastAsia" w:ascii="宋体" w:hAnsi="宋体" w:eastAsia="宋体" w:cs="宋体"/>
                <w:b/>
                <w:bCs/>
                <w:highlight w:val="none"/>
                <w:lang w:val="en-US" w:eastAsia="zh-CN"/>
              </w:rPr>
              <w:t>%</w:t>
            </w:r>
            <w:r>
              <w:rPr>
                <w:rFonts w:hint="eastAsia" w:ascii="宋体" w:hAnsi="宋体" w:eastAsia="宋体" w:cs="宋体"/>
                <w:b/>
                <w:bCs/>
                <w:highlight w:val="none"/>
              </w:rPr>
              <w:t>）</w:t>
            </w:r>
          </w:p>
        </w:tc>
      </w:tr>
    </w:tbl>
    <w:p>
      <w:pPr>
        <w:kinsoku w:val="0"/>
        <w:topLinePunct/>
        <w:snapToGrid w:val="0"/>
        <w:spacing w:line="520" w:lineRule="exact"/>
        <w:rPr>
          <w:sz w:val="28"/>
          <w:szCs w:val="28"/>
          <w:highlight w:val="none"/>
        </w:rPr>
      </w:pPr>
    </w:p>
    <w:p>
      <w:pPr>
        <w:snapToGrid w:val="0"/>
        <w:spacing w:line="520" w:lineRule="exact"/>
        <w:rPr>
          <w:rFonts w:ascii="宋体" w:hAnsi="宋体" w:eastAsia="宋体" w:cs="宋体"/>
          <w:color w:val="000000"/>
          <w:highlight w:val="none"/>
        </w:rPr>
      </w:pPr>
      <w:r>
        <w:rPr>
          <w:rFonts w:hint="eastAsia" w:ascii="宋体" w:hAnsi="宋体" w:eastAsia="宋体" w:cs="宋体"/>
          <w:color w:val="000000"/>
          <w:highlight w:val="none"/>
        </w:rPr>
        <w:t>投标供应商：（加盖公章）</w:t>
      </w:r>
    </w:p>
    <w:p>
      <w:pPr>
        <w:snapToGrid w:val="0"/>
        <w:spacing w:line="520" w:lineRule="exact"/>
        <w:rPr>
          <w:rFonts w:ascii="宋体" w:hAnsi="宋体" w:eastAsia="宋体" w:cs="宋体"/>
          <w:color w:val="000000"/>
          <w:highlight w:val="none"/>
        </w:rPr>
      </w:pPr>
      <w:r>
        <w:rPr>
          <w:rFonts w:hint="eastAsia" w:ascii="宋体" w:hAnsi="宋体" w:eastAsia="宋体" w:cs="宋体"/>
          <w:color w:val="000000"/>
          <w:highlight w:val="none"/>
        </w:rPr>
        <w:t>法定代表人或委托代理人：（签字或盖章）</w:t>
      </w:r>
    </w:p>
    <w:p>
      <w:pPr>
        <w:snapToGrid w:val="0"/>
        <w:spacing w:line="520" w:lineRule="exact"/>
        <w:rPr>
          <w:rFonts w:ascii="宋体" w:hAnsi="宋体" w:eastAsia="宋体" w:cs="宋体"/>
          <w:color w:val="000000"/>
          <w:highlight w:val="none"/>
        </w:rPr>
      </w:pPr>
      <w:r>
        <w:rPr>
          <w:rFonts w:hint="eastAsia" w:ascii="宋体" w:hAnsi="宋体" w:eastAsia="宋体" w:cs="宋体"/>
          <w:color w:val="000000"/>
          <w:highlight w:val="none"/>
        </w:rPr>
        <w:t>年  月  日</w:t>
      </w:r>
    </w:p>
    <w:p>
      <w:pPr>
        <w:snapToGrid w:val="0"/>
        <w:spacing w:line="360" w:lineRule="auto"/>
        <w:ind w:firstLine="494" w:firstLineChars="206"/>
        <w:rPr>
          <w:rFonts w:ascii="宋体" w:hAnsi="宋体" w:eastAsia="宋体" w:cs="宋体"/>
          <w:color w:val="000000"/>
          <w:highlight w:val="none"/>
        </w:rPr>
      </w:pPr>
    </w:p>
    <w:p>
      <w:pPr>
        <w:snapToGrid w:val="0"/>
        <w:spacing w:line="360" w:lineRule="auto"/>
        <w:ind w:firstLine="494" w:firstLineChars="206"/>
        <w:rPr>
          <w:rFonts w:ascii="宋体" w:hAnsi="宋体" w:eastAsia="宋体" w:cs="宋体"/>
          <w:color w:val="000000"/>
          <w:highlight w:val="none"/>
        </w:rPr>
      </w:pPr>
      <w:r>
        <w:rPr>
          <w:rFonts w:hint="eastAsia" w:ascii="宋体" w:hAnsi="宋体" w:eastAsia="宋体" w:cs="宋体"/>
          <w:color w:val="000000"/>
          <w:highlight w:val="none"/>
        </w:rPr>
        <w:t>注：</w:t>
      </w:r>
    </w:p>
    <w:p>
      <w:pPr>
        <w:snapToGrid w:val="0"/>
        <w:spacing w:line="360" w:lineRule="auto"/>
        <w:ind w:firstLine="494" w:firstLineChars="206"/>
        <w:rPr>
          <w:rFonts w:ascii="宋体" w:hAnsi="宋体" w:eastAsia="宋体" w:cs="宋体"/>
          <w:szCs w:val="22"/>
          <w:highlight w:val="none"/>
        </w:rPr>
      </w:pPr>
      <w:r>
        <w:rPr>
          <w:rFonts w:hint="eastAsia" w:ascii="宋体" w:hAnsi="宋体" w:eastAsia="宋体" w:cs="宋体"/>
          <w:szCs w:val="22"/>
          <w:highlight w:val="none"/>
        </w:rPr>
        <w:t>1、本表式，不得自行改动。</w:t>
      </w:r>
    </w:p>
    <w:p>
      <w:pPr>
        <w:snapToGrid w:val="0"/>
        <w:spacing w:line="360" w:lineRule="auto"/>
        <w:ind w:firstLine="496" w:firstLineChars="206"/>
        <w:rPr>
          <w:rFonts w:ascii="宋体" w:hAnsi="宋体" w:eastAsia="宋体" w:cs="宋体"/>
          <w:b/>
          <w:bCs/>
          <w:highlight w:val="none"/>
        </w:rPr>
      </w:pPr>
    </w:p>
    <w:p>
      <w:pPr>
        <w:overflowPunct w:val="0"/>
        <w:spacing w:line="360" w:lineRule="auto"/>
        <w:jc w:val="center"/>
        <w:textAlignment w:val="baseline"/>
        <w:rPr>
          <w:rFonts w:ascii="宋体" w:hAnsi="宋体" w:eastAsia="宋体" w:cs="宋体"/>
          <w:b/>
          <w:bCs/>
          <w:highlight w:val="none"/>
        </w:rPr>
      </w:pPr>
      <w:r>
        <w:rPr>
          <w:rFonts w:hint="eastAsia" w:ascii="宋体" w:hAnsi="宋体" w:eastAsia="宋体" w:cs="宋体"/>
          <w:b/>
          <w:bCs/>
          <w:highlight w:val="none"/>
        </w:rPr>
        <w:t>……全文结束……</w:t>
      </w:r>
    </w:p>
    <w:sectPr>
      <w:headerReference r:id="rId3" w:type="default"/>
      <w:footerReference r:id="rId4" w:type="default"/>
      <w:pgSz w:w="11906" w:h="16838"/>
      <w:pgMar w:top="1418" w:right="1418" w:bottom="1418" w:left="1418" w:header="851" w:footer="61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eastAsia="宋体"/>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AAD58"/>
    <w:multiLevelType w:val="singleLevel"/>
    <w:tmpl w:val="B64AAD58"/>
    <w:lvl w:ilvl="0" w:tentative="0">
      <w:start w:val="3"/>
      <w:numFmt w:val="decimal"/>
      <w:suff w:val="nothing"/>
      <w:lvlText w:val="（%1）"/>
      <w:lvlJc w:val="left"/>
    </w:lvl>
  </w:abstractNum>
  <w:abstractNum w:abstractNumId="1">
    <w:nsid w:val="F91344C0"/>
    <w:multiLevelType w:val="singleLevel"/>
    <w:tmpl w:val="F91344C0"/>
    <w:lvl w:ilvl="0" w:tentative="0">
      <w:start w:val="6"/>
      <w:numFmt w:val="chineseCounting"/>
      <w:suff w:val="nothing"/>
      <w:lvlText w:val="%1、"/>
      <w:lvlJc w:val="left"/>
      <w:rPr>
        <w:rFonts w:hint="eastAsia"/>
      </w:rPr>
    </w:lvl>
  </w:abstractNum>
  <w:abstractNum w:abstractNumId="2">
    <w:nsid w:val="4CCB4F2A"/>
    <w:multiLevelType w:val="multilevel"/>
    <w:tmpl w:val="4CCB4F2A"/>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FB644C8"/>
    <w:multiLevelType w:val="multilevel"/>
    <w:tmpl w:val="4FB644C8"/>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C21D931"/>
    <w:multiLevelType w:val="singleLevel"/>
    <w:tmpl w:val="7C21D931"/>
    <w:lvl w:ilvl="0" w:tentative="0">
      <w:start w:val="7"/>
      <w:numFmt w:val="chineseCounting"/>
      <w:suff w:val="space"/>
      <w:lvlText w:val="第%1条"/>
      <w:lvlJc w:val="left"/>
      <w:rPr>
        <w:rFonts w:hint="eastAsia" w:ascii="宋体" w:hAnsi="宋体" w:eastAsia="宋体" w:cs="宋体"/>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4YmU5NmUwY2ExZTYxMjkwNjM4ZDU5MGRkYWVmZTYifQ=="/>
  </w:docVars>
  <w:rsids>
    <w:rsidRoot w:val="00567602"/>
    <w:rsid w:val="00002E44"/>
    <w:rsid w:val="0000418E"/>
    <w:rsid w:val="00004D62"/>
    <w:rsid w:val="0002059E"/>
    <w:rsid w:val="00022B06"/>
    <w:rsid w:val="00036805"/>
    <w:rsid w:val="00042310"/>
    <w:rsid w:val="0005225D"/>
    <w:rsid w:val="00060451"/>
    <w:rsid w:val="00063293"/>
    <w:rsid w:val="0006764F"/>
    <w:rsid w:val="0007599E"/>
    <w:rsid w:val="000B2914"/>
    <w:rsid w:val="000E5EBA"/>
    <w:rsid w:val="000E7B9A"/>
    <w:rsid w:val="001028E5"/>
    <w:rsid w:val="00126F26"/>
    <w:rsid w:val="0013558F"/>
    <w:rsid w:val="00145880"/>
    <w:rsid w:val="0015655C"/>
    <w:rsid w:val="00156853"/>
    <w:rsid w:val="00160D45"/>
    <w:rsid w:val="001A76ED"/>
    <w:rsid w:val="001C3636"/>
    <w:rsid w:val="001D71AF"/>
    <w:rsid w:val="001E35A7"/>
    <w:rsid w:val="001F212B"/>
    <w:rsid w:val="00202B3B"/>
    <w:rsid w:val="00215171"/>
    <w:rsid w:val="002264FE"/>
    <w:rsid w:val="00232290"/>
    <w:rsid w:val="002347CE"/>
    <w:rsid w:val="00241D2F"/>
    <w:rsid w:val="00245345"/>
    <w:rsid w:val="00251F43"/>
    <w:rsid w:val="00260C71"/>
    <w:rsid w:val="00266CFA"/>
    <w:rsid w:val="00277BFC"/>
    <w:rsid w:val="002804D8"/>
    <w:rsid w:val="0029669B"/>
    <w:rsid w:val="002A0F4F"/>
    <w:rsid w:val="002A49E5"/>
    <w:rsid w:val="002E3AC0"/>
    <w:rsid w:val="002F3D3C"/>
    <w:rsid w:val="00314C9C"/>
    <w:rsid w:val="003234BA"/>
    <w:rsid w:val="00323B59"/>
    <w:rsid w:val="00326356"/>
    <w:rsid w:val="003508F7"/>
    <w:rsid w:val="00351BD8"/>
    <w:rsid w:val="0036479D"/>
    <w:rsid w:val="00372855"/>
    <w:rsid w:val="00372FF1"/>
    <w:rsid w:val="003730B8"/>
    <w:rsid w:val="003744F7"/>
    <w:rsid w:val="003C24AC"/>
    <w:rsid w:val="003C6EC9"/>
    <w:rsid w:val="003E3B3E"/>
    <w:rsid w:val="0041139D"/>
    <w:rsid w:val="00427B14"/>
    <w:rsid w:val="00432CEE"/>
    <w:rsid w:val="00443373"/>
    <w:rsid w:val="0044419A"/>
    <w:rsid w:val="00447B9A"/>
    <w:rsid w:val="00460526"/>
    <w:rsid w:val="00462E23"/>
    <w:rsid w:val="0047372D"/>
    <w:rsid w:val="004C1BB3"/>
    <w:rsid w:val="004D0EE2"/>
    <w:rsid w:val="004D6D46"/>
    <w:rsid w:val="004E45FC"/>
    <w:rsid w:val="004F4204"/>
    <w:rsid w:val="0050135C"/>
    <w:rsid w:val="00510B3F"/>
    <w:rsid w:val="0053643A"/>
    <w:rsid w:val="00536A89"/>
    <w:rsid w:val="00567602"/>
    <w:rsid w:val="005A7208"/>
    <w:rsid w:val="005D4555"/>
    <w:rsid w:val="005E09C0"/>
    <w:rsid w:val="00615498"/>
    <w:rsid w:val="006167CE"/>
    <w:rsid w:val="00651976"/>
    <w:rsid w:val="0065218D"/>
    <w:rsid w:val="00673926"/>
    <w:rsid w:val="006922E6"/>
    <w:rsid w:val="006A23AC"/>
    <w:rsid w:val="006B35DB"/>
    <w:rsid w:val="006B742D"/>
    <w:rsid w:val="006D07B8"/>
    <w:rsid w:val="006D6E84"/>
    <w:rsid w:val="006E5619"/>
    <w:rsid w:val="006F5FD0"/>
    <w:rsid w:val="00711289"/>
    <w:rsid w:val="007134B1"/>
    <w:rsid w:val="007152C5"/>
    <w:rsid w:val="00734CCE"/>
    <w:rsid w:val="00746AAB"/>
    <w:rsid w:val="00747E6F"/>
    <w:rsid w:val="0076684F"/>
    <w:rsid w:val="00773920"/>
    <w:rsid w:val="007813EF"/>
    <w:rsid w:val="00784DA1"/>
    <w:rsid w:val="007C1CBD"/>
    <w:rsid w:val="007E1B37"/>
    <w:rsid w:val="007F67BC"/>
    <w:rsid w:val="00826778"/>
    <w:rsid w:val="00842F74"/>
    <w:rsid w:val="008557B3"/>
    <w:rsid w:val="008609F1"/>
    <w:rsid w:val="00871465"/>
    <w:rsid w:val="00872185"/>
    <w:rsid w:val="008772EA"/>
    <w:rsid w:val="0087734B"/>
    <w:rsid w:val="00880854"/>
    <w:rsid w:val="008833CD"/>
    <w:rsid w:val="008A232D"/>
    <w:rsid w:val="008A65A5"/>
    <w:rsid w:val="008D7174"/>
    <w:rsid w:val="008E4C40"/>
    <w:rsid w:val="00900105"/>
    <w:rsid w:val="00920611"/>
    <w:rsid w:val="00931434"/>
    <w:rsid w:val="00932177"/>
    <w:rsid w:val="00957274"/>
    <w:rsid w:val="00970B82"/>
    <w:rsid w:val="009B0AC8"/>
    <w:rsid w:val="009B4EEE"/>
    <w:rsid w:val="009F24E1"/>
    <w:rsid w:val="00A25972"/>
    <w:rsid w:val="00A50B06"/>
    <w:rsid w:val="00A748BD"/>
    <w:rsid w:val="00A74AC6"/>
    <w:rsid w:val="00A773FE"/>
    <w:rsid w:val="00AA03AD"/>
    <w:rsid w:val="00AA37B2"/>
    <w:rsid w:val="00AC4997"/>
    <w:rsid w:val="00AD0C95"/>
    <w:rsid w:val="00AD0ED7"/>
    <w:rsid w:val="00AD53A2"/>
    <w:rsid w:val="00AE41E1"/>
    <w:rsid w:val="00B30CED"/>
    <w:rsid w:val="00B50268"/>
    <w:rsid w:val="00B5339A"/>
    <w:rsid w:val="00B748BE"/>
    <w:rsid w:val="00BB18F1"/>
    <w:rsid w:val="00BB405E"/>
    <w:rsid w:val="00BB75EE"/>
    <w:rsid w:val="00BB7E40"/>
    <w:rsid w:val="00BC1C6E"/>
    <w:rsid w:val="00BD1262"/>
    <w:rsid w:val="00BE0C03"/>
    <w:rsid w:val="00BE1B61"/>
    <w:rsid w:val="00C00289"/>
    <w:rsid w:val="00C00CAE"/>
    <w:rsid w:val="00C0236C"/>
    <w:rsid w:val="00C07323"/>
    <w:rsid w:val="00C11CFE"/>
    <w:rsid w:val="00C217D1"/>
    <w:rsid w:val="00C21EE0"/>
    <w:rsid w:val="00C360CE"/>
    <w:rsid w:val="00C461CB"/>
    <w:rsid w:val="00C632CC"/>
    <w:rsid w:val="00C65841"/>
    <w:rsid w:val="00C77FF3"/>
    <w:rsid w:val="00C92213"/>
    <w:rsid w:val="00CB164E"/>
    <w:rsid w:val="00CB240C"/>
    <w:rsid w:val="00CD0C13"/>
    <w:rsid w:val="00CD1792"/>
    <w:rsid w:val="00CD1951"/>
    <w:rsid w:val="00CD797D"/>
    <w:rsid w:val="00CF41B5"/>
    <w:rsid w:val="00D056D4"/>
    <w:rsid w:val="00D056E7"/>
    <w:rsid w:val="00D10D11"/>
    <w:rsid w:val="00D22AFA"/>
    <w:rsid w:val="00D246A4"/>
    <w:rsid w:val="00D2531E"/>
    <w:rsid w:val="00D4111F"/>
    <w:rsid w:val="00D6112C"/>
    <w:rsid w:val="00D671D3"/>
    <w:rsid w:val="00DA5293"/>
    <w:rsid w:val="00DD57EF"/>
    <w:rsid w:val="00DD6725"/>
    <w:rsid w:val="00DF1BD5"/>
    <w:rsid w:val="00DF5A6F"/>
    <w:rsid w:val="00E07825"/>
    <w:rsid w:val="00E13A4F"/>
    <w:rsid w:val="00E3218B"/>
    <w:rsid w:val="00E41EA8"/>
    <w:rsid w:val="00E4650A"/>
    <w:rsid w:val="00E56ECD"/>
    <w:rsid w:val="00E65F22"/>
    <w:rsid w:val="00E6625D"/>
    <w:rsid w:val="00E701E6"/>
    <w:rsid w:val="00E76515"/>
    <w:rsid w:val="00EB6ACE"/>
    <w:rsid w:val="00EC7D77"/>
    <w:rsid w:val="00EF7C74"/>
    <w:rsid w:val="00F23EDC"/>
    <w:rsid w:val="00F25A0F"/>
    <w:rsid w:val="00F42E31"/>
    <w:rsid w:val="00F473BE"/>
    <w:rsid w:val="00F533B6"/>
    <w:rsid w:val="00F620E7"/>
    <w:rsid w:val="00F717D2"/>
    <w:rsid w:val="00F8003B"/>
    <w:rsid w:val="00FB41F5"/>
    <w:rsid w:val="00FC2E7A"/>
    <w:rsid w:val="00FC4412"/>
    <w:rsid w:val="00FD0494"/>
    <w:rsid w:val="00FF3EF7"/>
    <w:rsid w:val="00FF717E"/>
    <w:rsid w:val="014632E9"/>
    <w:rsid w:val="01CD5C52"/>
    <w:rsid w:val="01D17056"/>
    <w:rsid w:val="01D67A87"/>
    <w:rsid w:val="01DF4AE1"/>
    <w:rsid w:val="01E07A79"/>
    <w:rsid w:val="01E76CB4"/>
    <w:rsid w:val="01EC2AC3"/>
    <w:rsid w:val="02097F30"/>
    <w:rsid w:val="02497534"/>
    <w:rsid w:val="024A5D36"/>
    <w:rsid w:val="02D56D52"/>
    <w:rsid w:val="02E55629"/>
    <w:rsid w:val="02E96588"/>
    <w:rsid w:val="02EB412C"/>
    <w:rsid w:val="032A1114"/>
    <w:rsid w:val="039437FE"/>
    <w:rsid w:val="03A10CAA"/>
    <w:rsid w:val="03A82039"/>
    <w:rsid w:val="04636658"/>
    <w:rsid w:val="047D1CBF"/>
    <w:rsid w:val="04904FA7"/>
    <w:rsid w:val="0497230B"/>
    <w:rsid w:val="04AE79CF"/>
    <w:rsid w:val="04E43BBC"/>
    <w:rsid w:val="050414F1"/>
    <w:rsid w:val="05504736"/>
    <w:rsid w:val="05B42F17"/>
    <w:rsid w:val="05D45367"/>
    <w:rsid w:val="06007CF8"/>
    <w:rsid w:val="0635318B"/>
    <w:rsid w:val="06415FD3"/>
    <w:rsid w:val="065668D5"/>
    <w:rsid w:val="06606BFB"/>
    <w:rsid w:val="069572B4"/>
    <w:rsid w:val="074F408E"/>
    <w:rsid w:val="075F5DC4"/>
    <w:rsid w:val="077616B7"/>
    <w:rsid w:val="079337C6"/>
    <w:rsid w:val="07995D19"/>
    <w:rsid w:val="07B62F76"/>
    <w:rsid w:val="082C7C62"/>
    <w:rsid w:val="089808CE"/>
    <w:rsid w:val="08AC4664"/>
    <w:rsid w:val="08EC7529"/>
    <w:rsid w:val="099C2938"/>
    <w:rsid w:val="09D973F0"/>
    <w:rsid w:val="09E97995"/>
    <w:rsid w:val="0A160808"/>
    <w:rsid w:val="0A283998"/>
    <w:rsid w:val="0AA73501"/>
    <w:rsid w:val="0AC2018B"/>
    <w:rsid w:val="0B147F71"/>
    <w:rsid w:val="0B91045B"/>
    <w:rsid w:val="0BAF0623"/>
    <w:rsid w:val="0BBB6E1B"/>
    <w:rsid w:val="0C0A6FBE"/>
    <w:rsid w:val="0C312B94"/>
    <w:rsid w:val="0C413097"/>
    <w:rsid w:val="0C780FC3"/>
    <w:rsid w:val="0D3A278A"/>
    <w:rsid w:val="0D4D7CE0"/>
    <w:rsid w:val="0D610146"/>
    <w:rsid w:val="0D7F02AE"/>
    <w:rsid w:val="0D8633EB"/>
    <w:rsid w:val="0DC6400A"/>
    <w:rsid w:val="0DCB79C3"/>
    <w:rsid w:val="0DDC7AB4"/>
    <w:rsid w:val="0DF14750"/>
    <w:rsid w:val="0E203686"/>
    <w:rsid w:val="0E574D87"/>
    <w:rsid w:val="0EF32D57"/>
    <w:rsid w:val="0F1113CA"/>
    <w:rsid w:val="0F493315"/>
    <w:rsid w:val="0F6E2F52"/>
    <w:rsid w:val="0FA27E96"/>
    <w:rsid w:val="0FF45F5C"/>
    <w:rsid w:val="0FFE442A"/>
    <w:rsid w:val="101A3CE9"/>
    <w:rsid w:val="102172AD"/>
    <w:rsid w:val="102A170C"/>
    <w:rsid w:val="105B5DE4"/>
    <w:rsid w:val="10727C56"/>
    <w:rsid w:val="10872A4D"/>
    <w:rsid w:val="10AB2990"/>
    <w:rsid w:val="10BA3283"/>
    <w:rsid w:val="10E23829"/>
    <w:rsid w:val="11077C7C"/>
    <w:rsid w:val="114B7F52"/>
    <w:rsid w:val="116A15B6"/>
    <w:rsid w:val="11715C5B"/>
    <w:rsid w:val="11730BC5"/>
    <w:rsid w:val="118A3D28"/>
    <w:rsid w:val="11B6563A"/>
    <w:rsid w:val="11D47F5F"/>
    <w:rsid w:val="12253299"/>
    <w:rsid w:val="127D4067"/>
    <w:rsid w:val="12AB136C"/>
    <w:rsid w:val="12BB3A12"/>
    <w:rsid w:val="1318671C"/>
    <w:rsid w:val="137141F5"/>
    <w:rsid w:val="138C144A"/>
    <w:rsid w:val="13D26951"/>
    <w:rsid w:val="13E40AD4"/>
    <w:rsid w:val="14340FF6"/>
    <w:rsid w:val="146C0882"/>
    <w:rsid w:val="1480773B"/>
    <w:rsid w:val="14FE41AE"/>
    <w:rsid w:val="15435F44"/>
    <w:rsid w:val="15584353"/>
    <w:rsid w:val="156D33E9"/>
    <w:rsid w:val="15E324E7"/>
    <w:rsid w:val="16111615"/>
    <w:rsid w:val="161651B5"/>
    <w:rsid w:val="163527C8"/>
    <w:rsid w:val="16C91186"/>
    <w:rsid w:val="173D4CE1"/>
    <w:rsid w:val="177B73DE"/>
    <w:rsid w:val="18084A03"/>
    <w:rsid w:val="181A4AA7"/>
    <w:rsid w:val="183F2B14"/>
    <w:rsid w:val="18610EB4"/>
    <w:rsid w:val="186F7AE7"/>
    <w:rsid w:val="1876566A"/>
    <w:rsid w:val="18DD38F2"/>
    <w:rsid w:val="18E66E8A"/>
    <w:rsid w:val="18ED6A14"/>
    <w:rsid w:val="19060C36"/>
    <w:rsid w:val="194E3790"/>
    <w:rsid w:val="199A1441"/>
    <w:rsid w:val="199B2867"/>
    <w:rsid w:val="19C21FF7"/>
    <w:rsid w:val="1A0062D3"/>
    <w:rsid w:val="1A69031C"/>
    <w:rsid w:val="1A7D5B75"/>
    <w:rsid w:val="1A8D5817"/>
    <w:rsid w:val="1A9D5123"/>
    <w:rsid w:val="1AA259ED"/>
    <w:rsid w:val="1AC06856"/>
    <w:rsid w:val="1B202B89"/>
    <w:rsid w:val="1B845153"/>
    <w:rsid w:val="1BA86527"/>
    <w:rsid w:val="1BDB2B53"/>
    <w:rsid w:val="1BFC2ACA"/>
    <w:rsid w:val="1C124A64"/>
    <w:rsid w:val="1C16672B"/>
    <w:rsid w:val="1C37006A"/>
    <w:rsid w:val="1C5D5383"/>
    <w:rsid w:val="1C757BA2"/>
    <w:rsid w:val="1D386E3C"/>
    <w:rsid w:val="1D5C4168"/>
    <w:rsid w:val="1D81085F"/>
    <w:rsid w:val="1DE066E2"/>
    <w:rsid w:val="1DF15418"/>
    <w:rsid w:val="1E085B5F"/>
    <w:rsid w:val="1E0F11DA"/>
    <w:rsid w:val="1E2A6014"/>
    <w:rsid w:val="1EA13B77"/>
    <w:rsid w:val="1EAE7464"/>
    <w:rsid w:val="1EE153AD"/>
    <w:rsid w:val="1F0202D4"/>
    <w:rsid w:val="1F094D74"/>
    <w:rsid w:val="1F0B613F"/>
    <w:rsid w:val="1F113BA5"/>
    <w:rsid w:val="1F4708BB"/>
    <w:rsid w:val="1FA86760"/>
    <w:rsid w:val="1FEC4314"/>
    <w:rsid w:val="20102DFE"/>
    <w:rsid w:val="20743577"/>
    <w:rsid w:val="208E4DD4"/>
    <w:rsid w:val="209054C4"/>
    <w:rsid w:val="20CB6FEE"/>
    <w:rsid w:val="20E24984"/>
    <w:rsid w:val="20ED20E9"/>
    <w:rsid w:val="2167282F"/>
    <w:rsid w:val="21D06ED2"/>
    <w:rsid w:val="21F023D7"/>
    <w:rsid w:val="22216273"/>
    <w:rsid w:val="228B3CC9"/>
    <w:rsid w:val="22C02AA3"/>
    <w:rsid w:val="22C16871"/>
    <w:rsid w:val="22F17F25"/>
    <w:rsid w:val="237871CC"/>
    <w:rsid w:val="238E21E2"/>
    <w:rsid w:val="23984DA6"/>
    <w:rsid w:val="23A91789"/>
    <w:rsid w:val="23B0737B"/>
    <w:rsid w:val="23BD5DDB"/>
    <w:rsid w:val="23F37756"/>
    <w:rsid w:val="24062738"/>
    <w:rsid w:val="24135A2A"/>
    <w:rsid w:val="24253506"/>
    <w:rsid w:val="245258EF"/>
    <w:rsid w:val="2453565F"/>
    <w:rsid w:val="24570988"/>
    <w:rsid w:val="24A86B8C"/>
    <w:rsid w:val="24D10EEB"/>
    <w:rsid w:val="24E03997"/>
    <w:rsid w:val="24FF5CB0"/>
    <w:rsid w:val="2504136D"/>
    <w:rsid w:val="25207829"/>
    <w:rsid w:val="252C31CF"/>
    <w:rsid w:val="25CE22F5"/>
    <w:rsid w:val="25DA7BEF"/>
    <w:rsid w:val="262A4E03"/>
    <w:rsid w:val="26735EA5"/>
    <w:rsid w:val="26812549"/>
    <w:rsid w:val="26961D17"/>
    <w:rsid w:val="269C7383"/>
    <w:rsid w:val="26E030AE"/>
    <w:rsid w:val="26E72A47"/>
    <w:rsid w:val="27196C26"/>
    <w:rsid w:val="2742617D"/>
    <w:rsid w:val="2826007F"/>
    <w:rsid w:val="283006CB"/>
    <w:rsid w:val="28335AC5"/>
    <w:rsid w:val="284D1694"/>
    <w:rsid w:val="2903193C"/>
    <w:rsid w:val="29125F04"/>
    <w:rsid w:val="29370FFC"/>
    <w:rsid w:val="294E422C"/>
    <w:rsid w:val="2975288A"/>
    <w:rsid w:val="2A3A138D"/>
    <w:rsid w:val="2A9D2A98"/>
    <w:rsid w:val="2AE13EFE"/>
    <w:rsid w:val="2AFB7CEE"/>
    <w:rsid w:val="2AFD2916"/>
    <w:rsid w:val="2B473D61"/>
    <w:rsid w:val="2B5C7F1B"/>
    <w:rsid w:val="2BA2368E"/>
    <w:rsid w:val="2BA3285B"/>
    <w:rsid w:val="2BAC1E16"/>
    <w:rsid w:val="2BAD1F72"/>
    <w:rsid w:val="2BD474B4"/>
    <w:rsid w:val="2BDA4BD6"/>
    <w:rsid w:val="2BEB0E30"/>
    <w:rsid w:val="2BED1613"/>
    <w:rsid w:val="2BFD6BC4"/>
    <w:rsid w:val="2C0C6D59"/>
    <w:rsid w:val="2C354A4E"/>
    <w:rsid w:val="2C750BFC"/>
    <w:rsid w:val="2C7C594D"/>
    <w:rsid w:val="2CB90C8F"/>
    <w:rsid w:val="2CBC252D"/>
    <w:rsid w:val="2CE65196"/>
    <w:rsid w:val="2D22290D"/>
    <w:rsid w:val="2D546C0A"/>
    <w:rsid w:val="2D5C786C"/>
    <w:rsid w:val="2D7424AD"/>
    <w:rsid w:val="2DB46201"/>
    <w:rsid w:val="2DBF50C4"/>
    <w:rsid w:val="2DBF7068"/>
    <w:rsid w:val="2E0F48DF"/>
    <w:rsid w:val="2E1A09F5"/>
    <w:rsid w:val="2E1B3283"/>
    <w:rsid w:val="2E2A0CED"/>
    <w:rsid w:val="2E411872"/>
    <w:rsid w:val="2E43673B"/>
    <w:rsid w:val="2E5B2FCD"/>
    <w:rsid w:val="2E8C7EDC"/>
    <w:rsid w:val="2E8E7EF9"/>
    <w:rsid w:val="2E9A14E7"/>
    <w:rsid w:val="2F284390"/>
    <w:rsid w:val="2F7E104B"/>
    <w:rsid w:val="2F8E3583"/>
    <w:rsid w:val="2FC010AC"/>
    <w:rsid w:val="2FD67B12"/>
    <w:rsid w:val="2FE40EB6"/>
    <w:rsid w:val="30046BF4"/>
    <w:rsid w:val="30577420"/>
    <w:rsid w:val="306A5766"/>
    <w:rsid w:val="30735887"/>
    <w:rsid w:val="311355CD"/>
    <w:rsid w:val="313F54DB"/>
    <w:rsid w:val="316928A2"/>
    <w:rsid w:val="31A035D0"/>
    <w:rsid w:val="31C559E0"/>
    <w:rsid w:val="325321CA"/>
    <w:rsid w:val="325B2EC3"/>
    <w:rsid w:val="32787668"/>
    <w:rsid w:val="32B50460"/>
    <w:rsid w:val="32E7489A"/>
    <w:rsid w:val="332732A9"/>
    <w:rsid w:val="33707BCD"/>
    <w:rsid w:val="33AE5828"/>
    <w:rsid w:val="33C91F63"/>
    <w:rsid w:val="33D4727F"/>
    <w:rsid w:val="347100A1"/>
    <w:rsid w:val="34B34216"/>
    <w:rsid w:val="34F27D17"/>
    <w:rsid w:val="350C5247"/>
    <w:rsid w:val="35305866"/>
    <w:rsid w:val="35AA2402"/>
    <w:rsid w:val="35AC38F8"/>
    <w:rsid w:val="35E425CF"/>
    <w:rsid w:val="3630073E"/>
    <w:rsid w:val="363037C3"/>
    <w:rsid w:val="36987B67"/>
    <w:rsid w:val="37590D17"/>
    <w:rsid w:val="37A13EFE"/>
    <w:rsid w:val="37DF17C6"/>
    <w:rsid w:val="37ED51E6"/>
    <w:rsid w:val="382A38C8"/>
    <w:rsid w:val="383E7189"/>
    <w:rsid w:val="38780F06"/>
    <w:rsid w:val="389573D7"/>
    <w:rsid w:val="38A00F55"/>
    <w:rsid w:val="38A72C4E"/>
    <w:rsid w:val="38D16A98"/>
    <w:rsid w:val="38F37B56"/>
    <w:rsid w:val="3976780F"/>
    <w:rsid w:val="39970620"/>
    <w:rsid w:val="39C11183"/>
    <w:rsid w:val="39CB0253"/>
    <w:rsid w:val="39EA5787"/>
    <w:rsid w:val="3A3556CD"/>
    <w:rsid w:val="3A5007F7"/>
    <w:rsid w:val="3AAA7C2D"/>
    <w:rsid w:val="3B893F22"/>
    <w:rsid w:val="3B8E4274"/>
    <w:rsid w:val="3C09293B"/>
    <w:rsid w:val="3C0F6523"/>
    <w:rsid w:val="3C150FEB"/>
    <w:rsid w:val="3C2105FF"/>
    <w:rsid w:val="3C2B30C5"/>
    <w:rsid w:val="3C463BC1"/>
    <w:rsid w:val="3C656274"/>
    <w:rsid w:val="3C8C4A8B"/>
    <w:rsid w:val="3CAB7EC8"/>
    <w:rsid w:val="3CBF4DCE"/>
    <w:rsid w:val="3CC52D77"/>
    <w:rsid w:val="3CEA7127"/>
    <w:rsid w:val="3D3F0FBC"/>
    <w:rsid w:val="3D9267FC"/>
    <w:rsid w:val="3DE938D1"/>
    <w:rsid w:val="3E006D8D"/>
    <w:rsid w:val="3E2911C9"/>
    <w:rsid w:val="3E3E328E"/>
    <w:rsid w:val="3E415BF9"/>
    <w:rsid w:val="3E421E06"/>
    <w:rsid w:val="3E570CCA"/>
    <w:rsid w:val="3E686071"/>
    <w:rsid w:val="3EB62187"/>
    <w:rsid w:val="3F1842D0"/>
    <w:rsid w:val="3F7A2500"/>
    <w:rsid w:val="3F7B12CB"/>
    <w:rsid w:val="3F9A66E9"/>
    <w:rsid w:val="400224F5"/>
    <w:rsid w:val="4072602A"/>
    <w:rsid w:val="408B4299"/>
    <w:rsid w:val="40E17E6D"/>
    <w:rsid w:val="41195D48"/>
    <w:rsid w:val="41265D6F"/>
    <w:rsid w:val="41C05B83"/>
    <w:rsid w:val="41D379B1"/>
    <w:rsid w:val="41E766C4"/>
    <w:rsid w:val="42737156"/>
    <w:rsid w:val="431E31A2"/>
    <w:rsid w:val="43917E18"/>
    <w:rsid w:val="43BD3D1F"/>
    <w:rsid w:val="441618C5"/>
    <w:rsid w:val="44512AD1"/>
    <w:rsid w:val="448624AB"/>
    <w:rsid w:val="449F20EB"/>
    <w:rsid w:val="44E97F1E"/>
    <w:rsid w:val="44EA328B"/>
    <w:rsid w:val="45516CCF"/>
    <w:rsid w:val="45887ED3"/>
    <w:rsid w:val="459040FF"/>
    <w:rsid w:val="45BD282B"/>
    <w:rsid w:val="45EB02B3"/>
    <w:rsid w:val="46523B3D"/>
    <w:rsid w:val="469E0B02"/>
    <w:rsid w:val="46C527ED"/>
    <w:rsid w:val="47727F60"/>
    <w:rsid w:val="47E466D6"/>
    <w:rsid w:val="47F54296"/>
    <w:rsid w:val="480037BE"/>
    <w:rsid w:val="4818117E"/>
    <w:rsid w:val="484D62D8"/>
    <w:rsid w:val="484F2050"/>
    <w:rsid w:val="485577D0"/>
    <w:rsid w:val="486930BA"/>
    <w:rsid w:val="48823A89"/>
    <w:rsid w:val="48A11FB5"/>
    <w:rsid w:val="48C05B16"/>
    <w:rsid w:val="48E909BE"/>
    <w:rsid w:val="49027499"/>
    <w:rsid w:val="492B03C7"/>
    <w:rsid w:val="494F6E6D"/>
    <w:rsid w:val="495518E8"/>
    <w:rsid w:val="4998477E"/>
    <w:rsid w:val="4A253068"/>
    <w:rsid w:val="4A300C9F"/>
    <w:rsid w:val="4A3A0738"/>
    <w:rsid w:val="4A445C00"/>
    <w:rsid w:val="4A62155C"/>
    <w:rsid w:val="4A72355D"/>
    <w:rsid w:val="4A7878E7"/>
    <w:rsid w:val="4A8A16D9"/>
    <w:rsid w:val="4ACC2177"/>
    <w:rsid w:val="4AE810A9"/>
    <w:rsid w:val="4B27420B"/>
    <w:rsid w:val="4B734150"/>
    <w:rsid w:val="4BE668E3"/>
    <w:rsid w:val="4BF71A25"/>
    <w:rsid w:val="4C177923"/>
    <w:rsid w:val="4C1B5024"/>
    <w:rsid w:val="4C3151AB"/>
    <w:rsid w:val="4C5A154C"/>
    <w:rsid w:val="4C5D55A3"/>
    <w:rsid w:val="4CCF1799"/>
    <w:rsid w:val="4CEB0D61"/>
    <w:rsid w:val="4D7762D0"/>
    <w:rsid w:val="4D7F3CDB"/>
    <w:rsid w:val="4D87783A"/>
    <w:rsid w:val="4DDF3E76"/>
    <w:rsid w:val="4E0F5AE7"/>
    <w:rsid w:val="4E4B4D2A"/>
    <w:rsid w:val="4E4D7031"/>
    <w:rsid w:val="4E703D57"/>
    <w:rsid w:val="4EBB6553"/>
    <w:rsid w:val="4F031B9F"/>
    <w:rsid w:val="4F711926"/>
    <w:rsid w:val="4FED59C3"/>
    <w:rsid w:val="4FF0030A"/>
    <w:rsid w:val="5062398F"/>
    <w:rsid w:val="50A5479F"/>
    <w:rsid w:val="50AD394D"/>
    <w:rsid w:val="50FA1392"/>
    <w:rsid w:val="51211070"/>
    <w:rsid w:val="514F69BA"/>
    <w:rsid w:val="51515414"/>
    <w:rsid w:val="5176671F"/>
    <w:rsid w:val="51AF0FD5"/>
    <w:rsid w:val="51B55E07"/>
    <w:rsid w:val="51C452E5"/>
    <w:rsid w:val="51E63B17"/>
    <w:rsid w:val="523E560F"/>
    <w:rsid w:val="526F52CF"/>
    <w:rsid w:val="52DE46FC"/>
    <w:rsid w:val="52F3370B"/>
    <w:rsid w:val="530A1DB4"/>
    <w:rsid w:val="5331407E"/>
    <w:rsid w:val="535D7F7D"/>
    <w:rsid w:val="538071D7"/>
    <w:rsid w:val="53B303F6"/>
    <w:rsid w:val="53B75E62"/>
    <w:rsid w:val="53DE648D"/>
    <w:rsid w:val="53F817ED"/>
    <w:rsid w:val="542D15CF"/>
    <w:rsid w:val="543F7756"/>
    <w:rsid w:val="544733AF"/>
    <w:rsid w:val="54497D6E"/>
    <w:rsid w:val="54807900"/>
    <w:rsid w:val="54A13C33"/>
    <w:rsid w:val="550A0FB6"/>
    <w:rsid w:val="55365BD2"/>
    <w:rsid w:val="556A6EF7"/>
    <w:rsid w:val="557E4224"/>
    <w:rsid w:val="5594726E"/>
    <w:rsid w:val="560E354A"/>
    <w:rsid w:val="562A3C9C"/>
    <w:rsid w:val="56382375"/>
    <w:rsid w:val="57754465"/>
    <w:rsid w:val="57E151A5"/>
    <w:rsid w:val="58122799"/>
    <w:rsid w:val="58190916"/>
    <w:rsid w:val="584D4EF8"/>
    <w:rsid w:val="58B57CAD"/>
    <w:rsid w:val="58C16652"/>
    <w:rsid w:val="58D83EF8"/>
    <w:rsid w:val="58F22CAF"/>
    <w:rsid w:val="59266D23"/>
    <w:rsid w:val="593E76C0"/>
    <w:rsid w:val="597132A7"/>
    <w:rsid w:val="59C855FA"/>
    <w:rsid w:val="59CC71C7"/>
    <w:rsid w:val="5A7F641A"/>
    <w:rsid w:val="5B0D4C47"/>
    <w:rsid w:val="5B1E472F"/>
    <w:rsid w:val="5B285DD9"/>
    <w:rsid w:val="5BA32223"/>
    <w:rsid w:val="5BA32FE4"/>
    <w:rsid w:val="5BED3D5B"/>
    <w:rsid w:val="5C102C9C"/>
    <w:rsid w:val="5C1D323B"/>
    <w:rsid w:val="5C2313D1"/>
    <w:rsid w:val="5C366D0D"/>
    <w:rsid w:val="5C552E11"/>
    <w:rsid w:val="5C5814AF"/>
    <w:rsid w:val="5C606182"/>
    <w:rsid w:val="5C816295"/>
    <w:rsid w:val="5C984EB0"/>
    <w:rsid w:val="5CC82F3D"/>
    <w:rsid w:val="5CCC28E2"/>
    <w:rsid w:val="5D8856B9"/>
    <w:rsid w:val="5DD86A75"/>
    <w:rsid w:val="5E703F65"/>
    <w:rsid w:val="5E7F3778"/>
    <w:rsid w:val="5E8F2D4E"/>
    <w:rsid w:val="5EAC5AF3"/>
    <w:rsid w:val="5F0279C4"/>
    <w:rsid w:val="5F1C6CD8"/>
    <w:rsid w:val="5F731773"/>
    <w:rsid w:val="5F752991"/>
    <w:rsid w:val="5FA637CC"/>
    <w:rsid w:val="5FAC7D5D"/>
    <w:rsid w:val="5FAF18FA"/>
    <w:rsid w:val="5FFA4FBA"/>
    <w:rsid w:val="60570CCE"/>
    <w:rsid w:val="605A56E7"/>
    <w:rsid w:val="607B5982"/>
    <w:rsid w:val="60854D06"/>
    <w:rsid w:val="60917251"/>
    <w:rsid w:val="60B82A30"/>
    <w:rsid w:val="61143EA6"/>
    <w:rsid w:val="616404C2"/>
    <w:rsid w:val="61952D71"/>
    <w:rsid w:val="620E3E97"/>
    <w:rsid w:val="622540F5"/>
    <w:rsid w:val="626B762E"/>
    <w:rsid w:val="62BD4297"/>
    <w:rsid w:val="62F032A1"/>
    <w:rsid w:val="63021EF2"/>
    <w:rsid w:val="630F26B0"/>
    <w:rsid w:val="633F7162"/>
    <w:rsid w:val="63485FCD"/>
    <w:rsid w:val="637B7D03"/>
    <w:rsid w:val="63C4008D"/>
    <w:rsid w:val="63C94F54"/>
    <w:rsid w:val="63FB55BB"/>
    <w:rsid w:val="641F1292"/>
    <w:rsid w:val="643E5AA4"/>
    <w:rsid w:val="64631A7D"/>
    <w:rsid w:val="647A1779"/>
    <w:rsid w:val="64932B55"/>
    <w:rsid w:val="64C51EAC"/>
    <w:rsid w:val="64D67FEA"/>
    <w:rsid w:val="64F53EBD"/>
    <w:rsid w:val="656971DE"/>
    <w:rsid w:val="65BC6B1F"/>
    <w:rsid w:val="6612673F"/>
    <w:rsid w:val="66392685"/>
    <w:rsid w:val="666A36DC"/>
    <w:rsid w:val="66786B09"/>
    <w:rsid w:val="6684095C"/>
    <w:rsid w:val="66860A4B"/>
    <w:rsid w:val="66BE52A6"/>
    <w:rsid w:val="670D3014"/>
    <w:rsid w:val="671319B0"/>
    <w:rsid w:val="672636AE"/>
    <w:rsid w:val="674943E2"/>
    <w:rsid w:val="67AE73EA"/>
    <w:rsid w:val="68213306"/>
    <w:rsid w:val="684C1966"/>
    <w:rsid w:val="68914293"/>
    <w:rsid w:val="68973D5F"/>
    <w:rsid w:val="68DE109F"/>
    <w:rsid w:val="68E76495"/>
    <w:rsid w:val="68ED6FEF"/>
    <w:rsid w:val="696B7115"/>
    <w:rsid w:val="69747610"/>
    <w:rsid w:val="699F29DF"/>
    <w:rsid w:val="69CB5649"/>
    <w:rsid w:val="69D36D49"/>
    <w:rsid w:val="69D5798D"/>
    <w:rsid w:val="6A1A3324"/>
    <w:rsid w:val="6A244627"/>
    <w:rsid w:val="6AAB2CF2"/>
    <w:rsid w:val="6ADC556D"/>
    <w:rsid w:val="6B014FD4"/>
    <w:rsid w:val="6B460C38"/>
    <w:rsid w:val="6B521632"/>
    <w:rsid w:val="6BAC6185"/>
    <w:rsid w:val="6BB01138"/>
    <w:rsid w:val="6BB24174"/>
    <w:rsid w:val="6BC4579C"/>
    <w:rsid w:val="6BD42C47"/>
    <w:rsid w:val="6BF73892"/>
    <w:rsid w:val="6C0B4FFB"/>
    <w:rsid w:val="6C1E0D54"/>
    <w:rsid w:val="6C417D7E"/>
    <w:rsid w:val="6C5B1075"/>
    <w:rsid w:val="6C8850A6"/>
    <w:rsid w:val="6CAE03EB"/>
    <w:rsid w:val="6CBD5294"/>
    <w:rsid w:val="6CC25CE0"/>
    <w:rsid w:val="6D107A47"/>
    <w:rsid w:val="6D416038"/>
    <w:rsid w:val="6D82064E"/>
    <w:rsid w:val="6D852A5B"/>
    <w:rsid w:val="6DB138E3"/>
    <w:rsid w:val="6E031635"/>
    <w:rsid w:val="6E756FA3"/>
    <w:rsid w:val="6E7A59EB"/>
    <w:rsid w:val="6EE41D73"/>
    <w:rsid w:val="6F087AB3"/>
    <w:rsid w:val="6F313EAB"/>
    <w:rsid w:val="6F3239AE"/>
    <w:rsid w:val="6F332BDE"/>
    <w:rsid w:val="6F725BBB"/>
    <w:rsid w:val="6F8B7113"/>
    <w:rsid w:val="6FE83F6E"/>
    <w:rsid w:val="703D050A"/>
    <w:rsid w:val="707F4A77"/>
    <w:rsid w:val="710C0B05"/>
    <w:rsid w:val="711F6BE7"/>
    <w:rsid w:val="713056CE"/>
    <w:rsid w:val="71410584"/>
    <w:rsid w:val="71665B90"/>
    <w:rsid w:val="716D1ED4"/>
    <w:rsid w:val="7178018F"/>
    <w:rsid w:val="717C738C"/>
    <w:rsid w:val="722021E3"/>
    <w:rsid w:val="72355EC3"/>
    <w:rsid w:val="725A703C"/>
    <w:rsid w:val="72754C1A"/>
    <w:rsid w:val="727804BC"/>
    <w:rsid w:val="727C18CB"/>
    <w:rsid w:val="729D4881"/>
    <w:rsid w:val="72A21CFF"/>
    <w:rsid w:val="72CC541C"/>
    <w:rsid w:val="72F1592E"/>
    <w:rsid w:val="73A574D1"/>
    <w:rsid w:val="73AD712E"/>
    <w:rsid w:val="73BA21C4"/>
    <w:rsid w:val="73F36402"/>
    <w:rsid w:val="73FE2DA0"/>
    <w:rsid w:val="743034C4"/>
    <w:rsid w:val="746062CD"/>
    <w:rsid w:val="747F223E"/>
    <w:rsid w:val="75504B8E"/>
    <w:rsid w:val="75530B22"/>
    <w:rsid w:val="75881643"/>
    <w:rsid w:val="758B46D0"/>
    <w:rsid w:val="7593453C"/>
    <w:rsid w:val="75C15DA1"/>
    <w:rsid w:val="75D9146A"/>
    <w:rsid w:val="75FE3C40"/>
    <w:rsid w:val="768541FF"/>
    <w:rsid w:val="7686509A"/>
    <w:rsid w:val="76950A52"/>
    <w:rsid w:val="76A2766B"/>
    <w:rsid w:val="77073137"/>
    <w:rsid w:val="771C30D8"/>
    <w:rsid w:val="77205BEC"/>
    <w:rsid w:val="77265678"/>
    <w:rsid w:val="775B1CAC"/>
    <w:rsid w:val="786D1E64"/>
    <w:rsid w:val="78CD1533"/>
    <w:rsid w:val="78E153BC"/>
    <w:rsid w:val="78F41CD4"/>
    <w:rsid w:val="79343F58"/>
    <w:rsid w:val="7963660C"/>
    <w:rsid w:val="797F47B1"/>
    <w:rsid w:val="798E210C"/>
    <w:rsid w:val="798E2128"/>
    <w:rsid w:val="79A87C35"/>
    <w:rsid w:val="79B00392"/>
    <w:rsid w:val="79BC6C95"/>
    <w:rsid w:val="7A817CF2"/>
    <w:rsid w:val="7AC3028B"/>
    <w:rsid w:val="7AE8711B"/>
    <w:rsid w:val="7B450F0D"/>
    <w:rsid w:val="7B5B0017"/>
    <w:rsid w:val="7B7F7F7B"/>
    <w:rsid w:val="7B880DCB"/>
    <w:rsid w:val="7B8B614F"/>
    <w:rsid w:val="7B946319"/>
    <w:rsid w:val="7BF84A2E"/>
    <w:rsid w:val="7C10239C"/>
    <w:rsid w:val="7C131678"/>
    <w:rsid w:val="7C4C63D1"/>
    <w:rsid w:val="7C547659"/>
    <w:rsid w:val="7C594C70"/>
    <w:rsid w:val="7C884CE8"/>
    <w:rsid w:val="7CBE322D"/>
    <w:rsid w:val="7CC05D73"/>
    <w:rsid w:val="7CD442F6"/>
    <w:rsid w:val="7CD8550C"/>
    <w:rsid w:val="7D0F5F78"/>
    <w:rsid w:val="7D4F6073"/>
    <w:rsid w:val="7D8B3557"/>
    <w:rsid w:val="7DC45B78"/>
    <w:rsid w:val="7E1626EC"/>
    <w:rsid w:val="7E2D1F10"/>
    <w:rsid w:val="7E846288"/>
    <w:rsid w:val="7E8C18F4"/>
    <w:rsid w:val="7E9C308E"/>
    <w:rsid w:val="7EB92DF5"/>
    <w:rsid w:val="7EF64273"/>
    <w:rsid w:val="7F0B0ED0"/>
    <w:rsid w:val="7F0F5D77"/>
    <w:rsid w:val="7F4A6AF1"/>
    <w:rsid w:val="7F79026F"/>
    <w:rsid w:val="7F89195A"/>
    <w:rsid w:val="7FA422EB"/>
    <w:rsid w:val="7FC32F20"/>
    <w:rsid w:val="7FE5681A"/>
    <w:rsid w:val="7FF928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link w:val="29"/>
    <w:semiHidden/>
    <w:unhideWhenUsed/>
    <w:qFormat/>
    <w:uiPriority w:val="99"/>
    <w:pPr>
      <w:jc w:val="left"/>
    </w:pPr>
  </w:style>
  <w:style w:type="paragraph" w:styleId="4">
    <w:name w:val="Body Text"/>
    <w:basedOn w:val="1"/>
    <w:next w:val="5"/>
    <w:qFormat/>
    <w:uiPriority w:val="0"/>
    <w:pPr>
      <w:spacing w:line="400" w:lineRule="exact"/>
    </w:pPr>
    <w:rPr>
      <w:rFonts w:ascii="楷体_GB2312"/>
      <w:sz w:val="28"/>
    </w:rPr>
  </w:style>
  <w:style w:type="paragraph" w:customStyle="1" w:styleId="5">
    <w:name w:val="style4"/>
    <w:basedOn w:val="1"/>
    <w:next w:val="6"/>
    <w:qFormat/>
    <w:uiPriority w:val="99"/>
    <w:pPr>
      <w:widowControl/>
      <w:spacing w:before="280" w:after="280"/>
    </w:pPr>
    <w:rPr>
      <w:rFonts w:ascii="宋体"/>
      <w:sz w:val="18"/>
    </w:rPr>
  </w:style>
  <w:style w:type="paragraph" w:customStyle="1" w:styleId="6">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next w:val="8"/>
    <w:qFormat/>
    <w:uiPriority w:val="0"/>
    <w:pPr>
      <w:ind w:left="765"/>
    </w:pPr>
    <w:rPr>
      <w:rFonts w:ascii="仿宋_GB2312" w:eastAsia="仿宋_GB2312"/>
      <w:sz w:val="28"/>
    </w:rPr>
  </w:style>
  <w:style w:type="paragraph" w:styleId="8">
    <w:name w:val="envelope return"/>
    <w:basedOn w:val="1"/>
    <w:unhideWhenUsed/>
    <w:qFormat/>
    <w:uiPriority w:val="99"/>
    <w:pPr>
      <w:snapToGrid w:val="0"/>
    </w:pPr>
    <w:rPr>
      <w:rFonts w:ascii="Arial" w:hAnsi="Arial"/>
    </w:rPr>
  </w:style>
  <w:style w:type="paragraph" w:styleId="9">
    <w:name w:val="Date"/>
    <w:basedOn w:val="1"/>
    <w:next w:val="1"/>
    <w:link w:val="26"/>
    <w:semiHidden/>
    <w:unhideWhenUsed/>
    <w:qFormat/>
    <w:uiPriority w:val="99"/>
    <w:pPr>
      <w:ind w:left="100" w:leftChars="2500"/>
    </w:pPr>
  </w:style>
  <w:style w:type="paragraph" w:styleId="10">
    <w:name w:val="footer"/>
    <w:basedOn w:val="1"/>
    <w:link w:val="25"/>
    <w:unhideWhenUsed/>
    <w:qFormat/>
    <w:uiPriority w:val="99"/>
    <w:pPr>
      <w:snapToGrid w:val="0"/>
      <w:jc w:val="left"/>
    </w:pPr>
    <w:rPr>
      <w:rFonts w:eastAsia="楷体_GB2312"/>
      <w:kern w:val="0"/>
      <w:sz w:val="18"/>
      <w:szCs w:val="18"/>
    </w:rPr>
  </w:style>
  <w:style w:type="paragraph" w:styleId="11">
    <w:name w:val="header"/>
    <w:basedOn w:val="1"/>
    <w:link w:val="24"/>
    <w:unhideWhenUsed/>
    <w:qFormat/>
    <w:uiPriority w:val="99"/>
    <w:pPr>
      <w:pBdr>
        <w:bottom w:val="single" w:color="auto" w:sz="6" w:space="1"/>
      </w:pBdr>
      <w:snapToGrid w:val="0"/>
      <w:jc w:val="center"/>
    </w:pPr>
    <w:rPr>
      <w:rFonts w:eastAsia="楷体_GB2312"/>
      <w:kern w:val="0"/>
      <w:sz w:val="18"/>
      <w:szCs w:val="18"/>
    </w:rPr>
  </w:style>
  <w:style w:type="paragraph" w:styleId="12">
    <w:name w:val="toc 1"/>
    <w:basedOn w:val="1"/>
    <w:next w:val="1"/>
    <w:qFormat/>
    <w:uiPriority w:val="39"/>
    <w:pPr>
      <w:spacing w:line="480" w:lineRule="auto"/>
    </w:p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unhideWhenUsed/>
    <w:qFormat/>
    <w:uiPriority w:val="0"/>
  </w:style>
  <w:style w:type="character" w:styleId="18">
    <w:name w:val="annotation reference"/>
    <w:basedOn w:val="16"/>
    <w:semiHidden/>
    <w:unhideWhenUsed/>
    <w:qFormat/>
    <w:uiPriority w:val="99"/>
    <w:rPr>
      <w:sz w:val="21"/>
      <w:szCs w:val="21"/>
    </w:rPr>
  </w:style>
  <w:style w:type="paragraph" w:customStyle="1" w:styleId="19">
    <w:name w:val="Body Text First Indent 21"/>
    <w:basedOn w:val="20"/>
    <w:next w:val="1"/>
    <w:qFormat/>
    <w:uiPriority w:val="0"/>
    <w:pPr>
      <w:spacing w:after="0" w:afterLines="0" w:line="360" w:lineRule="auto"/>
      <w:ind w:left="0" w:leftChars="0" w:firstLine="420" w:firstLineChars="200"/>
    </w:pPr>
    <w:rPr>
      <w:rFonts w:ascii="宋体" w:hAnsi="宋体" w:eastAsia="仿宋_GB2312" w:cs="宋体"/>
      <w:kern w:val="2"/>
      <w:sz w:val="25"/>
      <w:szCs w:val="24"/>
    </w:rPr>
  </w:style>
  <w:style w:type="paragraph" w:customStyle="1" w:styleId="20">
    <w:name w:val="Body Text Indent1"/>
    <w:basedOn w:val="1"/>
    <w:next w:val="21"/>
    <w:qFormat/>
    <w:uiPriority w:val="0"/>
    <w:pPr>
      <w:spacing w:after="120" w:afterLines="0"/>
      <w:ind w:left="420" w:leftChars="200"/>
    </w:pPr>
    <w:rPr>
      <w:rFonts w:ascii="Times New Roman" w:hAnsi="Times New Roman" w:eastAsia="宋体" w:cs="Times New Roman"/>
      <w:szCs w:val="24"/>
    </w:rPr>
  </w:style>
  <w:style w:type="paragraph" w:customStyle="1" w:styleId="21">
    <w:name w:val="envelope return1"/>
    <w:basedOn w:val="1"/>
    <w:qFormat/>
    <w:uiPriority w:val="0"/>
    <w:pPr>
      <w:snapToGrid w:val="0"/>
    </w:pPr>
    <w:rPr>
      <w:rFonts w:ascii="Arial" w:hAnsi="Arial" w:eastAsia="楷体_GB2312"/>
      <w:sz w:val="26"/>
      <w:szCs w:val="20"/>
    </w:rPr>
  </w:style>
  <w:style w:type="paragraph" w:customStyle="1" w:styleId="22">
    <w:name w:val="首行缩进"/>
    <w:basedOn w:val="1"/>
    <w:qFormat/>
    <w:uiPriority w:val="0"/>
    <w:pPr>
      <w:spacing w:line="360" w:lineRule="auto"/>
      <w:ind w:firstLine="480" w:firstLineChars="200"/>
      <w:jc w:val="left"/>
    </w:pPr>
    <w:rPr>
      <w:rFonts w:ascii="宋体" w:hAnsi="宋体"/>
    </w:rPr>
  </w:style>
  <w:style w:type="paragraph" w:customStyle="1" w:styleId="23">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character" w:customStyle="1" w:styleId="24">
    <w:name w:val="页眉 字符"/>
    <w:basedOn w:val="16"/>
    <w:link w:val="11"/>
    <w:qFormat/>
    <w:uiPriority w:val="99"/>
    <w:rPr>
      <w:rFonts w:ascii="Times New Roman" w:hAnsi="Times New Roman" w:eastAsia="楷体_GB2312" w:cs="Times New Roman"/>
      <w:kern w:val="0"/>
      <w:sz w:val="18"/>
      <w:szCs w:val="18"/>
    </w:rPr>
  </w:style>
  <w:style w:type="character" w:customStyle="1" w:styleId="25">
    <w:name w:val="页脚 字符"/>
    <w:basedOn w:val="16"/>
    <w:link w:val="10"/>
    <w:qFormat/>
    <w:uiPriority w:val="99"/>
    <w:rPr>
      <w:rFonts w:ascii="Times New Roman" w:hAnsi="Times New Roman" w:eastAsia="楷体_GB2312" w:cs="Times New Roman"/>
      <w:kern w:val="0"/>
      <w:sz w:val="18"/>
      <w:szCs w:val="18"/>
    </w:rPr>
  </w:style>
  <w:style w:type="character" w:customStyle="1" w:styleId="26">
    <w:name w:val="日期 字符"/>
    <w:basedOn w:val="16"/>
    <w:link w:val="9"/>
    <w:semiHidden/>
    <w:qFormat/>
    <w:uiPriority w:val="99"/>
    <w:rPr>
      <w:rFonts w:ascii="Times New Roman" w:hAnsi="Times New Roman" w:eastAsia="仿宋_GB2312" w:cs="Times New Roman"/>
      <w:sz w:val="24"/>
      <w:szCs w:val="24"/>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1"/>
    <w:basedOn w:val="1"/>
    <w:qFormat/>
    <w:uiPriority w:val="0"/>
    <w:pPr>
      <w:adjustRightInd w:val="0"/>
      <w:spacing w:line="318" w:lineRule="atLeast"/>
      <w:ind w:left="369" w:firstLine="369"/>
      <w:textAlignment w:val="baseline"/>
    </w:pPr>
    <w:rPr>
      <w:rFonts w:ascii="宋体"/>
      <w:sz w:val="21"/>
      <w:szCs w:val="20"/>
    </w:rPr>
  </w:style>
  <w:style w:type="character" w:customStyle="1" w:styleId="29">
    <w:name w:val="批注文字 字符"/>
    <w:basedOn w:val="16"/>
    <w:link w:val="3"/>
    <w:semiHidden/>
    <w:qFormat/>
    <w:uiPriority w:val="99"/>
    <w:rPr>
      <w:rFonts w:ascii="Times New Roman" w:hAnsi="Times New Roman" w:eastAsia="仿宋_GB2312" w:cs="Times New Roman"/>
      <w:kern w:val="2"/>
      <w:sz w:val="24"/>
      <w:szCs w:val="24"/>
    </w:rPr>
  </w:style>
  <w:style w:type="character" w:customStyle="1" w:styleId="30">
    <w:name w:val="批注主题 字符"/>
    <w:basedOn w:val="29"/>
    <w:link w:val="13"/>
    <w:semiHidden/>
    <w:qFormat/>
    <w:uiPriority w:val="99"/>
    <w:rPr>
      <w:rFonts w:ascii="Times New Roman" w:hAnsi="Times New Roman" w:eastAsia="仿宋_GB2312"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09A0B-ED64-4EB8-9501-EC99EBB19F9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18254</Words>
  <Characters>19040</Characters>
  <Lines>139</Lines>
  <Paragraphs>39</Paragraphs>
  <TotalTime>76</TotalTime>
  <ScaleCrop>false</ScaleCrop>
  <LinksUpToDate>false</LinksUpToDate>
  <CharactersWithSpaces>19641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2023-06-08T14:11:00Z</dcterms:created>
  <dc:creator>hp</dc:creator>
  <cp:lastModifiedBy>细吻蔷薇</cp:lastModifiedBy>
  <cp:lastPrinted>2023-07-07T01:09:00Z</cp:lastPrinted>
  <dcterms:modified xsi:type="dcterms:W3CDTF">2023-08-22T02:54:26Z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0C27476275094C539780F3B331C1D411_13</vt:lpwstr>
  </property>
</Properties>
</file>