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DD28D">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sz w:val="47"/>
          <w:highlight w:val="none"/>
          <w:lang w:eastAsia="zh-CN"/>
        </w:rPr>
      </w:pPr>
    </w:p>
    <w:p w14:paraId="1AD094B8">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sz w:val="48"/>
          <w:highlight w:val="none"/>
          <w:lang w:eastAsia="zh-CN"/>
        </w:rPr>
      </w:pPr>
      <w:r>
        <w:rPr>
          <w:rFonts w:hint="eastAsia" w:ascii="黑体" w:hAnsi="黑体" w:eastAsia="黑体" w:cs="黑体"/>
          <w:b/>
          <w:color w:val="auto"/>
          <w:sz w:val="47"/>
          <w:highlight w:val="none"/>
          <w:lang w:eastAsia="zh-CN"/>
        </w:rPr>
        <w:t>崇川区第二轮土地承包到期后</w:t>
      </w:r>
      <w:r>
        <w:rPr>
          <w:rFonts w:hint="eastAsia" w:ascii="黑体" w:hAnsi="黑体" w:eastAsia="黑体" w:cs="黑体"/>
          <w:b/>
          <w:color w:val="auto"/>
          <w:sz w:val="48"/>
          <w:highlight w:val="none"/>
          <w:lang w:eastAsia="zh-CN"/>
        </w:rPr>
        <w:t>再延长</w:t>
      </w:r>
    </w:p>
    <w:p w14:paraId="752F5031">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highlight w:val="none"/>
          <w:lang w:eastAsia="zh-CN"/>
        </w:rPr>
      </w:pPr>
      <w:r>
        <w:rPr>
          <w:rFonts w:hint="eastAsia" w:ascii="黑体" w:hAnsi="黑体" w:eastAsia="黑体" w:cs="黑体"/>
          <w:b/>
          <w:color w:val="auto"/>
          <w:sz w:val="48"/>
          <w:highlight w:val="none"/>
          <w:lang w:eastAsia="zh-CN"/>
        </w:rPr>
        <w:t>30年工作技术服务项目</w:t>
      </w:r>
    </w:p>
    <w:p w14:paraId="5D9AB73B">
      <w:pPr>
        <w:spacing w:line="360" w:lineRule="auto"/>
        <w:rPr>
          <w:rFonts w:hint="eastAsia" w:ascii="黑体" w:hAnsi="黑体" w:eastAsia="黑体" w:cs="黑体"/>
          <w:b/>
          <w:color w:val="auto"/>
          <w:highlight w:val="none"/>
          <w:lang w:eastAsia="zh-CN"/>
        </w:rPr>
      </w:pPr>
    </w:p>
    <w:p w14:paraId="61B08A0C">
      <w:pPr>
        <w:spacing w:line="360" w:lineRule="auto"/>
        <w:rPr>
          <w:rFonts w:hint="default" w:ascii="黑体" w:hAnsi="黑体" w:eastAsia="黑体" w:cs="黑体"/>
          <w:b/>
          <w:color w:val="auto"/>
          <w:highlight w:val="none"/>
          <w:lang w:val="en-US" w:eastAsia="zh-CN"/>
        </w:rPr>
      </w:pPr>
    </w:p>
    <w:p w14:paraId="625FC85E">
      <w:pPr>
        <w:spacing w:line="360" w:lineRule="auto"/>
        <w:rPr>
          <w:rFonts w:hint="eastAsia" w:ascii="黑体" w:hAnsi="黑体" w:eastAsia="黑体" w:cs="黑体"/>
          <w:b/>
          <w:color w:val="auto"/>
          <w:highlight w:val="none"/>
          <w:lang w:eastAsia="zh-CN"/>
        </w:rPr>
      </w:pPr>
    </w:p>
    <w:p w14:paraId="0D825EA2">
      <w:pPr>
        <w:spacing w:line="360" w:lineRule="auto"/>
        <w:rPr>
          <w:rFonts w:hint="eastAsia" w:ascii="黑体" w:hAnsi="黑体" w:eastAsia="黑体" w:cs="黑体"/>
          <w:b/>
          <w:color w:val="auto"/>
          <w:highlight w:val="none"/>
          <w:lang w:eastAsia="zh-CN"/>
        </w:rPr>
      </w:pPr>
    </w:p>
    <w:p w14:paraId="59B50D79">
      <w:pPr>
        <w:spacing w:line="360" w:lineRule="auto"/>
        <w:rPr>
          <w:rFonts w:hint="eastAsia" w:ascii="黑体" w:hAnsi="黑体" w:eastAsia="黑体" w:cs="黑体"/>
          <w:b/>
          <w:color w:val="auto"/>
          <w:highlight w:val="none"/>
          <w:lang w:eastAsia="zh-CN"/>
        </w:rPr>
      </w:pPr>
    </w:p>
    <w:p w14:paraId="15826714">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highlight w:val="none"/>
          <w:lang w:eastAsia="zh-CN"/>
        </w:rPr>
      </w:pPr>
      <w:r>
        <w:rPr>
          <w:rFonts w:hint="eastAsia" w:ascii="黑体" w:hAnsi="黑体" w:eastAsia="黑体" w:cs="黑体"/>
          <w:b/>
          <w:color w:val="auto"/>
          <w:sz w:val="63"/>
          <w:highlight w:val="none"/>
          <w:lang w:eastAsia="zh-CN"/>
        </w:rPr>
        <w:t>公开招标文件</w:t>
      </w:r>
    </w:p>
    <w:p w14:paraId="355C2E21">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highlight w:val="none"/>
          <w:lang w:eastAsia="zh-CN"/>
        </w:rPr>
      </w:pPr>
      <w:r>
        <w:rPr>
          <w:rFonts w:hint="eastAsia" w:ascii="黑体" w:hAnsi="黑体" w:eastAsia="黑体" w:cs="黑体"/>
          <w:b/>
          <w:color w:val="auto"/>
          <w:sz w:val="36"/>
          <w:highlight w:val="none"/>
          <w:lang w:eastAsia="zh-CN"/>
        </w:rPr>
        <w:t>项目编号：ZRNT20260026</w:t>
      </w:r>
    </w:p>
    <w:p w14:paraId="42533C0E">
      <w:pPr>
        <w:spacing w:line="360" w:lineRule="auto"/>
        <w:rPr>
          <w:rFonts w:hint="eastAsia" w:ascii="黑体" w:hAnsi="黑体" w:eastAsia="黑体" w:cs="黑体"/>
          <w:b/>
          <w:color w:val="auto"/>
          <w:highlight w:val="none"/>
          <w:lang w:eastAsia="zh-CN"/>
        </w:rPr>
      </w:pPr>
    </w:p>
    <w:p w14:paraId="1D57E968">
      <w:pPr>
        <w:spacing w:line="360" w:lineRule="auto"/>
        <w:rPr>
          <w:rFonts w:hint="eastAsia" w:ascii="黑体" w:hAnsi="黑体" w:eastAsia="黑体" w:cs="黑体"/>
          <w:b/>
          <w:color w:val="auto"/>
          <w:highlight w:val="none"/>
          <w:lang w:eastAsia="zh-CN"/>
        </w:rPr>
      </w:pPr>
    </w:p>
    <w:p w14:paraId="34F772F4">
      <w:pPr>
        <w:spacing w:line="360" w:lineRule="auto"/>
        <w:rPr>
          <w:rFonts w:hint="eastAsia" w:ascii="黑体" w:hAnsi="黑体" w:eastAsia="黑体" w:cs="黑体"/>
          <w:b/>
          <w:color w:val="auto"/>
          <w:highlight w:val="none"/>
          <w:lang w:eastAsia="zh-CN"/>
        </w:rPr>
      </w:pPr>
    </w:p>
    <w:p w14:paraId="5D280623">
      <w:pPr>
        <w:spacing w:line="360" w:lineRule="auto"/>
        <w:rPr>
          <w:rFonts w:hint="eastAsia" w:ascii="黑体" w:hAnsi="黑体" w:eastAsia="黑体" w:cs="黑体"/>
          <w:b/>
          <w:color w:val="auto"/>
          <w:highlight w:val="none"/>
          <w:lang w:eastAsia="zh-CN"/>
        </w:rPr>
      </w:pPr>
    </w:p>
    <w:p w14:paraId="7C7C6F88">
      <w:pPr>
        <w:spacing w:line="360" w:lineRule="auto"/>
        <w:rPr>
          <w:rFonts w:hint="eastAsia" w:ascii="黑体" w:hAnsi="黑体" w:eastAsia="黑体" w:cs="黑体"/>
          <w:b/>
          <w:color w:val="auto"/>
          <w:highlight w:val="none"/>
          <w:lang w:eastAsia="zh-CN"/>
        </w:rPr>
      </w:pPr>
    </w:p>
    <w:p w14:paraId="63278728">
      <w:pPr>
        <w:spacing w:line="360" w:lineRule="auto"/>
        <w:rPr>
          <w:rFonts w:hint="eastAsia" w:ascii="黑体" w:hAnsi="黑体" w:eastAsia="黑体" w:cs="黑体"/>
          <w:b/>
          <w:color w:val="auto"/>
          <w:highlight w:val="none"/>
          <w:lang w:eastAsia="zh-CN"/>
        </w:rPr>
      </w:pPr>
    </w:p>
    <w:p w14:paraId="2CDA44DE">
      <w:pPr>
        <w:spacing w:line="360" w:lineRule="auto"/>
        <w:rPr>
          <w:rFonts w:hint="eastAsia" w:ascii="黑体" w:hAnsi="黑体" w:eastAsia="黑体" w:cs="黑体"/>
          <w:b/>
          <w:color w:val="auto"/>
          <w:highlight w:val="none"/>
          <w:lang w:eastAsia="zh-CN"/>
        </w:rPr>
      </w:pPr>
    </w:p>
    <w:p w14:paraId="1C5F5DBA">
      <w:pPr>
        <w:spacing w:line="360" w:lineRule="auto"/>
        <w:rPr>
          <w:rFonts w:hint="eastAsia" w:ascii="黑体" w:hAnsi="黑体" w:eastAsia="黑体" w:cs="黑体"/>
          <w:b/>
          <w:color w:val="auto"/>
          <w:highlight w:val="none"/>
          <w:lang w:eastAsia="zh-CN"/>
        </w:rPr>
      </w:pPr>
    </w:p>
    <w:p w14:paraId="6FFFA15A">
      <w:pPr>
        <w:spacing w:line="360" w:lineRule="auto"/>
        <w:rPr>
          <w:rFonts w:hint="eastAsia" w:ascii="黑体" w:hAnsi="黑体" w:eastAsia="黑体" w:cs="黑体"/>
          <w:b/>
          <w:color w:val="auto"/>
          <w:highlight w:val="none"/>
          <w:lang w:eastAsia="zh-CN"/>
        </w:rPr>
      </w:pPr>
    </w:p>
    <w:p w14:paraId="15EDF777">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highlight w:val="none"/>
          <w:lang w:eastAsia="zh-CN"/>
        </w:rPr>
      </w:pPr>
      <w:r>
        <w:rPr>
          <w:rFonts w:hint="eastAsia" w:ascii="黑体" w:hAnsi="黑体" w:eastAsia="黑体" w:cs="黑体"/>
          <w:b/>
          <w:color w:val="auto"/>
          <w:sz w:val="37"/>
          <w:highlight w:val="none"/>
          <w:lang w:eastAsia="zh-CN"/>
        </w:rPr>
        <w:t>采购单位：崇川区农业农村和水利局</w:t>
      </w:r>
    </w:p>
    <w:p w14:paraId="307549EF">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highlight w:val="none"/>
          <w:lang w:eastAsia="zh-CN"/>
        </w:rPr>
      </w:pPr>
    </w:p>
    <w:p w14:paraId="010F5658">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黑体" w:hAnsi="黑体" w:eastAsia="黑体" w:cs="黑体"/>
          <w:b/>
          <w:color w:val="auto"/>
          <w:sz w:val="36"/>
          <w:highlight w:val="none"/>
          <w:lang w:eastAsia="zh-CN"/>
        </w:rPr>
      </w:pPr>
      <w:r>
        <w:rPr>
          <w:rFonts w:hint="eastAsia" w:ascii="黑体" w:hAnsi="黑体" w:eastAsia="黑体" w:cs="黑体"/>
          <w:b/>
          <w:color w:val="auto"/>
          <w:sz w:val="36"/>
          <w:highlight w:val="none"/>
          <w:lang w:eastAsia="zh-CN"/>
        </w:rPr>
        <w:t>2026年2月</w:t>
      </w:r>
    </w:p>
    <w:p w14:paraId="6CAFED7F">
      <w:pPr>
        <w:spacing w:line="360" w:lineRule="auto"/>
        <w:ind w:left="2930" w:right="2963"/>
        <w:rPr>
          <w:color w:val="auto"/>
          <w:sz w:val="36"/>
          <w:highlight w:val="none"/>
          <w:lang w:eastAsia="zh-CN"/>
        </w:rPr>
      </w:pPr>
    </w:p>
    <w:p w14:paraId="6A2C228E">
      <w:pPr>
        <w:spacing w:after="200" w:line="360" w:lineRule="auto"/>
        <w:jc w:val="left"/>
        <w:rPr>
          <w:color w:val="auto"/>
          <w:sz w:val="35"/>
          <w:highlight w:val="none"/>
          <w:lang w:eastAsia="zh-CN"/>
        </w:rPr>
      </w:pPr>
      <w:r>
        <w:rPr>
          <w:color w:val="auto"/>
          <w:sz w:val="35"/>
          <w:highlight w:val="none"/>
          <w:lang w:eastAsia="zh-CN"/>
        </w:rPr>
        <w:br w:type="page"/>
      </w:r>
    </w:p>
    <w:p w14:paraId="2D1D68C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b/>
          <w:color w:val="auto"/>
          <w:sz w:val="36"/>
          <w:szCs w:val="36"/>
          <w:highlight w:val="none"/>
          <w:lang w:eastAsia="zh-CN"/>
        </w:rPr>
      </w:pPr>
      <w:r>
        <w:rPr>
          <w:rFonts w:hint="eastAsia"/>
          <w:b/>
          <w:color w:val="auto"/>
          <w:sz w:val="36"/>
          <w:szCs w:val="36"/>
          <w:highlight w:val="none"/>
          <w:lang w:eastAsia="zh-CN"/>
        </w:rPr>
        <w:t>第一部分 投标邀请</w:t>
      </w:r>
    </w:p>
    <w:p w14:paraId="4514A16A">
      <w:pPr>
        <w:keepNext w:val="0"/>
        <w:keepLines w:val="0"/>
        <w:pageBreakBefore w:val="0"/>
        <w:widowControl/>
        <w:kinsoku/>
        <w:wordWrap/>
        <w:overflowPunct/>
        <w:topLinePunct w:val="0"/>
        <w:autoSpaceDE/>
        <w:autoSpaceDN/>
        <w:bidi w:val="0"/>
        <w:adjustRightInd/>
        <w:snapToGrid/>
        <w:spacing w:line="360" w:lineRule="auto"/>
        <w:ind w:right="0"/>
        <w:textAlignment w:val="auto"/>
        <w:rPr>
          <w:rFonts w:asciiTheme="minorAscii"/>
          <w:color w:val="auto"/>
          <w:sz w:val="21"/>
          <w:szCs w:val="21"/>
          <w:highlight w:val="none"/>
          <w:lang w:eastAsia="zh-CN"/>
        </w:rPr>
      </w:pPr>
      <w:r>
        <w:rPr>
          <w:rFonts w:hint="eastAsia" w:asciiTheme="minorAscii"/>
          <w:color w:val="auto"/>
          <w:sz w:val="21"/>
          <w:szCs w:val="21"/>
          <w:highlight w:val="none"/>
          <w:lang w:eastAsia="zh-CN"/>
        </w:rPr>
        <w:t>致各潜在投标人：</w:t>
      </w:r>
    </w:p>
    <w:p w14:paraId="46A7008B">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asciiTheme="minorAscii"/>
          <w:color w:val="auto"/>
          <w:sz w:val="21"/>
          <w:szCs w:val="21"/>
          <w:highlight w:val="none"/>
          <w:lang w:eastAsia="zh-CN"/>
        </w:rPr>
      </w:pPr>
      <w:r>
        <w:rPr>
          <w:rFonts w:hint="eastAsia" w:asciiTheme="minorAscii"/>
          <w:color w:val="auto"/>
          <w:sz w:val="21"/>
          <w:szCs w:val="21"/>
          <w:highlight w:val="none"/>
          <w:lang w:val="en-US" w:eastAsia="zh-CN"/>
        </w:rPr>
        <w:t>根据</w:t>
      </w:r>
      <w:r>
        <w:rPr>
          <w:rFonts w:hint="eastAsia" w:asciiTheme="minorAscii"/>
          <w:color w:val="auto"/>
          <w:sz w:val="21"/>
          <w:szCs w:val="21"/>
          <w:highlight w:val="none"/>
          <w:lang w:eastAsia="zh-CN"/>
        </w:rPr>
        <w:t>《中华人民共和国政府采购法》《中华人民共和国招标投标法》等相关法律法规，[江苏中润工程建设咨询有限公司]受[崇川区农业农村和水利局]</w:t>
      </w:r>
      <w:r>
        <w:rPr>
          <w:rFonts w:hint="eastAsia" w:asciiTheme="minorAscii"/>
          <w:color w:val="auto"/>
          <w:sz w:val="21"/>
          <w:szCs w:val="21"/>
          <w:highlight w:val="none"/>
          <w:lang w:val="en-US" w:eastAsia="zh-CN"/>
        </w:rPr>
        <w:t>委托</w:t>
      </w:r>
      <w:r>
        <w:rPr>
          <w:rFonts w:hint="eastAsia" w:asciiTheme="minorAscii"/>
          <w:color w:val="auto"/>
          <w:sz w:val="21"/>
          <w:szCs w:val="21"/>
          <w:highlight w:val="none"/>
          <w:lang w:eastAsia="zh-CN"/>
        </w:rPr>
        <w:t>，就崇川区第二轮土地承包到期后再延长30年工作技术服务项目进行公开招标，欢迎符合条件的</w:t>
      </w:r>
      <w:r>
        <w:rPr>
          <w:rFonts w:hint="eastAsia" w:asciiTheme="minorAscii"/>
          <w:color w:val="auto"/>
          <w:sz w:val="21"/>
          <w:szCs w:val="21"/>
          <w:highlight w:val="none"/>
          <w:lang w:val="en-US" w:eastAsia="zh-CN"/>
        </w:rPr>
        <w:t>投标</w:t>
      </w:r>
      <w:r>
        <w:rPr>
          <w:rFonts w:hint="eastAsia" w:asciiTheme="minorAscii"/>
          <w:color w:val="auto"/>
          <w:sz w:val="21"/>
          <w:szCs w:val="21"/>
          <w:highlight w:val="none"/>
          <w:lang w:eastAsia="zh-CN"/>
        </w:rPr>
        <w:t>人前来投标。</w:t>
      </w:r>
    </w:p>
    <w:p w14:paraId="3EB72B3E">
      <w:pPr>
        <w:spacing w:line="360" w:lineRule="auto"/>
        <w:outlineLvl w:val="1"/>
        <w:rPr>
          <w:b/>
          <w:color w:val="auto"/>
          <w:highlight w:val="none"/>
          <w:lang w:eastAsia="zh-CN"/>
        </w:rPr>
      </w:pPr>
      <w:r>
        <w:rPr>
          <w:rFonts w:hint="eastAsia"/>
          <w:b/>
          <w:color w:val="auto"/>
          <w:sz w:val="28"/>
          <w:highlight w:val="none"/>
          <w:lang w:eastAsia="zh-CN"/>
        </w:rPr>
        <w:t>一、招标条件</w:t>
      </w:r>
    </w:p>
    <w:p w14:paraId="35987DA7">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1.项目名称：崇川区第二轮土地承包到期后再延长30年工作技术服务项目</w:t>
      </w:r>
    </w:p>
    <w:p w14:paraId="49A5ED12">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default" w:asciiTheme="minorAscii"/>
          <w:color w:val="auto"/>
          <w:sz w:val="21"/>
          <w:szCs w:val="21"/>
          <w:highlight w:val="none"/>
          <w:lang w:val="en-US" w:eastAsia="zh-CN"/>
        </w:rPr>
      </w:pPr>
      <w:r>
        <w:rPr>
          <w:rFonts w:hint="eastAsia" w:asciiTheme="minorAscii"/>
          <w:color w:val="auto"/>
          <w:sz w:val="21"/>
          <w:szCs w:val="21"/>
          <w:highlight w:val="none"/>
          <w:lang w:eastAsia="zh-CN"/>
        </w:rPr>
        <w:t>2.项目编号：</w:t>
      </w:r>
      <w:r>
        <w:rPr>
          <w:rFonts w:hint="eastAsia" w:asciiTheme="minorAscii"/>
          <w:color w:val="auto"/>
          <w:sz w:val="21"/>
          <w:szCs w:val="21"/>
          <w:highlight w:val="none"/>
          <w:lang w:val="en-US" w:eastAsia="zh-CN"/>
        </w:rPr>
        <w:t xml:space="preserve"> ZRNT20260026</w:t>
      </w:r>
    </w:p>
    <w:p w14:paraId="64CA57CD">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3.采购方式：公开招标</w:t>
      </w:r>
    </w:p>
    <w:p w14:paraId="14695D1A">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4.资金来源：财政资金，资金已落实</w:t>
      </w:r>
    </w:p>
    <w:p w14:paraId="2365C125">
      <w:pPr>
        <w:spacing w:line="360" w:lineRule="auto"/>
        <w:rPr>
          <w:b/>
          <w:color w:val="auto"/>
          <w:sz w:val="28"/>
          <w:highlight w:val="none"/>
          <w:lang w:eastAsia="zh-CN"/>
        </w:rPr>
      </w:pPr>
      <w:r>
        <w:rPr>
          <w:rFonts w:hint="eastAsia"/>
          <w:b/>
          <w:color w:val="auto"/>
          <w:sz w:val="28"/>
          <w:highlight w:val="none"/>
          <w:lang w:eastAsia="zh-CN"/>
        </w:rPr>
        <w:t>二、项目概况与招标范围</w:t>
      </w:r>
    </w:p>
    <w:p w14:paraId="1C6C8D03">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1.项目地点：崇川区涉农街道（具体以采购人指定为准）。</w:t>
      </w:r>
    </w:p>
    <w:p w14:paraId="5AFE08D1">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2.项目概况：本项目服务区域为崇川区涉农街道，涉及承包农户</w:t>
      </w:r>
      <w:r>
        <w:rPr>
          <w:rFonts w:hint="eastAsia" w:asciiTheme="minorAscii"/>
          <w:color w:val="auto"/>
          <w:sz w:val="21"/>
          <w:szCs w:val="21"/>
          <w:highlight w:val="none"/>
          <w:lang w:val="en-US" w:eastAsia="zh-CN"/>
        </w:rPr>
        <w:t>预计8700</w:t>
      </w:r>
      <w:r>
        <w:rPr>
          <w:rFonts w:hint="eastAsia" w:asciiTheme="minorAscii"/>
          <w:color w:val="auto"/>
          <w:sz w:val="21"/>
          <w:szCs w:val="21"/>
          <w:highlight w:val="none"/>
          <w:lang w:eastAsia="zh-CN"/>
        </w:rPr>
        <w:t>户，因区域内无二轮重新确权原始数据，需开展原始数据补充收集、全域初始地籍调查等前置性工作，工作量较常规延包项目显著增加（具体以实际勘测核实为准，</w:t>
      </w:r>
      <w:r>
        <w:rPr>
          <w:rFonts w:hint="eastAsia" w:asciiTheme="minorAscii"/>
          <w:color w:val="auto"/>
          <w:sz w:val="21"/>
          <w:szCs w:val="21"/>
          <w:highlight w:val="none"/>
          <w:lang w:val="en-US" w:eastAsia="zh-CN"/>
        </w:rPr>
        <w:t>涉及工作量请各投标人在投标时予以充分考虑。</w:t>
      </w:r>
      <w:r>
        <w:rPr>
          <w:rFonts w:hint="eastAsia" w:asciiTheme="minorAscii"/>
          <w:color w:val="auto"/>
          <w:sz w:val="21"/>
          <w:szCs w:val="21"/>
          <w:highlight w:val="none"/>
          <w:lang w:eastAsia="zh-CN"/>
        </w:rPr>
        <w:t>）。</w:t>
      </w:r>
    </w:p>
    <w:p w14:paraId="2C2EC7BA">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3.招标范围：包括但不限于原始数据补充收集与重建、全域初始地籍调查、农户信息核查与合同签订、</w:t>
      </w:r>
      <w:r>
        <w:rPr>
          <w:rFonts w:hint="eastAsia" w:asciiTheme="minorAscii"/>
          <w:color w:val="auto"/>
          <w:sz w:val="21"/>
          <w:szCs w:val="21"/>
          <w:highlight w:val="none"/>
          <w:lang w:val="en-US" w:eastAsia="zh-CN"/>
        </w:rPr>
        <w:t>全材料档案整理、图档数据库建设</w:t>
      </w:r>
      <w:r>
        <w:rPr>
          <w:rFonts w:hint="eastAsia" w:asciiTheme="minorAscii"/>
          <w:color w:val="auto"/>
          <w:sz w:val="21"/>
          <w:szCs w:val="21"/>
          <w:highlight w:val="none"/>
          <w:lang w:eastAsia="zh-CN"/>
        </w:rPr>
        <w:t>、权属争议协调、成果验收及后续服务等全流程技术服务（详细需求见第三部分采购项目需求）。</w:t>
      </w:r>
    </w:p>
    <w:p w14:paraId="6BF0127E">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4.服务期限：自合同签订之日起12个月（含原始数据重建6个月、后续服务6个月），若因原始数据缺失严重导致工作量增加，可协商延长。</w:t>
      </w:r>
    </w:p>
    <w:p w14:paraId="507E1C70">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default" w:asciiTheme="minorAscii"/>
          <w:color w:val="auto"/>
          <w:sz w:val="21"/>
          <w:szCs w:val="21"/>
          <w:highlight w:val="none"/>
          <w:lang w:val="en-US" w:eastAsia="zh-CN"/>
        </w:rPr>
      </w:pPr>
      <w:r>
        <w:rPr>
          <w:rFonts w:hint="eastAsia" w:asciiTheme="minorAscii"/>
          <w:color w:val="auto"/>
          <w:sz w:val="21"/>
          <w:szCs w:val="21"/>
          <w:highlight w:val="none"/>
          <w:lang w:val="en-US" w:eastAsia="zh-CN"/>
        </w:rPr>
        <w:t>5.采购预算：96万元。</w:t>
      </w:r>
    </w:p>
    <w:p w14:paraId="71966D71">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6</w:t>
      </w:r>
      <w:r>
        <w:rPr>
          <w:rFonts w:hint="eastAsia" w:asciiTheme="minorAscii"/>
          <w:color w:val="auto"/>
          <w:sz w:val="21"/>
          <w:szCs w:val="21"/>
          <w:highlight w:val="none"/>
          <w:lang w:eastAsia="zh-CN"/>
        </w:rPr>
        <w:t>.最高限价：</w:t>
      </w:r>
      <w:r>
        <w:rPr>
          <w:rFonts w:hint="eastAsia" w:asciiTheme="minorAscii"/>
          <w:color w:val="auto"/>
          <w:sz w:val="21"/>
          <w:szCs w:val="21"/>
          <w:highlight w:val="none"/>
          <w:lang w:val="en-US" w:eastAsia="zh-CN"/>
        </w:rPr>
        <w:t>95.7</w:t>
      </w:r>
      <w:r>
        <w:rPr>
          <w:rFonts w:hint="eastAsia" w:asciiTheme="minorAscii"/>
          <w:color w:val="auto"/>
          <w:sz w:val="21"/>
          <w:szCs w:val="21"/>
          <w:highlight w:val="none"/>
          <w:lang w:eastAsia="zh-CN"/>
        </w:rPr>
        <w:t>万元（</w:t>
      </w:r>
      <w:r>
        <w:rPr>
          <w:rFonts w:hint="eastAsia" w:asciiTheme="minorAscii"/>
          <w:color w:val="auto"/>
          <w:sz w:val="21"/>
          <w:szCs w:val="21"/>
          <w:highlight w:val="none"/>
          <w:lang w:val="en-US" w:eastAsia="zh-CN"/>
        </w:rPr>
        <w:t>110</w:t>
      </w:r>
      <w:r>
        <w:rPr>
          <w:rFonts w:hint="eastAsia" w:asciiTheme="minorAscii"/>
          <w:color w:val="auto"/>
          <w:sz w:val="21"/>
          <w:szCs w:val="21"/>
          <w:highlight w:val="none"/>
          <w:lang w:eastAsia="zh-CN"/>
        </w:rPr>
        <w:t>元/户x</w:t>
      </w:r>
      <w:r>
        <w:rPr>
          <w:rFonts w:hint="eastAsia" w:asciiTheme="minorAscii"/>
          <w:color w:val="auto"/>
          <w:sz w:val="21"/>
          <w:szCs w:val="21"/>
          <w:highlight w:val="none"/>
          <w:lang w:val="en-US" w:eastAsia="zh-CN"/>
        </w:rPr>
        <w:t>8700</w:t>
      </w:r>
      <w:r>
        <w:rPr>
          <w:rFonts w:hint="eastAsia" w:asciiTheme="minorAscii"/>
          <w:color w:val="auto"/>
          <w:sz w:val="21"/>
          <w:szCs w:val="21"/>
          <w:highlight w:val="none"/>
          <w:lang w:eastAsia="zh-CN"/>
        </w:rPr>
        <w:t>户）</w:t>
      </w:r>
      <w:r>
        <w:rPr>
          <w:rFonts w:hint="eastAsia" w:asciiTheme="minorAscii"/>
          <w:color w:val="auto"/>
          <w:sz w:val="21"/>
          <w:szCs w:val="21"/>
          <w:highlight w:val="none"/>
          <w:lang w:val="en-US" w:eastAsia="zh-CN"/>
        </w:rPr>
        <w:t>。</w:t>
      </w:r>
      <w:r>
        <w:rPr>
          <w:rFonts w:hint="eastAsia" w:asciiTheme="minorAscii"/>
          <w:color w:val="auto"/>
          <w:sz w:val="21"/>
          <w:szCs w:val="21"/>
          <w:highlight w:val="none"/>
          <w:lang w:eastAsia="zh-CN"/>
        </w:rPr>
        <w:t>本项目</w:t>
      </w:r>
      <w:r>
        <w:rPr>
          <w:rFonts w:hint="eastAsia" w:asciiTheme="minorAscii"/>
          <w:color w:val="auto"/>
          <w:sz w:val="21"/>
          <w:szCs w:val="21"/>
          <w:highlight w:val="none"/>
          <w:lang w:val="en-US" w:eastAsia="zh-CN"/>
        </w:rPr>
        <w:t>报价</w:t>
      </w:r>
      <w:r>
        <w:rPr>
          <w:rFonts w:hint="eastAsia" w:asciiTheme="minorAscii"/>
          <w:color w:val="auto"/>
          <w:sz w:val="21"/>
          <w:szCs w:val="21"/>
          <w:highlight w:val="none"/>
          <w:lang w:eastAsia="zh-CN"/>
        </w:rPr>
        <w:t>按户计价，</w:t>
      </w:r>
      <w:r>
        <w:rPr>
          <w:rFonts w:hint="eastAsia" w:asciiTheme="minorAscii"/>
          <w:color w:val="auto"/>
          <w:sz w:val="21"/>
          <w:szCs w:val="21"/>
          <w:highlight w:val="none"/>
          <w:lang w:val="en-US" w:eastAsia="zh-CN"/>
        </w:rPr>
        <w:t>最高限价</w:t>
      </w:r>
      <w:r>
        <w:rPr>
          <w:rFonts w:hint="eastAsia" w:asciiTheme="minorAscii"/>
          <w:color w:val="auto"/>
          <w:sz w:val="21"/>
          <w:szCs w:val="21"/>
          <w:highlight w:val="none"/>
          <w:lang w:eastAsia="zh-CN"/>
        </w:rPr>
        <w:t>为</w:t>
      </w:r>
      <w:r>
        <w:rPr>
          <w:rFonts w:hint="eastAsia" w:asciiTheme="minorAscii"/>
          <w:color w:val="auto"/>
          <w:sz w:val="21"/>
          <w:szCs w:val="21"/>
          <w:highlight w:val="none"/>
          <w:lang w:val="en-US" w:eastAsia="zh-CN"/>
        </w:rPr>
        <w:t>110</w:t>
      </w:r>
      <w:r>
        <w:rPr>
          <w:rFonts w:hint="eastAsia" w:asciiTheme="minorAscii"/>
          <w:color w:val="auto"/>
          <w:sz w:val="21"/>
          <w:szCs w:val="21"/>
          <w:highlight w:val="none"/>
          <w:lang w:eastAsia="zh-CN"/>
        </w:rPr>
        <w:t>元/户（含原始数据重建、初始勘测、</w:t>
      </w:r>
      <w:r>
        <w:rPr>
          <w:rFonts w:hint="eastAsia" w:asciiTheme="minorAscii"/>
          <w:color w:val="auto"/>
          <w:sz w:val="21"/>
          <w:szCs w:val="21"/>
          <w:highlight w:val="none"/>
          <w:lang w:val="en-US" w:eastAsia="zh-CN"/>
        </w:rPr>
        <w:t>档案整理、图档数据库建设</w:t>
      </w:r>
      <w:r>
        <w:rPr>
          <w:rFonts w:hint="eastAsia" w:asciiTheme="minorAscii"/>
          <w:color w:val="auto"/>
          <w:sz w:val="21"/>
          <w:szCs w:val="21"/>
          <w:highlight w:val="none"/>
          <w:lang w:eastAsia="zh-CN"/>
        </w:rPr>
        <w:t>等所有工作量成本），最终</w:t>
      </w:r>
      <w:r>
        <w:rPr>
          <w:rFonts w:hint="eastAsia" w:asciiTheme="minorAscii"/>
          <w:color w:val="auto"/>
          <w:sz w:val="21"/>
          <w:szCs w:val="21"/>
          <w:highlight w:val="none"/>
          <w:lang w:val="en-US" w:eastAsia="zh-CN"/>
        </w:rPr>
        <w:t>以</w:t>
      </w:r>
      <w:r>
        <w:rPr>
          <w:rFonts w:hint="eastAsia" w:asciiTheme="minorAscii"/>
          <w:color w:val="auto"/>
          <w:sz w:val="21"/>
          <w:szCs w:val="21"/>
          <w:highlight w:val="none"/>
          <w:lang w:eastAsia="zh-CN"/>
        </w:rPr>
        <w:t>实际完成工作量据实结算，</w:t>
      </w:r>
      <w:r>
        <w:rPr>
          <w:rFonts w:hint="eastAsia" w:asciiTheme="minorAscii"/>
          <w:color w:val="auto"/>
          <w:sz w:val="21"/>
          <w:szCs w:val="21"/>
          <w:highlight w:val="none"/>
          <w:lang w:val="en-US" w:eastAsia="zh-CN"/>
        </w:rPr>
        <w:t>工作量增加10%以内不追加费用</w:t>
      </w:r>
      <w:r>
        <w:rPr>
          <w:rFonts w:hint="eastAsia" w:asciiTheme="minorAscii"/>
          <w:color w:val="auto"/>
          <w:sz w:val="21"/>
          <w:szCs w:val="21"/>
          <w:highlight w:val="none"/>
          <w:lang w:eastAsia="zh-CN"/>
        </w:rPr>
        <w:t>。投标人投标报价超过最高限价的，按无效投标处理。</w:t>
      </w:r>
    </w:p>
    <w:p w14:paraId="138A6718">
      <w:pPr>
        <w:spacing w:line="360" w:lineRule="auto"/>
        <w:rPr>
          <w:b/>
          <w:color w:val="auto"/>
          <w:sz w:val="28"/>
          <w:highlight w:val="none"/>
          <w:lang w:eastAsia="zh-CN"/>
        </w:rPr>
      </w:pPr>
      <w:r>
        <w:rPr>
          <w:rFonts w:hint="eastAsia"/>
          <w:b/>
          <w:color w:val="auto"/>
          <w:sz w:val="28"/>
          <w:highlight w:val="none"/>
          <w:lang w:eastAsia="zh-CN"/>
        </w:rPr>
        <w:t>三、投标人资格要求</w:t>
      </w:r>
    </w:p>
    <w:p w14:paraId="1BB22C68">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1.满足《中华人民共和国政府采购法》第二十二条第一款规定：</w:t>
      </w:r>
    </w:p>
    <w:p w14:paraId="0FD4AEC2">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（1）具有独立承担民事责任的能力（提供营业执照或事业单位法人证书等证明文件复印件加盖公章）；</w:t>
      </w:r>
    </w:p>
    <w:p w14:paraId="096145DB">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（2）具有良好的商业信誉和健全的财务会计制度（提供近1年度财务状况报告复印件加盖公章，成立不满1年的提供银行资信证明复印件加盖公章）；</w:t>
      </w:r>
    </w:p>
    <w:p w14:paraId="477B2727">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（3）具有履行合同所必需的设备和专业技术能力（提供书面声明函原件加盖公章）；</w:t>
      </w:r>
    </w:p>
    <w:p w14:paraId="18E4C35B">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（4）有依法缴纳税收和社会保障资金的良好记录（提供近6个月内任意1个月缴纳税收和社会保障资金的证明材料复印件加盖公章）；</w:t>
      </w:r>
    </w:p>
    <w:p w14:paraId="5E1B9E14">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（5）参加政府采购活动前3年内，在经营活动中没有重大违法记录（提供书面声明函原件加盖公章）；</w:t>
      </w:r>
    </w:p>
    <w:p w14:paraId="6D35BF1F">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（6）法律、行政法规规定的其他条件。</w:t>
      </w:r>
    </w:p>
    <w:p w14:paraId="683CD3EC">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2.特定资格要求：</w:t>
      </w:r>
    </w:p>
    <w:p w14:paraId="1E217BCD">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（1）具备</w:t>
      </w:r>
      <w:r>
        <w:rPr>
          <w:rFonts w:hint="eastAsia" w:asciiTheme="minorAscii"/>
          <w:color w:val="auto"/>
          <w:sz w:val="21"/>
          <w:szCs w:val="21"/>
          <w:highlight w:val="none"/>
          <w:lang w:val="en-US" w:eastAsia="zh-CN"/>
        </w:rPr>
        <w:t>乙级或以上</w:t>
      </w:r>
      <w:r>
        <w:rPr>
          <w:rFonts w:hint="eastAsia" w:asciiTheme="minorAscii"/>
          <w:color w:val="auto"/>
          <w:sz w:val="21"/>
          <w:szCs w:val="21"/>
          <w:highlight w:val="none"/>
          <w:lang w:eastAsia="zh-CN"/>
        </w:rPr>
        <w:t>测绘资质（含界线与不动产测绘、地理信息系统工程、</w:t>
      </w:r>
      <w:r>
        <w:rPr>
          <w:rFonts w:hint="eastAsia" w:asciiTheme="minorAscii"/>
          <w:color w:val="auto"/>
          <w:sz w:val="21"/>
          <w:szCs w:val="21"/>
          <w:highlight w:val="none"/>
          <w:lang w:val="en-US" w:eastAsia="zh-CN"/>
        </w:rPr>
        <w:t>测绘航空摄影</w:t>
      </w:r>
      <w:r>
        <w:rPr>
          <w:rFonts w:hint="eastAsia" w:asciiTheme="minorAscii"/>
          <w:color w:val="auto"/>
          <w:sz w:val="21"/>
          <w:szCs w:val="21"/>
          <w:highlight w:val="none"/>
          <w:lang w:eastAsia="zh-CN"/>
        </w:rPr>
        <w:t>专业），提供资质证书复印件加盖公章；</w:t>
      </w:r>
    </w:p>
    <w:p w14:paraId="22715FCD">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2）未被列入“信用中国”网站（www.creditchina.gov.cn）失信被执行人、重大税收违法失信主体名单及中国政府采购网（www.ccgp.gov.cn）政府采购严重违法失信行为记录名单（提供投标截止日前10日内的查询截图加盖公章）。</w:t>
      </w:r>
    </w:p>
    <w:p w14:paraId="4AECE1D4">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3.本项目不接受联合体投标，不允许转包、违法分包。</w:t>
      </w:r>
    </w:p>
    <w:p w14:paraId="23C15472">
      <w:pPr>
        <w:spacing w:line="360" w:lineRule="auto"/>
        <w:rPr>
          <w:b/>
          <w:color w:val="auto"/>
          <w:sz w:val="28"/>
          <w:highlight w:val="none"/>
          <w:lang w:eastAsia="zh-CN"/>
        </w:rPr>
      </w:pPr>
      <w:r>
        <w:rPr>
          <w:rFonts w:hint="eastAsia"/>
          <w:b/>
          <w:color w:val="auto"/>
          <w:sz w:val="28"/>
          <w:highlight w:val="none"/>
          <w:lang w:eastAsia="zh-CN"/>
        </w:rPr>
        <w:t>四、招标文件的获取</w:t>
      </w:r>
    </w:p>
    <w:p w14:paraId="75877344">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1.获取时间：自[</w:t>
      </w:r>
      <w:r>
        <w:rPr>
          <w:rFonts w:hint="eastAsia" w:asciiTheme="minorAscii"/>
          <w:color w:val="auto"/>
          <w:sz w:val="21"/>
          <w:szCs w:val="21"/>
          <w:highlight w:val="none"/>
          <w:lang w:val="en-US" w:eastAsia="zh-CN"/>
        </w:rPr>
        <w:t>2026</w:t>
      </w:r>
      <w:r>
        <w:rPr>
          <w:rFonts w:hint="eastAsia" w:asciiTheme="minorAscii"/>
          <w:color w:val="auto"/>
          <w:sz w:val="21"/>
          <w:szCs w:val="21"/>
          <w:highlight w:val="none"/>
          <w:lang w:eastAsia="zh-CN"/>
        </w:rPr>
        <w:t>年</w:t>
      </w:r>
      <w:r>
        <w:rPr>
          <w:rFonts w:hint="eastAsia" w:asciiTheme="minorAscii"/>
          <w:color w:val="auto"/>
          <w:sz w:val="21"/>
          <w:szCs w:val="21"/>
          <w:highlight w:val="none"/>
          <w:lang w:val="en-US" w:eastAsia="zh-CN"/>
        </w:rPr>
        <w:t>2</w:t>
      </w:r>
      <w:r>
        <w:rPr>
          <w:rFonts w:hint="eastAsia" w:asciiTheme="minorAscii"/>
          <w:color w:val="auto"/>
          <w:sz w:val="21"/>
          <w:szCs w:val="21"/>
          <w:highlight w:val="none"/>
          <w:lang w:eastAsia="zh-CN"/>
        </w:rPr>
        <w:t>月</w:t>
      </w:r>
      <w:r>
        <w:rPr>
          <w:rFonts w:hint="eastAsia" w:asciiTheme="minorAscii"/>
          <w:color w:val="auto"/>
          <w:sz w:val="21"/>
          <w:szCs w:val="21"/>
          <w:highlight w:val="none"/>
          <w:lang w:val="en-US" w:eastAsia="zh-CN"/>
        </w:rPr>
        <w:t>26</w:t>
      </w:r>
      <w:r>
        <w:rPr>
          <w:rFonts w:hint="eastAsia" w:asciiTheme="minorAscii"/>
          <w:color w:val="auto"/>
          <w:sz w:val="21"/>
          <w:szCs w:val="21"/>
          <w:highlight w:val="none"/>
          <w:lang w:eastAsia="zh-CN"/>
        </w:rPr>
        <w:t>日]至[</w:t>
      </w:r>
      <w:r>
        <w:rPr>
          <w:rFonts w:hint="eastAsia" w:asciiTheme="minorAscii"/>
          <w:color w:val="auto"/>
          <w:sz w:val="21"/>
          <w:szCs w:val="21"/>
          <w:highlight w:val="none"/>
          <w:lang w:val="en-US" w:eastAsia="zh-CN"/>
        </w:rPr>
        <w:t>2026</w:t>
      </w:r>
      <w:r>
        <w:rPr>
          <w:rFonts w:hint="eastAsia" w:asciiTheme="minorAscii"/>
          <w:color w:val="auto"/>
          <w:sz w:val="21"/>
          <w:szCs w:val="21"/>
          <w:highlight w:val="none"/>
          <w:lang w:eastAsia="zh-CN"/>
        </w:rPr>
        <w:t>年</w:t>
      </w:r>
      <w:r>
        <w:rPr>
          <w:rFonts w:hint="eastAsia" w:asciiTheme="minorAscii"/>
          <w:color w:val="auto"/>
          <w:sz w:val="21"/>
          <w:szCs w:val="21"/>
          <w:highlight w:val="none"/>
          <w:lang w:val="en-US" w:eastAsia="zh-CN"/>
        </w:rPr>
        <w:t>3</w:t>
      </w:r>
      <w:r>
        <w:rPr>
          <w:rFonts w:hint="eastAsia" w:asciiTheme="minorAscii"/>
          <w:color w:val="auto"/>
          <w:sz w:val="21"/>
          <w:szCs w:val="21"/>
          <w:highlight w:val="none"/>
          <w:lang w:eastAsia="zh-CN"/>
        </w:rPr>
        <w:t>月</w:t>
      </w:r>
      <w:r>
        <w:rPr>
          <w:rFonts w:hint="eastAsia" w:asciiTheme="minorAscii"/>
          <w:color w:val="auto"/>
          <w:sz w:val="21"/>
          <w:szCs w:val="21"/>
          <w:highlight w:val="none"/>
          <w:lang w:val="en-US" w:eastAsia="zh-CN"/>
        </w:rPr>
        <w:t>18</w:t>
      </w:r>
      <w:r>
        <w:rPr>
          <w:rFonts w:hint="eastAsia" w:asciiTheme="minorAscii"/>
          <w:color w:val="auto"/>
          <w:sz w:val="21"/>
          <w:szCs w:val="21"/>
          <w:highlight w:val="none"/>
          <w:lang w:eastAsia="zh-CN"/>
        </w:rPr>
        <w:t>日]，每日上午9：00-11：30，下午14：00-17：00（北京时间，法定节假日除外）。</w:t>
      </w:r>
    </w:p>
    <w:p w14:paraId="56CD2584">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2.获取地点：[崇川区人民政府网站]</w:t>
      </w:r>
    </w:p>
    <w:p w14:paraId="1E90C40B">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3.获取方式：投标人登录崇川区人民政府网站自行下载招标文件。</w:t>
      </w:r>
    </w:p>
    <w:p w14:paraId="251EDBDC">
      <w:pPr>
        <w:spacing w:line="360" w:lineRule="auto"/>
        <w:rPr>
          <w:b/>
          <w:color w:val="auto"/>
          <w:sz w:val="28"/>
          <w:highlight w:val="none"/>
          <w:lang w:eastAsia="zh-CN"/>
        </w:rPr>
      </w:pPr>
      <w:r>
        <w:rPr>
          <w:rFonts w:hint="eastAsia"/>
          <w:b/>
          <w:color w:val="auto"/>
          <w:sz w:val="28"/>
          <w:highlight w:val="none"/>
          <w:lang w:eastAsia="zh-CN"/>
        </w:rPr>
        <w:t>五、投标文件的递交及开标</w:t>
      </w:r>
    </w:p>
    <w:p w14:paraId="1E9DE3A7">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1.投标文件递交截止时间（开标时间）：[</w:t>
      </w:r>
      <w:r>
        <w:rPr>
          <w:rFonts w:hint="eastAsia" w:asciiTheme="minorAscii"/>
          <w:color w:val="auto"/>
          <w:sz w:val="21"/>
          <w:szCs w:val="21"/>
          <w:highlight w:val="none"/>
          <w:lang w:val="en-US" w:eastAsia="zh-CN"/>
        </w:rPr>
        <w:t>2026</w:t>
      </w:r>
      <w:r>
        <w:rPr>
          <w:rFonts w:hint="eastAsia" w:asciiTheme="minorAscii"/>
          <w:color w:val="auto"/>
          <w:sz w:val="21"/>
          <w:szCs w:val="21"/>
          <w:highlight w:val="none"/>
          <w:lang w:eastAsia="zh-CN"/>
        </w:rPr>
        <w:t>年</w:t>
      </w:r>
      <w:r>
        <w:rPr>
          <w:rFonts w:hint="eastAsia" w:asciiTheme="minorAscii"/>
          <w:color w:val="auto"/>
          <w:sz w:val="21"/>
          <w:szCs w:val="21"/>
          <w:highlight w:val="none"/>
          <w:lang w:val="en-US" w:eastAsia="zh-CN"/>
        </w:rPr>
        <w:t>3</w:t>
      </w:r>
      <w:r>
        <w:rPr>
          <w:rFonts w:hint="eastAsia" w:asciiTheme="minorAscii"/>
          <w:color w:val="auto"/>
          <w:sz w:val="21"/>
          <w:szCs w:val="21"/>
          <w:highlight w:val="none"/>
          <w:lang w:eastAsia="zh-CN"/>
        </w:rPr>
        <w:t>月</w:t>
      </w:r>
      <w:r>
        <w:rPr>
          <w:rFonts w:hint="eastAsia" w:asciiTheme="minorAscii"/>
          <w:color w:val="auto"/>
          <w:sz w:val="21"/>
          <w:szCs w:val="21"/>
          <w:highlight w:val="none"/>
          <w:lang w:val="en-US" w:eastAsia="zh-CN"/>
        </w:rPr>
        <w:t>19</w:t>
      </w:r>
      <w:r>
        <w:rPr>
          <w:rFonts w:hint="eastAsia" w:asciiTheme="minorAscii"/>
          <w:color w:val="auto"/>
          <w:sz w:val="21"/>
          <w:szCs w:val="21"/>
          <w:highlight w:val="none"/>
          <w:lang w:eastAsia="zh-CN"/>
        </w:rPr>
        <w:t>日</w:t>
      </w:r>
      <w:r>
        <w:rPr>
          <w:rFonts w:hint="eastAsia" w:asciiTheme="minorAscii"/>
          <w:color w:val="auto"/>
          <w:sz w:val="21"/>
          <w:szCs w:val="21"/>
          <w:highlight w:val="none"/>
          <w:lang w:val="en-US" w:eastAsia="zh-CN"/>
        </w:rPr>
        <w:t>9</w:t>
      </w:r>
      <w:r>
        <w:rPr>
          <w:rFonts w:hint="eastAsia" w:asciiTheme="minorAscii"/>
          <w:color w:val="auto"/>
          <w:sz w:val="21"/>
          <w:szCs w:val="21"/>
          <w:highlight w:val="none"/>
          <w:lang w:eastAsia="zh-CN"/>
        </w:rPr>
        <w:t>时</w:t>
      </w:r>
      <w:r>
        <w:rPr>
          <w:rFonts w:hint="eastAsia" w:asciiTheme="minorAscii"/>
          <w:color w:val="auto"/>
          <w:sz w:val="21"/>
          <w:szCs w:val="21"/>
          <w:highlight w:val="none"/>
          <w:lang w:val="en-US" w:eastAsia="zh-CN"/>
        </w:rPr>
        <w:t>30</w:t>
      </w:r>
      <w:r>
        <w:rPr>
          <w:rFonts w:hint="eastAsia" w:asciiTheme="minorAscii"/>
          <w:color w:val="auto"/>
          <w:sz w:val="21"/>
          <w:szCs w:val="21"/>
          <w:highlight w:val="none"/>
          <w:lang w:eastAsia="zh-CN"/>
        </w:rPr>
        <w:t>分]（北京时间）</w:t>
      </w:r>
    </w:p>
    <w:p w14:paraId="0956CB4B">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2.投标文件递交地点（开标地点）：[崇川区崇川路58号南通产业技术研究院9号楼1楼西侧大厅签到处]</w:t>
      </w:r>
    </w:p>
    <w:p w14:paraId="29158B71">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3.递交要求：投标文件需密封递交，正本1份、副本1份，同时提交电子版投标文件（U盘存储，1份），逾期送达、未密封或未按规定提交电子版文件的，招标人将予以拒收。</w:t>
      </w:r>
    </w:p>
    <w:p w14:paraId="60A8C66F">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4.开标方式：公开开标，投标人授权代表需携带本人身份证原件出席开标会议，否则视为默认开标结果。</w:t>
      </w:r>
    </w:p>
    <w:p w14:paraId="750632A5">
      <w:pPr>
        <w:spacing w:line="360" w:lineRule="auto"/>
        <w:rPr>
          <w:b/>
          <w:color w:val="auto"/>
          <w:sz w:val="28"/>
          <w:highlight w:val="none"/>
          <w:lang w:eastAsia="zh-CN"/>
        </w:rPr>
      </w:pPr>
      <w:r>
        <w:rPr>
          <w:rFonts w:hint="eastAsia"/>
          <w:b/>
          <w:color w:val="auto"/>
          <w:sz w:val="28"/>
          <w:highlight w:val="none"/>
          <w:lang w:eastAsia="zh-CN"/>
        </w:rPr>
        <w:t>六、联系方式</w:t>
      </w:r>
    </w:p>
    <w:p w14:paraId="33D1BE37">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1.采购人：崇川区农业农村和水利局</w:t>
      </w:r>
    </w:p>
    <w:p w14:paraId="0CCD2C75">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val="en-US" w:eastAsia="zh-CN"/>
        </w:rPr>
      </w:pPr>
      <w:r>
        <w:rPr>
          <w:rFonts w:hint="eastAsia" w:asciiTheme="minorAscii"/>
          <w:color w:val="auto"/>
          <w:sz w:val="21"/>
          <w:szCs w:val="21"/>
          <w:highlight w:val="none"/>
          <w:lang w:eastAsia="zh-CN"/>
        </w:rPr>
        <w:t>地址：</w:t>
      </w:r>
      <w:r>
        <w:rPr>
          <w:rFonts w:hint="eastAsia" w:asciiTheme="minorAscii"/>
          <w:color w:val="auto"/>
          <w:sz w:val="21"/>
          <w:szCs w:val="21"/>
          <w:highlight w:val="none"/>
          <w:lang w:val="en-US" w:eastAsia="zh-CN"/>
        </w:rPr>
        <w:t>南通市城港路58号</w:t>
      </w:r>
    </w:p>
    <w:p w14:paraId="652A2D51">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val="en-US" w:eastAsia="zh-CN"/>
        </w:rPr>
      </w:pPr>
      <w:r>
        <w:rPr>
          <w:rFonts w:hint="eastAsia" w:asciiTheme="minorAscii"/>
          <w:color w:val="auto"/>
          <w:sz w:val="21"/>
          <w:szCs w:val="21"/>
          <w:highlight w:val="none"/>
          <w:lang w:eastAsia="zh-CN"/>
        </w:rPr>
        <w:t>联系人：</w:t>
      </w:r>
      <w:r>
        <w:rPr>
          <w:rFonts w:hint="eastAsia" w:asciiTheme="minorAscii"/>
          <w:color w:val="auto"/>
          <w:sz w:val="21"/>
          <w:szCs w:val="21"/>
          <w:highlight w:val="none"/>
          <w:lang w:val="en-US" w:eastAsia="zh-CN"/>
        </w:rPr>
        <w:t>高新炜</w:t>
      </w:r>
    </w:p>
    <w:p w14:paraId="5172010B">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default" w:asciiTheme="minorAscii"/>
          <w:color w:val="auto"/>
          <w:sz w:val="21"/>
          <w:szCs w:val="21"/>
          <w:highlight w:val="none"/>
          <w:lang w:val="en-US" w:eastAsia="zh-CN"/>
        </w:rPr>
      </w:pPr>
      <w:r>
        <w:rPr>
          <w:rFonts w:hint="eastAsia" w:asciiTheme="minorAscii"/>
          <w:color w:val="auto"/>
          <w:sz w:val="21"/>
          <w:szCs w:val="21"/>
          <w:highlight w:val="none"/>
          <w:lang w:eastAsia="zh-CN"/>
        </w:rPr>
        <w:t>联系电话：</w:t>
      </w:r>
      <w:r>
        <w:rPr>
          <w:rFonts w:hint="eastAsia" w:asciiTheme="minorAscii"/>
          <w:color w:val="auto"/>
          <w:sz w:val="21"/>
          <w:szCs w:val="21"/>
          <w:highlight w:val="none"/>
          <w:lang w:val="en-US" w:eastAsia="zh-CN"/>
        </w:rPr>
        <w:t>0513-85608005</w:t>
      </w:r>
    </w:p>
    <w:p w14:paraId="50837F14">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2.招标代理机构：江苏中润工程建设咨询有限公司</w:t>
      </w:r>
    </w:p>
    <w:p w14:paraId="1CFC72CD">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地址：崇川区崇川路58号</w:t>
      </w:r>
    </w:p>
    <w:p w14:paraId="34F88F81">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联系人：肖俊菁</w:t>
      </w:r>
    </w:p>
    <w:p w14:paraId="35AF160D">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eastAsia="zh-CN"/>
        </w:rPr>
        <w:t>联系电话：18106299008</w:t>
      </w:r>
    </w:p>
    <w:p w14:paraId="17E4B847">
      <w:pPr>
        <w:spacing w:line="360" w:lineRule="auto"/>
        <w:rPr>
          <w:color w:val="auto"/>
          <w:highlight w:val="none"/>
          <w:lang w:eastAsia="zh-CN"/>
        </w:rPr>
      </w:pPr>
    </w:p>
    <w:p w14:paraId="4E4A4235">
      <w:pPr>
        <w:spacing w:after="200" w:line="276" w:lineRule="auto"/>
        <w:jc w:val="left"/>
        <w:rPr>
          <w:color w:val="auto"/>
          <w:highlight w:val="none"/>
          <w:lang w:eastAsia="zh-CN"/>
        </w:rPr>
      </w:pPr>
      <w:r>
        <w:rPr>
          <w:color w:val="auto"/>
          <w:highlight w:val="none"/>
          <w:lang w:eastAsia="zh-CN"/>
        </w:rPr>
        <w:br w:type="page"/>
      </w:r>
    </w:p>
    <w:p w14:paraId="2AC7C044">
      <w:pPr>
        <w:spacing w:line="360" w:lineRule="auto"/>
        <w:jc w:val="center"/>
        <w:outlineLvl w:val="0"/>
        <w:rPr>
          <w:rFonts w:hint="eastAsia"/>
          <w:b/>
          <w:color w:val="auto"/>
          <w:sz w:val="36"/>
          <w:szCs w:val="36"/>
          <w:highlight w:val="none"/>
          <w:lang w:eastAsia="zh-CN"/>
        </w:rPr>
      </w:pPr>
      <w:r>
        <w:rPr>
          <w:rFonts w:hint="eastAsia"/>
          <w:b/>
          <w:color w:val="auto"/>
          <w:sz w:val="36"/>
          <w:szCs w:val="36"/>
          <w:highlight w:val="none"/>
          <w:lang w:eastAsia="zh-CN"/>
        </w:rPr>
        <w:t>第二部分 投标人须知</w:t>
      </w:r>
    </w:p>
    <w:p w14:paraId="4E03199E">
      <w:pPr>
        <w:spacing w:line="360" w:lineRule="auto"/>
        <w:rPr>
          <w:rFonts w:hint="eastAsia"/>
          <w:b/>
          <w:color w:val="auto"/>
          <w:sz w:val="28"/>
          <w:highlight w:val="none"/>
          <w:lang w:eastAsia="zh-CN"/>
        </w:rPr>
      </w:pPr>
      <w:r>
        <w:rPr>
          <w:rFonts w:hint="eastAsia"/>
          <w:b/>
          <w:color w:val="auto"/>
          <w:sz w:val="28"/>
          <w:highlight w:val="none"/>
          <w:lang w:eastAsia="zh-CN"/>
        </w:rPr>
        <w:t>一、总则</w:t>
      </w:r>
    </w:p>
    <w:p w14:paraId="55EF4D21">
      <w:pPr>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lang w:eastAsia="zh-CN"/>
        </w:rPr>
      </w:pPr>
      <w:r>
        <w:rPr>
          <w:rFonts w:hint="eastAsia"/>
          <w:color w:val="auto"/>
          <w:highlight w:val="none"/>
          <w:lang w:eastAsia="zh-CN"/>
        </w:rPr>
        <w:t>1.适用范围：本招标文件仅适用于本次投标邀请中所描述的项目。</w:t>
      </w:r>
    </w:p>
    <w:p w14:paraId="3B80F9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2.定义：</w:t>
      </w:r>
    </w:p>
    <w:p w14:paraId="15597914">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（1）招标人：[崇川区农业农村和水利局]</w:t>
      </w:r>
    </w:p>
    <w:p w14:paraId="46FF3574">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（2）招标代理机构：[江苏中润工程建设咨询有限公司]</w:t>
      </w:r>
    </w:p>
    <w:p w14:paraId="5A3EDA14">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（3）投标人：响应招标、参加投标竞争的法人或其他组织。</w:t>
      </w:r>
    </w:p>
    <w:p w14:paraId="2DECEDE9">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val="en-US" w:eastAsia="zh-CN"/>
        </w:rPr>
      </w:pPr>
      <w:r>
        <w:rPr>
          <w:rFonts w:hint="eastAsia"/>
          <w:color w:val="auto"/>
          <w:highlight w:val="none"/>
          <w:lang w:eastAsia="zh-CN"/>
        </w:rPr>
        <w:t>（4）中标人：经评标委员会评审推荐，并经公示无异议后确定的承接项目的投标</w:t>
      </w:r>
      <w:r>
        <w:rPr>
          <w:rFonts w:hint="eastAsia"/>
          <w:color w:val="auto"/>
          <w:highlight w:val="none"/>
          <w:lang w:val="en-US" w:eastAsia="zh-CN"/>
        </w:rPr>
        <w:t>人。</w:t>
      </w:r>
    </w:p>
    <w:p w14:paraId="663B96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3.投标费用：</w:t>
      </w:r>
    </w:p>
    <w:p w14:paraId="72DC37A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3.1招标代理费：按中标价的0.9%计取，由中标人中标后支付给代理机构，投标人报价时需综合考虑（不单列）。</w:t>
      </w:r>
    </w:p>
    <w:p w14:paraId="23A0F31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代理费等费用定标后由中标人支付给代理机构。因中标人原因导致中标结果变更或取消中标资格等，代理费不予退还。</w:t>
      </w:r>
    </w:p>
    <w:p w14:paraId="18A0C96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3.2投标人应自行承担所有与准备和参加投标有关的费用，无论投标结果如何，招标人及招标代理机构均无义务和责任承担这些费用。</w:t>
      </w:r>
    </w:p>
    <w:p w14:paraId="562AB2BC">
      <w:pPr>
        <w:spacing w:line="360" w:lineRule="auto"/>
        <w:rPr>
          <w:rFonts w:hint="eastAsia"/>
          <w:b/>
          <w:color w:val="auto"/>
          <w:sz w:val="28"/>
          <w:highlight w:val="none"/>
          <w:lang w:eastAsia="zh-CN"/>
        </w:rPr>
      </w:pPr>
      <w:r>
        <w:rPr>
          <w:rFonts w:hint="eastAsia"/>
          <w:b/>
          <w:color w:val="auto"/>
          <w:sz w:val="28"/>
          <w:highlight w:val="none"/>
          <w:lang w:eastAsia="zh-CN"/>
        </w:rPr>
        <w:t>二、招标文件</w:t>
      </w:r>
    </w:p>
    <w:p w14:paraId="068A104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1.招标文件的组成：本招标文件包括投标邀请、投标人须知、采购项目需求、评审方法和评审标准、投标文件格式、预算及付款条款、合同主要条款、附件等。</w:t>
      </w:r>
    </w:p>
    <w:p w14:paraId="68144E3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2.招标文件的澄清：投标人对招标文件有疑问的，应在投标截止日前10日以书面形式向招标代理机构提出，招标代理机构将在收到疑问后3日内以书面形式答复所有已获取招标文件的投标人。</w:t>
      </w:r>
    </w:p>
    <w:p w14:paraId="762868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3.招标文件的修改：招标人有权在投标截止日前对招标文件进行修改，修改内容将以书面形式通知所有已获取招标文件的投标人，修改内容与招标文件具有同等效力。投标人应在收到修改通知后24小时内以书面形式确认收到，逾期未确认视为已知晓。</w:t>
      </w:r>
    </w:p>
    <w:p w14:paraId="794E9957">
      <w:pPr>
        <w:spacing w:line="360" w:lineRule="auto"/>
        <w:rPr>
          <w:rFonts w:hint="eastAsia"/>
          <w:b/>
          <w:color w:val="auto"/>
          <w:sz w:val="28"/>
          <w:highlight w:val="none"/>
          <w:lang w:eastAsia="zh-CN"/>
        </w:rPr>
      </w:pPr>
      <w:r>
        <w:rPr>
          <w:rFonts w:hint="eastAsia"/>
          <w:b/>
          <w:color w:val="auto"/>
          <w:sz w:val="28"/>
          <w:highlight w:val="none"/>
          <w:lang w:eastAsia="zh-CN"/>
        </w:rPr>
        <w:t>三、投标文件的编制</w:t>
      </w:r>
    </w:p>
    <w:p w14:paraId="4BCAE4B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投标文件应按照第五部分"投标文件格式”的要求编制，内容完整、字迹清晰、加盖公章，否则可能被视为无效投标。</w:t>
      </w:r>
    </w:p>
    <w:p w14:paraId="1727AF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1.投标文件的组成（分为纸质投标文件、电子投标文件）</w:t>
      </w:r>
    </w:p>
    <w:p w14:paraId="0510DFF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1.1纸质投标文件分“资格审查文件”“商务技术标”“价格标”三部分内容。每一部分内容均须提供“一份正本、</w:t>
      </w:r>
      <w:r>
        <w:rPr>
          <w:rFonts w:hint="eastAsia"/>
          <w:color w:val="auto"/>
          <w:highlight w:val="none"/>
          <w:lang w:val="en-US" w:eastAsia="zh-CN"/>
        </w:rPr>
        <w:t>一</w:t>
      </w:r>
      <w:r>
        <w:rPr>
          <w:rFonts w:hint="eastAsia"/>
          <w:color w:val="auto"/>
          <w:highlight w:val="none"/>
          <w:lang w:eastAsia="zh-CN"/>
        </w:rPr>
        <w:t>份副本”纸质投标文件，须分别单独牢固装订，不得相互混淆，文件自编目录并连续标注页码，不得将内容拆开。价格标不得出现于资格审查文件和商务技术标中。</w:t>
      </w:r>
    </w:p>
    <w:p w14:paraId="06611EA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1.1.1纸质投标文件分三个密封袋（箱）提交。其中：</w:t>
      </w:r>
    </w:p>
    <w:p w14:paraId="3632754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val="en-US" w:eastAsia="zh-CN"/>
        </w:rPr>
        <w:t>①</w:t>
      </w:r>
      <w:r>
        <w:rPr>
          <w:rFonts w:hint="eastAsia"/>
          <w:color w:val="auto"/>
          <w:highlight w:val="none"/>
          <w:lang w:eastAsia="zh-CN"/>
        </w:rPr>
        <w:t>资格审查文件的正、副本纸质投标文件密封在一个单独的密封袋内；</w:t>
      </w:r>
    </w:p>
    <w:p w14:paraId="2CA69D6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val="en-US" w:eastAsia="zh-CN"/>
        </w:rPr>
        <w:t>②</w:t>
      </w:r>
      <w:r>
        <w:rPr>
          <w:rFonts w:hint="eastAsia"/>
          <w:color w:val="auto"/>
          <w:highlight w:val="none"/>
          <w:lang w:eastAsia="zh-CN"/>
        </w:rPr>
        <w:t>商务技术标的正、副本纸质投标文件及图纸类（如需提供图纸等其他资料的话）等密封在一个单独的密封袋或密封箱内（如有A3大小的图纸类，可单独密封）；</w:t>
      </w:r>
    </w:p>
    <w:p w14:paraId="1A221B3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val="en-US" w:eastAsia="zh-CN"/>
        </w:rPr>
        <w:t>③</w:t>
      </w:r>
      <w:r>
        <w:rPr>
          <w:rFonts w:hint="eastAsia"/>
          <w:color w:val="auto"/>
          <w:highlight w:val="none"/>
          <w:lang w:eastAsia="zh-CN"/>
        </w:rPr>
        <w:t>价格标的正、副本纸质投标文件密封在一个单独的密封袋内。</w:t>
      </w:r>
    </w:p>
    <w:p w14:paraId="6852E4B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1.1.2纸质投标文件须采用A4纸（图纸等除外），正、副本须打印并由法定代表人或授权人签字并加盖单位印章。文件内容中不得行间插字、涂改、增删，如修补错漏处，须由投标文件签署人签字并加盖公章。</w:t>
      </w:r>
    </w:p>
    <w:p w14:paraId="1AD9E4A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1.2电子投标文件（一份，单独密封提交）</w:t>
      </w:r>
    </w:p>
    <w:p w14:paraId="328B5A0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本项目要求提供电子投标文件一份，电子投标文件的内容为“资格审查文件”“商务技术标”“价格标”打印盖章（或电子签章）后的投标文件的扫描件（“资格审查文件”“商务技术标”“价格标”需分别逐页连续扫描为三个独立的PDF文件），可以采取U盘方式提交，需单独密封提交。</w:t>
      </w:r>
    </w:p>
    <w:p w14:paraId="1A2E247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电子投标文件内容应与提交的纸质投标文件内容一致。否则，由此产生的后果投标人自负。</w:t>
      </w:r>
    </w:p>
    <w:p w14:paraId="60D7CB2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1.3投标文件密封后应标明投标文件项目名称、项目编号、边缝处加盖单位骑缝章或骑缝签字等关键信息，密封完好以不泄露投标文件内容为主要判断依据。</w:t>
      </w:r>
    </w:p>
    <w:p w14:paraId="2A1D20F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1.4递交时间：投标人须在规定的投标文件接收截止时间前送达指定地点。投标人提交投标文件，即视为已响应参加采购活动。</w:t>
      </w:r>
    </w:p>
    <w:p w14:paraId="3DD76A1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2.投标报价：报价应包含完成本项目所有服务内容的全部成本及税费，采用人民币计价，报价一经提交不得更改（除招标文件允许的调整外）</w:t>
      </w:r>
    </w:p>
    <w:p w14:paraId="72B674A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3.投标有效期：投标有效期为投标截止之日起90天，有效期内投标人不得撤销投标文件或修改实质性内容。</w:t>
      </w:r>
    </w:p>
    <w:p w14:paraId="7A6A70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4.投标保证金</w:t>
      </w:r>
    </w:p>
    <w:p w14:paraId="5BEF4467">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（1）金额：人民币1万元整；</w:t>
      </w:r>
    </w:p>
    <w:p w14:paraId="24AD5E3E">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（2）缴纳方式：投标截止日前以银行转账方式缴纳至指定账户，逾期未缴纳视为无效投标；</w:t>
      </w:r>
    </w:p>
    <w:p w14:paraId="2A2F1C7D">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（3）汇款账户信息：</w:t>
      </w:r>
    </w:p>
    <w:p w14:paraId="552D9705">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单位名称：江苏中润工程建设咨询有限公司南通分公司</w:t>
      </w:r>
    </w:p>
    <w:p w14:paraId="627DD63F">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税号：91320602330903747J</w:t>
      </w:r>
    </w:p>
    <w:p w14:paraId="493715B6">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地址：南通市崇川区青年中路309号</w:t>
      </w:r>
    </w:p>
    <w:p w14:paraId="65902B6C">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电话：0513-85594381</w:t>
      </w:r>
    </w:p>
    <w:p w14:paraId="0586728E">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开户银行：中国农业银行南通分行</w:t>
      </w:r>
    </w:p>
    <w:p w14:paraId="7569D2EE">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账号：10707001040224564</w:t>
      </w:r>
    </w:p>
    <w:p w14:paraId="498FC9F5">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4）投标保证金截止交纳期限：与提交投标文件截止时间一致（北京时间，投标保证金由投标人账户汇出的以银行到账时间为准），投标人在递交投标文件同时将投标保证金缴纳凭证递交给招标代理查验。因投标人未缴纳投标保证金或未按照招标公告要求缴纳投标保证金产生的投标保证金无效而导致的一切后果由投标人自行承担。</w:t>
      </w:r>
    </w:p>
    <w:p w14:paraId="5A65E26A">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（5）中标通知书发出后5个工作日内，招标代理机构向未中标人退还其投标保证金（无息）；招标人与中标人签订合同后5个工作日内，招标代理机构向中标人退还其投标保证金（无息）。</w:t>
      </w:r>
    </w:p>
    <w:p w14:paraId="188D4719">
      <w:pPr>
        <w:spacing w:line="360" w:lineRule="auto"/>
        <w:rPr>
          <w:rFonts w:hint="eastAsia"/>
          <w:b/>
          <w:color w:val="auto"/>
          <w:sz w:val="28"/>
          <w:highlight w:val="none"/>
          <w:lang w:eastAsia="zh-CN"/>
        </w:rPr>
      </w:pPr>
      <w:r>
        <w:rPr>
          <w:rFonts w:hint="eastAsia"/>
          <w:b/>
          <w:color w:val="auto"/>
          <w:sz w:val="28"/>
          <w:highlight w:val="none"/>
          <w:lang w:eastAsia="zh-CN"/>
        </w:rPr>
        <w:t>四、开标与评标</w:t>
      </w:r>
    </w:p>
    <w:p w14:paraId="2321CF3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1.开标：招标人将在投标截止时间公开开标，宣读投标人名称、投标报价等关键信息，并由投标人授权代表签字确认。</w:t>
      </w:r>
    </w:p>
    <w:p w14:paraId="5F9E1E9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2.评标委员会：评标委员会由招标人代表和相关领域专家组成，人数为5人及以上单数，专家成员从政府采购专家库中随机抽取。</w:t>
      </w:r>
    </w:p>
    <w:p w14:paraId="2FC8806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3.评标原则：遵循公平、公正、科学、择优的原则，严格按照招标文件规定的评审标准进行评审。</w:t>
      </w:r>
    </w:p>
    <w:p w14:paraId="6F6818B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4.评审流程：先进行资格性审查和符合性审查，通过审查的投标文件进入详细评审，根据详细评审得分由高到低推荐中标候选人。若出现得分相同的情况，按以下顺序优先确定：（1）投标报价低者；（2）技术部分得分高者；（3）商务部分业绩得分高者。</w:t>
      </w:r>
    </w:p>
    <w:p w14:paraId="3D21688C">
      <w:pPr>
        <w:spacing w:line="360" w:lineRule="auto"/>
        <w:rPr>
          <w:rFonts w:hint="default"/>
          <w:b/>
          <w:color w:val="auto"/>
          <w:sz w:val="28"/>
          <w:highlight w:val="none"/>
          <w:lang w:val="en-US" w:eastAsia="zh-CN"/>
        </w:rPr>
      </w:pPr>
      <w:r>
        <w:rPr>
          <w:rFonts w:hint="eastAsia"/>
          <w:b/>
          <w:color w:val="auto"/>
          <w:sz w:val="28"/>
          <w:highlight w:val="none"/>
          <w:lang w:val="en-US" w:eastAsia="zh-CN"/>
        </w:rPr>
        <w:t>五、异常低价审核</w:t>
      </w:r>
    </w:p>
    <w:p w14:paraId="7700BF3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根据财库〔2026〕2号文件,政府采购评审中出现下列情形之一的，评审委员会应当启动异常低价投标（响应）审查程序：</w:t>
      </w:r>
    </w:p>
    <w:p w14:paraId="0A5703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1.1投标（响应）报价低于全部通过符合性审查供应商投标（响应）报价平均值50%的，即投标（响应）报价&lt;全部通过符合性审查供应商投标（响应）报价平均值×50%； </w:t>
      </w:r>
    </w:p>
    <w:p w14:paraId="69D0C52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1.2投标（响应）报价低于通过符合性审查的次低报价供应商投标（响应）报价50%的，即投标（响应）报价&lt;通过符合性审查的次低报价供应商投标（响应）报价×50%； </w:t>
      </w:r>
    </w:p>
    <w:p w14:paraId="4297DF0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1.3投标（响应）报价低于采购项目最高限价50%的，即投标（响应）报价&lt;采购项目最高限价×50%； </w:t>
      </w:r>
    </w:p>
    <w:p w14:paraId="30FAFC3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1.4评审委员会基于专业判断，认为供应商报价过低，有可能影响产品质量或者不能诚信履约的其他情形。 </w:t>
      </w:r>
    </w:p>
    <w:p w14:paraId="67BDF16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评审委员会启动异常低价投标(响应)审查后，属于上述情形的，应当要求相关供应商在评审现场30分钟内对投标（响应）价格作出解释，提供项目具体成本测算等与报价合理性相关的书面说明及必要的证明材料，包括但不限于原材料成本、人工成本、制造费用等。其中，属于第1.3项情形，投标人已随投标（响应）文件一并提交相关书面说明及必要的证明材料的，在评审现场可不再重复提交。</w:t>
      </w:r>
    </w:p>
    <w:p w14:paraId="02ADC12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3.评审委员会依据专业经验，参考同类项目中标（成交）价格、类似产品</w:t>
      </w:r>
      <w:r>
        <w:rPr>
          <w:rFonts w:hint="eastAsia" w:ascii="宋体" w:hAnsi="宋体" w:cs="宋体"/>
          <w:sz w:val="24"/>
          <w:lang w:eastAsia="zh-CN"/>
        </w:rPr>
        <w:t>（</w:t>
      </w:r>
      <w:r>
        <w:rPr>
          <w:rFonts w:hint="eastAsia" w:ascii="宋体" w:hAnsi="宋体" w:cs="宋体"/>
          <w:sz w:val="24"/>
          <w:lang w:val="en-US" w:eastAsia="zh-CN"/>
        </w:rPr>
        <w:t>服务</w:t>
      </w:r>
      <w:r>
        <w:rPr>
          <w:rFonts w:hint="eastAsia" w:ascii="宋体" w:hAnsi="宋体" w:cs="宋体"/>
          <w:sz w:val="24"/>
          <w:lang w:eastAsia="zh-CN"/>
        </w:rPr>
        <w:t>）</w:t>
      </w:r>
      <w:r>
        <w:rPr>
          <w:rFonts w:hint="eastAsia" w:ascii="宋体" w:hAnsi="宋体" w:cs="宋体"/>
          <w:sz w:val="24"/>
        </w:rPr>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5045D2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采购人、采购代理机构应当为评审小组在评审现场及时获取同类项目中标（中标）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2FAD7821">
      <w:pPr>
        <w:adjustRightInd w:val="0"/>
        <w:snapToGrid w:val="0"/>
        <w:spacing w:line="360" w:lineRule="auto"/>
        <w:ind w:firstLine="480" w:firstLineChars="200"/>
        <w:rPr>
          <w:rFonts w:hint="eastAsia" w:ascii="宋体" w:hAnsi="宋体" w:cs="宋体"/>
          <w:b/>
          <w:bCs/>
          <w:sz w:val="24"/>
        </w:rPr>
      </w:pPr>
      <w:r>
        <w:rPr>
          <w:rFonts w:hint="eastAsia" w:ascii="宋体" w:hAnsi="宋体" w:cs="宋体"/>
          <w:sz w:val="24"/>
        </w:rPr>
        <w:t>5.异常低价投标审查的启动原因、审查意见和审查结果应当在评审报告中记录，并随供应商提供的相关书面说明及证明材料，以及评审小组有关互联网浏览、查询历史一并归档。</w:t>
      </w:r>
    </w:p>
    <w:p w14:paraId="6A089914">
      <w:pPr>
        <w:spacing w:line="360" w:lineRule="auto"/>
        <w:rPr>
          <w:rFonts w:hint="eastAsia"/>
          <w:b/>
          <w:color w:val="auto"/>
          <w:sz w:val="28"/>
          <w:highlight w:val="none"/>
          <w:lang w:eastAsia="zh-CN"/>
        </w:rPr>
      </w:pPr>
      <w:r>
        <w:rPr>
          <w:rFonts w:hint="eastAsia"/>
          <w:b/>
          <w:color w:val="auto"/>
          <w:sz w:val="28"/>
          <w:highlight w:val="none"/>
          <w:lang w:val="en-US" w:eastAsia="zh-CN"/>
        </w:rPr>
        <w:t>六</w:t>
      </w:r>
      <w:r>
        <w:rPr>
          <w:rFonts w:hint="eastAsia"/>
          <w:b/>
          <w:color w:val="auto"/>
          <w:sz w:val="28"/>
          <w:highlight w:val="none"/>
          <w:lang w:eastAsia="zh-CN"/>
        </w:rPr>
        <w:t>、异议与投诉</w:t>
      </w:r>
    </w:p>
    <w:p w14:paraId="4FA4D88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1.异议：投标人对开标过程或评标结果有异议的，应在中标候选人公示期内以书面形式向招标代理机构提出，异议材料需加盖公章并说明具体理由。</w:t>
      </w:r>
    </w:p>
    <w:p w14:paraId="0CF4298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2.投诉：对异议处理结果不满意或招标代理机构未在规定时间内处理的，投标人可向监督部门提起投诉，投诉需符合《政府采购质疑和投诉办法》的相关规定。</w:t>
      </w:r>
    </w:p>
    <w:p w14:paraId="68928D92">
      <w:pPr>
        <w:spacing w:line="360" w:lineRule="auto"/>
        <w:rPr>
          <w:rFonts w:hint="eastAsia"/>
          <w:b/>
          <w:color w:val="auto"/>
          <w:sz w:val="28"/>
          <w:highlight w:val="none"/>
          <w:lang w:eastAsia="zh-CN"/>
        </w:rPr>
      </w:pPr>
      <w:r>
        <w:rPr>
          <w:rFonts w:hint="eastAsia"/>
          <w:b/>
          <w:color w:val="auto"/>
          <w:sz w:val="28"/>
          <w:highlight w:val="none"/>
          <w:lang w:val="en-US" w:eastAsia="zh-CN"/>
        </w:rPr>
        <w:t>七</w:t>
      </w:r>
      <w:r>
        <w:rPr>
          <w:rFonts w:hint="eastAsia"/>
          <w:b/>
          <w:color w:val="auto"/>
          <w:sz w:val="28"/>
          <w:highlight w:val="none"/>
          <w:lang w:eastAsia="zh-CN"/>
        </w:rPr>
        <w:t>、合同授予</w:t>
      </w:r>
    </w:p>
    <w:p w14:paraId="6B8C5C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1.中标公示：中标候选人将在[</w:t>
      </w:r>
      <w:r>
        <w:rPr>
          <w:rFonts w:hint="eastAsia"/>
          <w:color w:val="auto"/>
          <w:highlight w:val="none"/>
          <w:lang w:val="en-US" w:eastAsia="zh-CN"/>
        </w:rPr>
        <w:t>崇川区人民政府网站</w:t>
      </w:r>
      <w:r>
        <w:rPr>
          <w:rFonts w:hint="eastAsia"/>
          <w:color w:val="auto"/>
          <w:highlight w:val="none"/>
          <w:lang w:eastAsia="zh-CN"/>
        </w:rPr>
        <w:t>]公示，公示期为</w:t>
      </w:r>
      <w:r>
        <w:rPr>
          <w:rFonts w:hint="eastAsia"/>
          <w:color w:val="auto"/>
          <w:highlight w:val="none"/>
          <w:lang w:val="en-US" w:eastAsia="zh-CN"/>
        </w:rPr>
        <w:t>1</w:t>
      </w:r>
      <w:r>
        <w:rPr>
          <w:rFonts w:hint="eastAsia"/>
          <w:color w:val="auto"/>
          <w:highlight w:val="none"/>
          <w:lang w:eastAsia="zh-CN"/>
        </w:rPr>
        <w:t>个工作日。</w:t>
      </w:r>
    </w:p>
    <w:p w14:paraId="65F8777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2.中标通知：</w:t>
      </w:r>
      <w:r>
        <w:rPr>
          <w:rFonts w:hint="eastAsia"/>
          <w:color w:val="auto"/>
          <w:highlight w:val="none"/>
          <w:lang w:val="en-US" w:eastAsia="zh-CN"/>
        </w:rPr>
        <w:t>结果</w:t>
      </w:r>
      <w:r>
        <w:rPr>
          <w:rFonts w:hint="eastAsia"/>
          <w:color w:val="auto"/>
          <w:highlight w:val="none"/>
          <w:lang w:eastAsia="zh-CN"/>
        </w:rPr>
        <w:t>公示</w:t>
      </w:r>
      <w:r>
        <w:rPr>
          <w:rFonts w:hint="eastAsia"/>
          <w:color w:val="auto"/>
          <w:highlight w:val="none"/>
          <w:lang w:val="en-US" w:eastAsia="zh-CN"/>
        </w:rPr>
        <w:t>的同时</w:t>
      </w:r>
      <w:r>
        <w:rPr>
          <w:rFonts w:hint="eastAsia"/>
          <w:color w:val="auto"/>
          <w:highlight w:val="none"/>
          <w:lang w:eastAsia="zh-CN"/>
        </w:rPr>
        <w:t>，招标人将向中标人发出中标通知书，中标通知书是合同的组成部分。</w:t>
      </w:r>
    </w:p>
    <w:p w14:paraId="1B1A7FC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3.合同签订：中标人应在收到中标通知书后30日内与招标人签订合同，否则视为放弃中标资格，投标保证金不予退还。</w:t>
      </w:r>
    </w:p>
    <w:p w14:paraId="0292E823">
      <w:pPr>
        <w:spacing w:after="200" w:line="276" w:lineRule="auto"/>
        <w:jc w:val="left"/>
        <w:rPr>
          <w:b/>
          <w:color w:val="auto"/>
          <w:sz w:val="35"/>
          <w:highlight w:val="none"/>
          <w:lang w:eastAsia="zh-CN"/>
        </w:rPr>
      </w:pPr>
      <w:r>
        <w:rPr>
          <w:b/>
          <w:color w:val="auto"/>
          <w:sz w:val="35"/>
          <w:highlight w:val="none"/>
          <w:lang w:eastAsia="zh-CN"/>
        </w:rPr>
        <w:br w:type="page"/>
      </w:r>
    </w:p>
    <w:p w14:paraId="789F24A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b/>
          <w:color w:val="auto"/>
          <w:sz w:val="36"/>
          <w:szCs w:val="36"/>
          <w:highlight w:val="none"/>
          <w:lang w:eastAsia="zh-CN"/>
        </w:rPr>
      </w:pPr>
      <w:r>
        <w:rPr>
          <w:rFonts w:hint="eastAsia"/>
          <w:b/>
          <w:color w:val="auto"/>
          <w:sz w:val="36"/>
          <w:szCs w:val="36"/>
          <w:highlight w:val="none"/>
          <w:lang w:eastAsia="zh-CN"/>
        </w:rPr>
        <w:t>第三部分 采购项目需求</w:t>
      </w:r>
    </w:p>
    <w:p w14:paraId="318C9DA3">
      <w:pPr>
        <w:spacing w:line="360" w:lineRule="auto"/>
        <w:rPr>
          <w:rFonts w:hint="eastAsia"/>
          <w:b/>
          <w:color w:val="auto"/>
          <w:sz w:val="28"/>
          <w:highlight w:val="none"/>
          <w:lang w:eastAsia="zh-CN"/>
        </w:rPr>
      </w:pPr>
      <w:r>
        <w:rPr>
          <w:rFonts w:hint="eastAsia"/>
          <w:b/>
          <w:color w:val="auto"/>
          <w:sz w:val="28"/>
          <w:highlight w:val="none"/>
          <w:lang w:eastAsia="zh-CN"/>
        </w:rPr>
        <w:t>一、项目背景</w:t>
      </w:r>
    </w:p>
    <w:p w14:paraId="3A64D377">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崇川区作为南通市主城区，城乡融合发展特征显著，现有耕地面积</w:t>
      </w:r>
      <w:r>
        <w:rPr>
          <w:rFonts w:hint="eastAsia"/>
          <w:color w:val="auto"/>
          <w:highlight w:val="none"/>
          <w:lang w:val="en-US" w:eastAsia="zh-CN"/>
        </w:rPr>
        <w:t>约4.5</w:t>
      </w:r>
      <w:r>
        <w:rPr>
          <w:rFonts w:hint="eastAsia"/>
          <w:color w:val="auto"/>
          <w:highlight w:val="none"/>
          <w:lang w:eastAsia="zh-CN"/>
        </w:rPr>
        <w:t>万亩，涉及承包农户</w:t>
      </w:r>
      <w:r>
        <w:rPr>
          <w:rFonts w:hint="eastAsia"/>
          <w:color w:val="auto"/>
          <w:highlight w:val="none"/>
          <w:lang w:val="en-US" w:eastAsia="zh-CN"/>
        </w:rPr>
        <w:t>约8700</w:t>
      </w:r>
      <w:r>
        <w:rPr>
          <w:rFonts w:hint="eastAsia"/>
          <w:color w:val="auto"/>
          <w:highlight w:val="none"/>
          <w:lang w:eastAsia="zh-CN"/>
        </w:rPr>
        <w:t>户，分布于</w:t>
      </w:r>
      <w:r>
        <w:rPr>
          <w:rFonts w:hint="eastAsia"/>
          <w:color w:val="auto"/>
          <w:highlight w:val="none"/>
          <w:lang w:val="en-US" w:eastAsia="zh-CN"/>
        </w:rPr>
        <w:t>陈桥</w:t>
      </w:r>
      <w:r>
        <w:rPr>
          <w:rFonts w:hint="eastAsia"/>
          <w:color w:val="auto"/>
          <w:highlight w:val="none"/>
          <w:lang w:eastAsia="zh-CN"/>
        </w:rPr>
        <w:t>街道、</w:t>
      </w:r>
      <w:r>
        <w:rPr>
          <w:rFonts w:hint="eastAsia"/>
          <w:color w:val="auto"/>
          <w:highlight w:val="none"/>
          <w:lang w:val="en-US" w:eastAsia="zh-CN"/>
        </w:rPr>
        <w:t>幸福街道、天生港镇街道、秦灶街道</w:t>
      </w:r>
      <w:r>
        <w:rPr>
          <w:rFonts w:hint="eastAsia"/>
          <w:color w:val="auto"/>
          <w:highlight w:val="none"/>
          <w:lang w:eastAsia="zh-CN"/>
        </w:rPr>
        <w:t>等涉农区域。因区域内无二轮重新确权原始数据，前期基础资料碎片化、地块边界不清晰、农户信息未系统归档等问题突出，</w:t>
      </w:r>
      <w:r>
        <w:rPr>
          <w:rFonts w:hint="eastAsia"/>
          <w:color w:val="auto"/>
          <w:highlight w:val="none"/>
          <w:lang w:val="en-US" w:eastAsia="zh-CN"/>
        </w:rPr>
        <w:t>一定程度上影响了</w:t>
      </w:r>
      <w:r>
        <w:rPr>
          <w:rFonts w:hint="eastAsia"/>
          <w:color w:val="auto"/>
          <w:highlight w:val="none"/>
          <w:lang w:eastAsia="zh-CN"/>
        </w:rPr>
        <w:t>延包工作推进。本次工作需在"从零起步"完善基础数据的前提下，完成延包全流程技术服务，为全区</w:t>
      </w:r>
      <w:r>
        <w:rPr>
          <w:rFonts w:hint="eastAsia"/>
          <w:color w:val="auto"/>
          <w:highlight w:val="none"/>
          <w:lang w:val="en-US" w:eastAsia="zh-CN"/>
        </w:rPr>
        <w:t>完成国家整体</w:t>
      </w:r>
      <w:r>
        <w:rPr>
          <w:rFonts w:hint="eastAsia"/>
          <w:color w:val="auto"/>
          <w:highlight w:val="none"/>
          <w:lang w:eastAsia="zh-CN"/>
        </w:rPr>
        <w:t>延包</w:t>
      </w:r>
      <w:r>
        <w:rPr>
          <w:rFonts w:hint="eastAsia"/>
          <w:color w:val="auto"/>
          <w:highlight w:val="none"/>
          <w:lang w:val="en-US" w:eastAsia="zh-CN"/>
        </w:rPr>
        <w:t>工作提供保障</w:t>
      </w:r>
      <w:r>
        <w:rPr>
          <w:rFonts w:hint="eastAsia"/>
          <w:color w:val="auto"/>
          <w:highlight w:val="none"/>
          <w:lang w:eastAsia="zh-CN"/>
        </w:rPr>
        <w:t>。</w:t>
      </w:r>
    </w:p>
    <w:p w14:paraId="34BF2830">
      <w:pPr>
        <w:spacing w:line="360" w:lineRule="auto"/>
        <w:rPr>
          <w:rFonts w:hint="eastAsia"/>
          <w:b/>
          <w:color w:val="auto"/>
          <w:sz w:val="28"/>
          <w:highlight w:val="none"/>
          <w:lang w:eastAsia="zh-CN"/>
        </w:rPr>
      </w:pPr>
      <w:r>
        <w:rPr>
          <w:rFonts w:hint="eastAsia"/>
          <w:b/>
          <w:color w:val="auto"/>
          <w:sz w:val="28"/>
          <w:highlight w:val="none"/>
          <w:lang w:eastAsia="zh-CN"/>
        </w:rPr>
        <w:t>二、总体目标</w:t>
      </w:r>
    </w:p>
    <w:p w14:paraId="555E43FC">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1.完成全域原始数据重建，形成完整、准确的农村土地承包基础数据库，实现"地、账、证、人”全面对应；</w:t>
      </w:r>
    </w:p>
    <w:p w14:paraId="4E3F18C7">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2.规范完成承包合同续签、变更等手续；</w:t>
      </w:r>
    </w:p>
    <w:p w14:paraId="62A626F2">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color w:val="auto"/>
          <w:highlight w:val="none"/>
          <w:lang w:val="en-US" w:eastAsia="zh-CN"/>
        </w:rPr>
      </w:pPr>
      <w:r>
        <w:rPr>
          <w:rFonts w:hint="eastAsia"/>
          <w:color w:val="auto"/>
          <w:highlight w:val="none"/>
          <w:lang w:val="en-US" w:eastAsia="zh-CN"/>
        </w:rPr>
        <w:t>3.根据国家、省、市档案管理及归档要求，完成全部文书、专业档案整理及数字化扫描加工工作，工作内容包括但不限于整理、排序、编页、组卷、著录、打印封皮、装订、装盒等；</w:t>
      </w:r>
    </w:p>
    <w:p w14:paraId="4FCB2D1C">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建立图档数据库，对“</w:t>
      </w:r>
      <w:r>
        <w:rPr>
          <w:rFonts w:hint="eastAsia"/>
          <w:color w:val="auto"/>
          <w:highlight w:val="none"/>
          <w:lang w:eastAsia="zh-CN"/>
        </w:rPr>
        <w:t>地、账、证、人</w:t>
      </w:r>
      <w:r>
        <w:rPr>
          <w:rFonts w:hint="eastAsia"/>
          <w:color w:val="auto"/>
          <w:highlight w:val="none"/>
          <w:lang w:val="en-US" w:eastAsia="zh-CN"/>
        </w:rPr>
        <w:t>”进行一张图展示，实现以图查地、以图查账、以图查证、以图查人，图档联动，实现图档信息一键查询打印、“</w:t>
      </w:r>
      <w:r>
        <w:rPr>
          <w:rFonts w:hint="eastAsia"/>
          <w:color w:val="auto"/>
          <w:highlight w:val="none"/>
          <w:lang w:eastAsia="zh-CN"/>
        </w:rPr>
        <w:t>地、账、证、人</w:t>
      </w:r>
      <w:r>
        <w:rPr>
          <w:rFonts w:hint="eastAsia"/>
          <w:color w:val="auto"/>
          <w:highlight w:val="none"/>
          <w:lang w:val="en-US" w:eastAsia="zh-CN"/>
        </w:rPr>
        <w:t>”统计分析及今后信息动态变更管理</w:t>
      </w:r>
      <w:r>
        <w:rPr>
          <w:rFonts w:hint="eastAsia"/>
          <w:color w:val="auto"/>
          <w:highlight w:val="none"/>
          <w:lang w:eastAsia="zh-CN"/>
        </w:rPr>
        <w:t>；</w:t>
      </w:r>
    </w:p>
    <w:p w14:paraId="3BDF06DE">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.妥善处置权属争议，保障农村社会稳定。</w:t>
      </w:r>
    </w:p>
    <w:p w14:paraId="1698AFB1">
      <w:pPr>
        <w:spacing w:line="360" w:lineRule="auto"/>
        <w:rPr>
          <w:rFonts w:hint="eastAsia"/>
          <w:b/>
          <w:color w:val="auto"/>
          <w:sz w:val="28"/>
          <w:highlight w:val="none"/>
          <w:lang w:eastAsia="zh-CN"/>
        </w:rPr>
      </w:pPr>
      <w:r>
        <w:rPr>
          <w:rFonts w:hint="eastAsia"/>
          <w:b/>
          <w:color w:val="auto"/>
          <w:sz w:val="28"/>
          <w:highlight w:val="none"/>
          <w:lang w:eastAsia="zh-CN"/>
        </w:rPr>
        <w:t>三、具体服务内容</w:t>
      </w:r>
    </w:p>
    <w:p w14:paraId="52BF7D8A">
      <w:pPr>
        <w:spacing w:line="360" w:lineRule="auto"/>
        <w:rPr>
          <w:b/>
          <w:color w:val="auto"/>
          <w:highlight w:val="none"/>
          <w:lang w:eastAsia="zh-CN"/>
        </w:rPr>
      </w:pPr>
      <w:r>
        <w:rPr>
          <w:rFonts w:hint="eastAsia"/>
          <w:b/>
          <w:color w:val="auto"/>
          <w:highlight w:val="none"/>
          <w:lang w:eastAsia="zh-CN"/>
        </w:rPr>
        <w:t>1.原始数据补充收集与重建</w:t>
      </w:r>
    </w:p>
    <w:p w14:paraId="480B80EA">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1.1历史资料溯源：收集农村土地承包历史台账、农户户籍原始证明、村级集体土地权属资料等，开展老村民访谈、邻里佐证等调查工作，梳理地块承包历史沿革；</w:t>
      </w:r>
    </w:p>
    <w:p w14:paraId="6510DA71">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1.2基础影像</w:t>
      </w:r>
      <w:r>
        <w:rPr>
          <w:rFonts w:hint="eastAsia"/>
          <w:color w:val="auto"/>
          <w:highlight w:val="none"/>
          <w:lang w:val="en-US" w:eastAsia="zh-CN"/>
        </w:rPr>
        <w:t>获取</w:t>
      </w:r>
      <w:r>
        <w:rPr>
          <w:rFonts w:hint="eastAsia"/>
          <w:color w:val="auto"/>
          <w:highlight w:val="none"/>
          <w:lang w:eastAsia="zh-CN"/>
        </w:rPr>
        <w:t>与处理：</w:t>
      </w:r>
      <w:r>
        <w:rPr>
          <w:rFonts w:hint="eastAsia"/>
          <w:color w:val="auto"/>
          <w:highlight w:val="none"/>
          <w:lang w:val="en-US" w:eastAsia="zh-CN"/>
        </w:rPr>
        <w:t>获取最新优于0.1m分辨率</w:t>
      </w:r>
      <w:r>
        <w:rPr>
          <w:rFonts w:hint="eastAsia"/>
          <w:color w:val="auto"/>
          <w:highlight w:val="none"/>
          <w:lang w:eastAsia="zh-CN"/>
        </w:rPr>
        <w:t>高精度影像图，结合第三次国土调查数据</w:t>
      </w:r>
      <w:r>
        <w:rPr>
          <w:rFonts w:hint="eastAsia"/>
          <w:color w:val="auto"/>
          <w:highlight w:val="none"/>
          <w:lang w:val="en-US" w:eastAsia="zh-CN"/>
        </w:rPr>
        <w:t>及变更调查数据</w:t>
      </w:r>
      <w:r>
        <w:rPr>
          <w:rFonts w:hint="eastAsia"/>
          <w:color w:val="auto"/>
          <w:highlight w:val="none"/>
          <w:lang w:eastAsia="zh-CN"/>
        </w:rPr>
        <w:t>，构建全域工作底图；</w:t>
      </w:r>
    </w:p>
    <w:p w14:paraId="0E70E687">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1.3原始数据标准化：将纸质资料数字化处理，录入基础数据库，完成数据分类、编码及校验，形成可复用的原始数据成果。</w:t>
      </w:r>
    </w:p>
    <w:p w14:paraId="773FE0F1">
      <w:pPr>
        <w:spacing w:line="360" w:lineRule="auto"/>
        <w:rPr>
          <w:b/>
          <w:color w:val="auto"/>
          <w:highlight w:val="none"/>
          <w:lang w:eastAsia="zh-CN"/>
        </w:rPr>
      </w:pPr>
      <w:r>
        <w:rPr>
          <w:rFonts w:hint="eastAsia"/>
          <w:b/>
          <w:color w:val="auto"/>
          <w:highlight w:val="none"/>
          <w:lang w:eastAsia="zh-CN"/>
        </w:rPr>
        <w:t>2.全域初始地籍调查</w:t>
      </w:r>
    </w:p>
    <w:p w14:paraId="3C6387F0">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2.1全量勘测：采用CGCS2000坐标系，通过GNSS定位、全站仪测量等技术，对全域</w:t>
      </w:r>
      <w:r>
        <w:rPr>
          <w:rFonts w:hint="eastAsia"/>
          <w:color w:val="auto"/>
          <w:highlight w:val="none"/>
          <w:lang w:val="en-US" w:eastAsia="zh-CN"/>
        </w:rPr>
        <w:t>8700</w:t>
      </w:r>
      <w:r>
        <w:rPr>
          <w:rFonts w:hint="eastAsia"/>
          <w:color w:val="auto"/>
          <w:highlight w:val="none"/>
          <w:lang w:eastAsia="zh-CN"/>
        </w:rPr>
        <w:t>户承包地块开展全量界址点测量、边界勘测及面积核算，确保界址清晰、面积准确；</w:t>
      </w:r>
    </w:p>
    <w:p w14:paraId="2410D681">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2.2多轮复核：结合高精度影像图、国土</w:t>
      </w:r>
      <w:r>
        <w:rPr>
          <w:rFonts w:hint="eastAsia"/>
          <w:color w:val="auto"/>
          <w:highlight w:val="none"/>
          <w:lang w:val="en-US" w:eastAsia="zh-CN"/>
        </w:rPr>
        <w:t>调查</w:t>
      </w:r>
      <w:r>
        <w:rPr>
          <w:rFonts w:hint="eastAsia"/>
          <w:color w:val="auto"/>
          <w:highlight w:val="none"/>
          <w:lang w:eastAsia="zh-CN"/>
        </w:rPr>
        <w:t>数据开展交叉验证，对存在争议的地块组织二次勘测复核，形成复核报告；</w:t>
      </w:r>
    </w:p>
    <w:p w14:paraId="42BF4210">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2.3成果绘制：按规范绘制地块分布图、宗地图，标注界址点坐标、地块面积、承包户信息等核心要素。</w:t>
      </w:r>
    </w:p>
    <w:p w14:paraId="18F74781">
      <w:pPr>
        <w:spacing w:line="360" w:lineRule="auto"/>
        <w:rPr>
          <w:b/>
          <w:color w:val="auto"/>
          <w:highlight w:val="none"/>
          <w:lang w:eastAsia="zh-CN"/>
        </w:rPr>
      </w:pPr>
      <w:r>
        <w:rPr>
          <w:rFonts w:hint="eastAsia"/>
          <w:b/>
          <w:color w:val="auto"/>
          <w:highlight w:val="none"/>
          <w:lang w:eastAsia="zh-CN"/>
        </w:rPr>
        <w:t>3.农户信息核查与合同签订</w:t>
      </w:r>
    </w:p>
    <w:p w14:paraId="179EC21B">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3.1多轮入户核查：</w:t>
      </w:r>
      <w:r>
        <w:rPr>
          <w:rFonts w:hint="eastAsia"/>
          <w:color w:val="auto"/>
          <w:highlight w:val="none"/>
          <w:lang w:val="en-US" w:eastAsia="zh-CN"/>
        </w:rPr>
        <w:t>根据需要，</w:t>
      </w:r>
      <w:r>
        <w:rPr>
          <w:rFonts w:hint="eastAsia"/>
          <w:color w:val="auto"/>
          <w:highlight w:val="none"/>
          <w:lang w:eastAsia="zh-CN"/>
        </w:rPr>
        <w:t>逐户开展入户走访，核实承包农户身份信息、承包意愿，收集历史承包协议、邻里证明等佐证材料，形成农户确认签字材料；</w:t>
      </w:r>
    </w:p>
    <w:p w14:paraId="3A82E1E8">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3.2政策培训与引导：按“</w:t>
      </w:r>
      <w:r>
        <w:rPr>
          <w:rFonts w:hint="eastAsia"/>
          <w:color w:val="auto"/>
          <w:highlight w:val="none"/>
          <w:lang w:val="en-US" w:eastAsia="zh-CN"/>
        </w:rPr>
        <w:t>街道</w:t>
      </w:r>
      <w:r>
        <w:rPr>
          <w:rFonts w:hint="eastAsia"/>
          <w:color w:val="auto"/>
          <w:highlight w:val="none"/>
          <w:lang w:eastAsia="zh-CN"/>
        </w:rPr>
        <w:t>-</w:t>
      </w:r>
      <w:r>
        <w:rPr>
          <w:rFonts w:hint="eastAsia"/>
          <w:color w:val="auto"/>
          <w:highlight w:val="none"/>
          <w:lang w:val="en-US" w:eastAsia="zh-CN"/>
        </w:rPr>
        <w:t>社区</w:t>
      </w:r>
      <w:r>
        <w:rPr>
          <w:rFonts w:hint="eastAsia"/>
          <w:color w:val="auto"/>
          <w:highlight w:val="none"/>
          <w:lang w:eastAsia="zh-CN"/>
        </w:rPr>
        <w:t>”组建服务小组，每</w:t>
      </w:r>
      <w:r>
        <w:rPr>
          <w:rFonts w:hint="eastAsia"/>
          <w:color w:val="auto"/>
          <w:highlight w:val="none"/>
          <w:lang w:val="en-US" w:eastAsia="zh-CN"/>
        </w:rPr>
        <w:t>社区</w:t>
      </w:r>
      <w:r>
        <w:rPr>
          <w:rFonts w:hint="eastAsia"/>
          <w:color w:val="auto"/>
          <w:highlight w:val="none"/>
          <w:lang w:eastAsia="zh-CN"/>
        </w:rPr>
        <w:t>配备1名专职辅助人员，开展延包政策培训及合同签订指导；</w:t>
      </w:r>
    </w:p>
    <w:p w14:paraId="253A5072">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3.3合同规范制作：合同文本一式四份，含电子文本生成及纸质文本印制、归档全流程服务。</w:t>
      </w:r>
    </w:p>
    <w:p w14:paraId="623E5E19">
      <w:pPr>
        <w:spacing w:line="360" w:lineRule="auto"/>
        <w:rPr>
          <w:b/>
          <w:color w:val="auto"/>
          <w:highlight w:val="none"/>
          <w:lang w:eastAsia="zh-CN"/>
        </w:rPr>
      </w:pPr>
      <w:r>
        <w:rPr>
          <w:rFonts w:hint="eastAsia"/>
          <w:b/>
          <w:color w:val="auto"/>
          <w:highlight w:val="none"/>
          <w:lang w:eastAsia="zh-CN"/>
        </w:rPr>
        <w:t>4.</w:t>
      </w:r>
      <w:r>
        <w:rPr>
          <w:rFonts w:hint="eastAsia"/>
          <w:b/>
          <w:color w:val="auto"/>
          <w:highlight w:val="none"/>
          <w:lang w:val="en-US" w:eastAsia="zh-CN"/>
        </w:rPr>
        <w:t>图档数据库</w:t>
      </w:r>
      <w:r>
        <w:rPr>
          <w:rFonts w:hint="eastAsia"/>
          <w:b/>
          <w:color w:val="auto"/>
          <w:highlight w:val="none"/>
          <w:lang w:eastAsia="zh-CN"/>
        </w:rPr>
        <w:t>建设</w:t>
      </w:r>
    </w:p>
    <w:p w14:paraId="5DBB64D0">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4.1初始数据库搭建：从零构建符合《农村土地承包经营权确权登记数据库规范》的基础数据库，录入原始收集及勘测核实的全量数据；</w:t>
      </w:r>
    </w:p>
    <w:p w14:paraId="23E87120">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val="en-US" w:eastAsia="zh-CN"/>
        </w:rPr>
      </w:pPr>
      <w:r>
        <w:rPr>
          <w:rFonts w:hint="eastAsia"/>
          <w:color w:val="auto"/>
          <w:highlight w:val="none"/>
          <w:lang w:eastAsia="zh-CN"/>
        </w:rPr>
        <w:t>4.2</w:t>
      </w:r>
      <w:r>
        <w:rPr>
          <w:rFonts w:hint="eastAsia"/>
          <w:color w:val="auto"/>
          <w:highlight w:val="none"/>
          <w:lang w:val="en-US" w:eastAsia="zh-CN"/>
        </w:rPr>
        <w:t>图文数据扫描</w:t>
      </w:r>
      <w:r>
        <w:rPr>
          <w:rFonts w:hint="eastAsia"/>
          <w:color w:val="auto"/>
          <w:highlight w:val="none"/>
          <w:lang w:eastAsia="zh-CN"/>
        </w:rPr>
        <w:t>：</w:t>
      </w:r>
      <w:r>
        <w:rPr>
          <w:rFonts w:hint="eastAsia"/>
          <w:color w:val="auto"/>
          <w:highlight w:val="none"/>
          <w:lang w:val="en-US" w:eastAsia="zh-CN"/>
        </w:rPr>
        <w:t>根据国家、省、市档案管理及归档要求，完成全部调查及成果资料（含调查资料、合同、证书等）整理及数字化扫描加工工作，工作内容包括但不限于整理、排序、编页、组卷、著录、打印封皮、装订、装盒等；</w:t>
      </w:r>
    </w:p>
    <w:p w14:paraId="0CC04DB3">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val="en-US" w:eastAsia="zh-CN"/>
        </w:rPr>
        <w:t>4.3 图档数据库建设：构建勘测图形与图文数据的空间及逻辑关系，对“</w:t>
      </w:r>
      <w:r>
        <w:rPr>
          <w:rFonts w:hint="eastAsia"/>
          <w:color w:val="auto"/>
          <w:highlight w:val="none"/>
          <w:lang w:eastAsia="zh-CN"/>
        </w:rPr>
        <w:t>地、账、证、人</w:t>
      </w:r>
      <w:r>
        <w:rPr>
          <w:rFonts w:hint="eastAsia"/>
          <w:color w:val="auto"/>
          <w:highlight w:val="none"/>
          <w:lang w:val="en-US" w:eastAsia="zh-CN"/>
        </w:rPr>
        <w:t>”进行一张图展示，全面实现以图查地、以图查账、以图查证、以图查人，图档联动，实现图档信息一键查询打印、“</w:t>
      </w:r>
      <w:r>
        <w:rPr>
          <w:rFonts w:hint="eastAsia"/>
          <w:color w:val="auto"/>
          <w:highlight w:val="none"/>
          <w:lang w:eastAsia="zh-CN"/>
        </w:rPr>
        <w:t>地、账、证、人</w:t>
      </w:r>
      <w:r>
        <w:rPr>
          <w:rFonts w:hint="eastAsia"/>
          <w:color w:val="auto"/>
          <w:highlight w:val="none"/>
          <w:lang w:val="en-US" w:eastAsia="zh-CN"/>
        </w:rPr>
        <w:t>”统计分析及今后信息动态变更管理</w:t>
      </w:r>
      <w:r>
        <w:rPr>
          <w:rFonts w:hint="eastAsia"/>
          <w:color w:val="auto"/>
          <w:highlight w:val="none"/>
          <w:lang w:eastAsia="zh-CN"/>
        </w:rPr>
        <w:t>。</w:t>
      </w:r>
    </w:p>
    <w:p w14:paraId="4FEEC6F4">
      <w:pPr>
        <w:spacing w:line="360" w:lineRule="auto"/>
        <w:rPr>
          <w:b/>
          <w:color w:val="auto"/>
          <w:highlight w:val="none"/>
          <w:lang w:eastAsia="zh-CN"/>
        </w:rPr>
      </w:pPr>
      <w:r>
        <w:rPr>
          <w:rFonts w:hint="eastAsia"/>
          <w:b/>
          <w:color w:val="auto"/>
          <w:highlight w:val="none"/>
          <w:lang w:eastAsia="zh-CN"/>
        </w:rPr>
        <w:t>5.权属争议协调与成果验收</w:t>
      </w:r>
    </w:p>
    <w:p w14:paraId="2BA15DB0">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5.1争议协调：组建专业协调小组，对地块边界争议、权属纠纷等问题，结合历史资料及实地勘测结果提出合法合规的解决方案；</w:t>
      </w:r>
    </w:p>
    <w:p w14:paraId="338DBE73">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5.2成果公示与异议处理：开展调查成果公示，公示期不少于7天，及时处理农户异议并形成书面记录；</w:t>
      </w:r>
    </w:p>
    <w:p w14:paraId="6EE35545">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5.3成果汇交：按要求编制基础资料汇编、核查报告、工作总结等成果，提交纸质版及电子版，配合完成上级部门验收。</w:t>
      </w:r>
    </w:p>
    <w:p w14:paraId="0CA5D204">
      <w:pPr>
        <w:spacing w:line="360" w:lineRule="auto"/>
        <w:rPr>
          <w:b/>
          <w:color w:val="auto"/>
          <w:highlight w:val="none"/>
          <w:lang w:eastAsia="zh-CN"/>
        </w:rPr>
      </w:pPr>
      <w:r>
        <w:rPr>
          <w:rFonts w:hint="eastAsia"/>
          <w:b/>
          <w:color w:val="auto"/>
          <w:highlight w:val="none"/>
          <w:lang w:eastAsia="zh-CN"/>
        </w:rPr>
        <w:t>6.后续服务</w:t>
      </w:r>
    </w:p>
    <w:p w14:paraId="1E8DD73D">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质保期</w:t>
      </w:r>
      <w:r>
        <w:rPr>
          <w:rFonts w:hint="eastAsia"/>
          <w:color w:val="auto"/>
          <w:highlight w:val="none"/>
          <w:lang w:val="en-US" w:eastAsia="zh-CN"/>
        </w:rPr>
        <w:t>1</w:t>
      </w:r>
      <w:r>
        <w:rPr>
          <w:rFonts w:hint="eastAsia"/>
          <w:color w:val="auto"/>
          <w:highlight w:val="none"/>
          <w:lang w:eastAsia="zh-CN"/>
        </w:rPr>
        <w:t>年，</w:t>
      </w:r>
      <w:r>
        <w:rPr>
          <w:rFonts w:hint="eastAsia"/>
          <w:color w:val="auto"/>
          <w:highlight w:val="none"/>
          <w:lang w:val="en-US" w:eastAsia="zh-CN"/>
        </w:rPr>
        <w:t>质保期内</w:t>
      </w:r>
      <w:r>
        <w:rPr>
          <w:rFonts w:hint="eastAsia"/>
          <w:color w:val="auto"/>
          <w:highlight w:val="none"/>
          <w:lang w:eastAsia="zh-CN"/>
        </w:rPr>
        <w:t>提供2小时响应、4小时内远程解决、12小时内现场处置的技术支持服务，包含系统维护、数据校准、人员再培训等内容；质保期满后提供3年技术咨询服务。</w:t>
      </w:r>
    </w:p>
    <w:p w14:paraId="622EEA71">
      <w:pPr>
        <w:spacing w:line="360" w:lineRule="auto"/>
        <w:rPr>
          <w:rFonts w:hint="eastAsia"/>
          <w:b/>
          <w:color w:val="auto"/>
          <w:sz w:val="28"/>
          <w:highlight w:val="none"/>
          <w:lang w:eastAsia="zh-CN"/>
        </w:rPr>
      </w:pPr>
      <w:r>
        <w:rPr>
          <w:rFonts w:hint="eastAsia"/>
          <w:b/>
          <w:color w:val="auto"/>
          <w:sz w:val="28"/>
          <w:highlight w:val="none"/>
          <w:lang w:eastAsia="zh-CN"/>
        </w:rPr>
        <w:t>四、技术要求</w:t>
      </w:r>
    </w:p>
    <w:p w14:paraId="2EFC3403">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highlight w:val="none"/>
          <w:lang w:eastAsia="zh-CN"/>
        </w:rPr>
      </w:pPr>
      <w:r>
        <w:rPr>
          <w:rFonts w:hint="eastAsia"/>
          <w:color w:val="auto"/>
          <w:highlight w:val="none"/>
          <w:lang w:eastAsia="zh-CN"/>
        </w:rPr>
        <w:t>1.原始数据重建精度：历史资料数字化误差≤0.5%，农户信息核查准确率100%；</w:t>
      </w:r>
    </w:p>
    <w:p w14:paraId="75283ED0">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2.勘测精度：符合《农村土地承包经营权调查规程》（NY/T2537-2014），界址点相对误差不超过5cm，地块面积测量误差≤1%；</w:t>
      </w:r>
    </w:p>
    <w:p w14:paraId="0CD90871">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3.数据建库标准：兼容</w:t>
      </w:r>
      <w:r>
        <w:rPr>
          <w:rFonts w:hint="eastAsia"/>
          <w:color w:val="auto"/>
          <w:highlight w:val="none"/>
          <w:lang w:val="en-US" w:eastAsia="zh-CN"/>
        </w:rPr>
        <w:t>上级部门</w:t>
      </w:r>
      <w:r>
        <w:rPr>
          <w:rFonts w:hint="eastAsia"/>
          <w:color w:val="auto"/>
          <w:highlight w:val="none"/>
          <w:lang w:eastAsia="zh-CN"/>
        </w:rPr>
        <w:t>数据库格式，可实现跨区域数据共享对接；</w:t>
      </w:r>
    </w:p>
    <w:p w14:paraId="16908915">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4.安全保密要求：符合《测绘地理信息成果保密管理规定》，建立数据采集、存储、传输全流程保密机制，配备涉密管理人员。</w:t>
      </w:r>
    </w:p>
    <w:p w14:paraId="29393A0E">
      <w:pPr>
        <w:spacing w:line="360" w:lineRule="auto"/>
        <w:rPr>
          <w:rFonts w:hint="eastAsia"/>
          <w:b/>
          <w:color w:val="auto"/>
          <w:sz w:val="28"/>
          <w:highlight w:val="none"/>
          <w:lang w:eastAsia="zh-CN"/>
        </w:rPr>
      </w:pPr>
      <w:r>
        <w:rPr>
          <w:rFonts w:hint="eastAsia"/>
          <w:b/>
          <w:color w:val="auto"/>
          <w:sz w:val="28"/>
          <w:highlight w:val="none"/>
          <w:lang w:eastAsia="zh-CN"/>
        </w:rPr>
        <w:t>五、成果交付与服务期限</w:t>
      </w:r>
    </w:p>
    <w:p w14:paraId="13A44C95">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1.服务期限：自合同签订之日起12个月（含原始数据重建6个月、后续服务6个月），若因原始数据缺失严重导致工作量增加，可协商延长；</w:t>
      </w:r>
    </w:p>
    <w:p w14:paraId="1F77820C">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2.成果交付要求：需单独提交《原始数据重建报告》《权属争议处理台账》《农村土地承包基础数据库》《数字化管理系统操作手册》等成果，提供纸质版及电子版，所有成果需通过上级部门验收。</w:t>
      </w:r>
    </w:p>
    <w:p w14:paraId="1DADDFCB">
      <w:pPr>
        <w:spacing w:line="360" w:lineRule="auto"/>
        <w:rPr>
          <w:color w:val="auto"/>
          <w:highlight w:val="none"/>
          <w:lang w:eastAsia="zh-CN"/>
        </w:rPr>
      </w:pPr>
    </w:p>
    <w:p w14:paraId="7A1630E9">
      <w:pPr>
        <w:spacing w:line="360" w:lineRule="auto"/>
        <w:rPr>
          <w:color w:val="auto"/>
          <w:highlight w:val="none"/>
          <w:lang w:eastAsia="zh-CN"/>
        </w:rPr>
      </w:pPr>
    </w:p>
    <w:p w14:paraId="4319B75E">
      <w:pPr>
        <w:spacing w:after="200" w:line="276" w:lineRule="auto"/>
        <w:jc w:val="left"/>
        <w:rPr>
          <w:color w:val="auto"/>
          <w:highlight w:val="none"/>
          <w:lang w:eastAsia="zh-CN"/>
        </w:rPr>
      </w:pPr>
      <w:r>
        <w:rPr>
          <w:color w:val="auto"/>
          <w:highlight w:val="none"/>
          <w:lang w:eastAsia="zh-CN"/>
        </w:rPr>
        <w:br w:type="page"/>
      </w:r>
    </w:p>
    <w:p w14:paraId="48EEF7B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b/>
          <w:color w:val="auto"/>
          <w:sz w:val="36"/>
          <w:szCs w:val="36"/>
          <w:highlight w:val="none"/>
          <w:lang w:eastAsia="zh-CN"/>
        </w:rPr>
      </w:pPr>
      <w:r>
        <w:rPr>
          <w:rFonts w:hint="eastAsia"/>
          <w:b/>
          <w:color w:val="auto"/>
          <w:sz w:val="36"/>
          <w:szCs w:val="36"/>
          <w:highlight w:val="none"/>
          <w:lang w:eastAsia="zh-CN"/>
        </w:rPr>
        <w:t>第四部分 评审方法和评审标准</w:t>
      </w:r>
    </w:p>
    <w:p w14:paraId="38466B2F">
      <w:pPr>
        <w:spacing w:line="360" w:lineRule="auto"/>
        <w:rPr>
          <w:rFonts w:hint="eastAsia"/>
          <w:b/>
          <w:color w:val="auto"/>
          <w:sz w:val="28"/>
          <w:highlight w:val="none"/>
          <w:lang w:eastAsia="zh-CN"/>
        </w:rPr>
      </w:pPr>
      <w:r>
        <w:rPr>
          <w:rFonts w:hint="eastAsia"/>
          <w:b/>
          <w:color w:val="auto"/>
          <w:sz w:val="28"/>
          <w:highlight w:val="none"/>
          <w:lang w:eastAsia="zh-CN"/>
        </w:rPr>
        <w:t>一、评审原则</w:t>
      </w:r>
    </w:p>
    <w:p w14:paraId="6CE8E4A3">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color w:val="auto"/>
          <w:highlight w:val="none"/>
          <w:lang w:eastAsia="zh-CN"/>
        </w:rPr>
      </w:pPr>
      <w:r>
        <w:rPr>
          <w:rFonts w:hint="eastAsia"/>
          <w:color w:val="auto"/>
          <w:highlight w:val="none"/>
          <w:lang w:eastAsia="zh-CN"/>
        </w:rPr>
        <w:t>评标委员会应严格遵循公平、公正、科学、择优的原则，按照本招标文件规定的评审标准，对通过资格性审查和符合性审查的投标文件进行详细评审，推荐中标候选人。</w:t>
      </w:r>
    </w:p>
    <w:p w14:paraId="0D4D818F">
      <w:pPr>
        <w:spacing w:line="360" w:lineRule="auto"/>
        <w:rPr>
          <w:rFonts w:hint="eastAsia"/>
          <w:b/>
          <w:color w:val="auto"/>
          <w:sz w:val="28"/>
          <w:highlight w:val="none"/>
          <w:lang w:eastAsia="zh-CN"/>
        </w:rPr>
      </w:pPr>
      <w:r>
        <w:rPr>
          <w:rFonts w:hint="eastAsia"/>
          <w:b/>
          <w:color w:val="auto"/>
          <w:sz w:val="28"/>
          <w:highlight w:val="none"/>
          <w:lang w:eastAsia="zh-CN"/>
        </w:rPr>
        <w:t>二、资格性审查标准</w:t>
      </w:r>
    </w:p>
    <w:tbl>
      <w:tblPr>
        <w:tblStyle w:val="17"/>
        <w:tblW w:w="85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98"/>
        <w:gridCol w:w="4275"/>
        <w:gridCol w:w="1575"/>
      </w:tblGrid>
      <w:tr w14:paraId="1C28FF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7452863C">
            <w:pPr>
              <w:spacing w:line="360" w:lineRule="auto"/>
              <w:jc w:val="center"/>
              <w:rPr>
                <w:rFonts w:hint="default"/>
                <w:color w:val="auto"/>
                <w:highlight w:val="none"/>
                <w:lang w:val="en-US" w:eastAsia="zh-CN"/>
              </w:rPr>
            </w:pPr>
            <w:r>
              <w:rPr>
                <w:rFonts w:hint="eastAsia"/>
                <w:color w:val="auto"/>
                <w:highlight w:val="none"/>
                <w:lang w:eastAsia="zh-CN"/>
              </w:rPr>
              <w:t>审查</w:t>
            </w:r>
            <w:r>
              <w:rPr>
                <w:rFonts w:hint="eastAsia"/>
                <w:color w:val="auto"/>
                <w:highlight w:val="none"/>
                <w:lang w:val="en-US" w:eastAsia="zh-CN"/>
              </w:rPr>
              <w:t>因素</w:t>
            </w:r>
          </w:p>
        </w:tc>
        <w:tc>
          <w:tcPr>
            <w:tcW w:w="4275" w:type="dxa"/>
            <w:vAlign w:val="center"/>
          </w:tcPr>
          <w:p w14:paraId="78550426">
            <w:pPr>
              <w:spacing w:line="360" w:lineRule="auto"/>
              <w:jc w:val="center"/>
              <w:rPr>
                <w:color w:val="auto"/>
                <w:highlight w:val="none"/>
                <w:lang w:eastAsia="zh-CN"/>
              </w:rPr>
            </w:pPr>
            <w:r>
              <w:rPr>
                <w:rFonts w:hint="eastAsia"/>
                <w:color w:val="auto"/>
                <w:highlight w:val="none"/>
                <w:lang w:eastAsia="zh-CN"/>
              </w:rPr>
              <w:t>审查标准（</w:t>
            </w:r>
            <w:r>
              <w:rPr>
                <w:rFonts w:hint="eastAsia"/>
                <w:color w:val="auto"/>
                <w:highlight w:val="none"/>
                <w:lang w:val="en-US" w:eastAsia="zh-CN"/>
              </w:rPr>
              <w:t>佐证材料</w:t>
            </w:r>
            <w:r>
              <w:rPr>
                <w:rFonts w:hint="eastAsia"/>
                <w:color w:val="auto"/>
                <w:highlight w:val="none"/>
                <w:lang w:eastAsia="zh-CN"/>
              </w:rPr>
              <w:t>）</w:t>
            </w:r>
          </w:p>
        </w:tc>
        <w:tc>
          <w:tcPr>
            <w:tcW w:w="1575" w:type="dxa"/>
            <w:vAlign w:val="center"/>
          </w:tcPr>
          <w:p w14:paraId="0CF9BC22">
            <w:pPr>
              <w:spacing w:line="360" w:lineRule="auto"/>
              <w:jc w:val="center"/>
              <w:rPr>
                <w:color w:val="auto"/>
                <w:highlight w:val="none"/>
                <w:lang w:eastAsia="zh-CN"/>
              </w:rPr>
            </w:pPr>
            <w:r>
              <w:rPr>
                <w:rFonts w:hint="eastAsia"/>
                <w:color w:val="auto"/>
                <w:highlight w:val="none"/>
                <w:lang w:eastAsia="zh-CN"/>
              </w:rPr>
              <w:t>审查结果（合格/不合格）</w:t>
            </w:r>
          </w:p>
        </w:tc>
      </w:tr>
      <w:tr w14:paraId="56F4F7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604032D4">
            <w:pPr>
              <w:spacing w:line="360" w:lineRule="auto"/>
              <w:jc w:val="center"/>
              <w:rPr>
                <w:rFonts w:hint="eastAsia"/>
                <w:color w:val="auto"/>
                <w:highlight w:val="none"/>
                <w:lang w:eastAsia="zh-CN"/>
              </w:rPr>
            </w:pPr>
            <w:r>
              <w:rPr>
                <w:rFonts w:hint="eastAsia" w:asciiTheme="minorAscii"/>
                <w:color w:val="auto"/>
                <w:sz w:val="21"/>
                <w:szCs w:val="21"/>
                <w:highlight w:val="none"/>
                <w:lang w:val="en-US" w:eastAsia="zh-CN"/>
              </w:rPr>
              <w:t>法定代表人身份证明</w:t>
            </w:r>
          </w:p>
        </w:tc>
        <w:tc>
          <w:tcPr>
            <w:tcW w:w="4275" w:type="dxa"/>
            <w:vAlign w:val="center"/>
          </w:tcPr>
          <w:p w14:paraId="73A1DB33">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color w:val="auto"/>
                <w:highlight w:val="none"/>
                <w:lang w:eastAsia="zh-CN"/>
              </w:rPr>
            </w:pPr>
            <w:r>
              <w:rPr>
                <w:rFonts w:hint="eastAsia" w:asciiTheme="minorAscii"/>
                <w:color w:val="auto"/>
                <w:sz w:val="21"/>
                <w:szCs w:val="21"/>
                <w:highlight w:val="none"/>
                <w:lang w:val="en-US" w:eastAsia="zh-CN"/>
              </w:rPr>
              <w:t>法定代表人身份证明（法定代表人投标时提供）；</w:t>
            </w:r>
          </w:p>
        </w:tc>
        <w:tc>
          <w:tcPr>
            <w:tcW w:w="1575" w:type="dxa"/>
            <w:vAlign w:val="center"/>
          </w:tcPr>
          <w:p w14:paraId="1A0AF49F">
            <w:pPr>
              <w:spacing w:line="360" w:lineRule="auto"/>
              <w:jc w:val="center"/>
              <w:rPr>
                <w:rFonts w:hint="eastAsia"/>
                <w:color w:val="auto"/>
                <w:highlight w:val="none"/>
                <w:lang w:eastAsia="zh-CN"/>
              </w:rPr>
            </w:pPr>
          </w:p>
        </w:tc>
      </w:tr>
      <w:tr w14:paraId="7A402D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64EE5565">
            <w:pPr>
              <w:spacing w:line="360" w:lineRule="auto"/>
              <w:jc w:val="center"/>
              <w:rPr>
                <w:rFonts w:hint="eastAsia"/>
                <w:color w:val="auto"/>
                <w:highlight w:val="none"/>
                <w:lang w:eastAsia="zh-CN"/>
              </w:rPr>
            </w:pPr>
            <w:r>
              <w:rPr>
                <w:rFonts w:hint="eastAsia" w:asciiTheme="minorAscii"/>
                <w:color w:val="auto"/>
                <w:sz w:val="21"/>
                <w:szCs w:val="21"/>
                <w:highlight w:val="none"/>
                <w:lang w:val="en-US" w:eastAsia="zh-CN"/>
              </w:rPr>
              <w:t>授权委托书</w:t>
            </w:r>
          </w:p>
        </w:tc>
        <w:tc>
          <w:tcPr>
            <w:tcW w:w="4275" w:type="dxa"/>
            <w:vAlign w:val="center"/>
          </w:tcPr>
          <w:p w14:paraId="4C9C9658">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color w:val="auto"/>
                <w:highlight w:val="none"/>
                <w:lang w:eastAsia="zh-CN"/>
              </w:rPr>
            </w:pPr>
            <w:r>
              <w:rPr>
                <w:rFonts w:hint="eastAsia" w:asciiTheme="minorAscii"/>
                <w:color w:val="auto"/>
                <w:sz w:val="21"/>
                <w:szCs w:val="21"/>
                <w:highlight w:val="none"/>
                <w:lang w:val="en-US" w:eastAsia="zh-CN"/>
              </w:rPr>
              <w:t>授权委托书（授权代表参加投标时提供）；</w:t>
            </w:r>
          </w:p>
        </w:tc>
        <w:tc>
          <w:tcPr>
            <w:tcW w:w="1575" w:type="dxa"/>
            <w:vAlign w:val="center"/>
          </w:tcPr>
          <w:p w14:paraId="234592F8">
            <w:pPr>
              <w:spacing w:line="360" w:lineRule="auto"/>
              <w:jc w:val="center"/>
              <w:rPr>
                <w:rFonts w:hint="eastAsia"/>
                <w:color w:val="auto"/>
                <w:highlight w:val="none"/>
                <w:lang w:eastAsia="zh-CN"/>
              </w:rPr>
            </w:pPr>
          </w:p>
        </w:tc>
      </w:tr>
      <w:tr w14:paraId="5B994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227844CD">
            <w:pPr>
              <w:spacing w:line="360" w:lineRule="auto"/>
              <w:jc w:val="center"/>
              <w:rPr>
                <w:color w:val="auto"/>
                <w:highlight w:val="none"/>
                <w:lang w:eastAsia="zh-CN"/>
              </w:rPr>
            </w:pPr>
            <w:r>
              <w:rPr>
                <w:rFonts w:hint="eastAsia" w:asciiTheme="minorAscii"/>
                <w:color w:val="auto"/>
                <w:sz w:val="21"/>
                <w:szCs w:val="21"/>
                <w:highlight w:val="none"/>
                <w:lang w:eastAsia="zh-CN"/>
              </w:rPr>
              <w:t>具有独立承担民事责任的能力</w:t>
            </w:r>
          </w:p>
        </w:tc>
        <w:tc>
          <w:tcPr>
            <w:tcW w:w="4275" w:type="dxa"/>
            <w:vAlign w:val="center"/>
          </w:tcPr>
          <w:p w14:paraId="35B4D4A7">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color w:val="auto"/>
                <w:highlight w:val="none"/>
                <w:lang w:eastAsia="zh-CN"/>
              </w:rPr>
            </w:pPr>
            <w:r>
              <w:rPr>
                <w:rFonts w:hint="eastAsia" w:asciiTheme="minorAscii"/>
                <w:color w:val="auto"/>
                <w:sz w:val="21"/>
                <w:szCs w:val="21"/>
                <w:highlight w:val="none"/>
                <w:lang w:eastAsia="zh-CN"/>
              </w:rPr>
              <w:t>提供营业执照或事业单位法人证书等证明文件复印件加盖公章；</w:t>
            </w:r>
          </w:p>
        </w:tc>
        <w:tc>
          <w:tcPr>
            <w:tcW w:w="1575" w:type="dxa"/>
            <w:vAlign w:val="center"/>
          </w:tcPr>
          <w:p w14:paraId="61371173">
            <w:pPr>
              <w:spacing w:line="360" w:lineRule="auto"/>
              <w:jc w:val="center"/>
              <w:rPr>
                <w:color w:val="auto"/>
                <w:highlight w:val="none"/>
                <w:lang w:eastAsia="zh-CN"/>
              </w:rPr>
            </w:pPr>
          </w:p>
        </w:tc>
      </w:tr>
      <w:tr w14:paraId="68C08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72973E32">
            <w:pPr>
              <w:spacing w:line="360" w:lineRule="auto"/>
              <w:jc w:val="center"/>
              <w:rPr>
                <w:color w:val="auto"/>
                <w:highlight w:val="none"/>
                <w:lang w:eastAsia="zh-CN"/>
              </w:rPr>
            </w:pPr>
            <w:r>
              <w:rPr>
                <w:rFonts w:hint="eastAsia" w:asciiTheme="minorAscii"/>
                <w:color w:val="auto"/>
                <w:sz w:val="21"/>
                <w:szCs w:val="21"/>
                <w:highlight w:val="none"/>
                <w:lang w:eastAsia="zh-CN"/>
              </w:rPr>
              <w:t>具有良好的商业信誉和健全的财务会计制度</w:t>
            </w:r>
          </w:p>
        </w:tc>
        <w:tc>
          <w:tcPr>
            <w:tcW w:w="4275" w:type="dxa"/>
            <w:vAlign w:val="center"/>
          </w:tcPr>
          <w:p w14:paraId="49C0248C">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color w:val="auto"/>
                <w:highlight w:val="none"/>
                <w:lang w:eastAsia="zh-CN"/>
              </w:rPr>
            </w:pPr>
            <w:r>
              <w:rPr>
                <w:rFonts w:hint="eastAsia" w:asciiTheme="minorAscii"/>
                <w:color w:val="auto"/>
                <w:sz w:val="21"/>
                <w:szCs w:val="21"/>
                <w:highlight w:val="none"/>
                <w:lang w:eastAsia="zh-CN"/>
              </w:rPr>
              <w:t>提供近1年度财务状况报告复印件加盖公章，成立不满1年的提供银行资信证明复印件加盖公章；</w:t>
            </w:r>
          </w:p>
        </w:tc>
        <w:tc>
          <w:tcPr>
            <w:tcW w:w="1575" w:type="dxa"/>
            <w:vAlign w:val="center"/>
          </w:tcPr>
          <w:p w14:paraId="16CB80AD">
            <w:pPr>
              <w:spacing w:line="360" w:lineRule="auto"/>
              <w:rPr>
                <w:rFonts w:hint="eastAsia"/>
                <w:color w:val="auto"/>
                <w:highlight w:val="none"/>
                <w:lang w:eastAsia="zh-CN"/>
              </w:rPr>
            </w:pPr>
          </w:p>
        </w:tc>
      </w:tr>
      <w:tr w14:paraId="68C802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3648BCFA">
            <w:pPr>
              <w:spacing w:line="360" w:lineRule="auto"/>
              <w:jc w:val="center"/>
              <w:rPr>
                <w:color w:val="auto"/>
                <w:highlight w:val="none"/>
                <w:lang w:eastAsia="zh-CN"/>
              </w:rPr>
            </w:pPr>
            <w:r>
              <w:rPr>
                <w:rFonts w:hint="eastAsia" w:asciiTheme="minorAscii"/>
                <w:color w:val="auto"/>
                <w:sz w:val="21"/>
                <w:szCs w:val="21"/>
                <w:highlight w:val="none"/>
                <w:lang w:eastAsia="zh-CN"/>
              </w:rPr>
              <w:t>具有履行合同所必需的设备和专业技术能力</w:t>
            </w:r>
          </w:p>
        </w:tc>
        <w:tc>
          <w:tcPr>
            <w:tcW w:w="4275" w:type="dxa"/>
            <w:vAlign w:val="center"/>
          </w:tcPr>
          <w:p w14:paraId="570C0C32">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color w:val="auto"/>
                <w:highlight w:val="none"/>
                <w:lang w:eastAsia="zh-CN"/>
              </w:rPr>
            </w:pPr>
            <w:r>
              <w:rPr>
                <w:rFonts w:hint="eastAsia" w:asciiTheme="minorAscii"/>
                <w:color w:val="auto"/>
                <w:sz w:val="21"/>
                <w:szCs w:val="21"/>
                <w:highlight w:val="none"/>
                <w:lang w:eastAsia="zh-CN"/>
              </w:rPr>
              <w:t>提供书面声明函原件加盖公章；</w:t>
            </w:r>
          </w:p>
        </w:tc>
        <w:tc>
          <w:tcPr>
            <w:tcW w:w="1575" w:type="dxa"/>
            <w:vAlign w:val="center"/>
          </w:tcPr>
          <w:p w14:paraId="16DD621C">
            <w:pPr>
              <w:spacing w:line="360" w:lineRule="auto"/>
              <w:jc w:val="center"/>
              <w:rPr>
                <w:color w:val="auto"/>
                <w:highlight w:val="none"/>
                <w:lang w:eastAsia="zh-CN"/>
              </w:rPr>
            </w:pPr>
          </w:p>
        </w:tc>
      </w:tr>
      <w:tr w14:paraId="57FF6A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5A44B0FD">
            <w:pPr>
              <w:spacing w:line="360" w:lineRule="auto"/>
              <w:jc w:val="center"/>
              <w:rPr>
                <w:color w:val="auto"/>
                <w:highlight w:val="none"/>
                <w:lang w:eastAsia="zh-CN"/>
              </w:rPr>
            </w:pPr>
            <w:r>
              <w:rPr>
                <w:rFonts w:hint="eastAsia" w:asciiTheme="minorAscii"/>
                <w:color w:val="auto"/>
                <w:sz w:val="21"/>
                <w:szCs w:val="21"/>
                <w:highlight w:val="none"/>
                <w:lang w:eastAsia="zh-CN"/>
              </w:rPr>
              <w:t>有依法缴纳税收和社会保障资金的良好记录</w:t>
            </w:r>
          </w:p>
        </w:tc>
        <w:tc>
          <w:tcPr>
            <w:tcW w:w="4275" w:type="dxa"/>
            <w:vAlign w:val="center"/>
          </w:tcPr>
          <w:p w14:paraId="1A7033C1">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color w:val="auto"/>
                <w:highlight w:val="none"/>
                <w:lang w:eastAsia="zh-CN"/>
              </w:rPr>
            </w:pPr>
            <w:r>
              <w:rPr>
                <w:rFonts w:hint="eastAsia" w:asciiTheme="minorAscii"/>
                <w:color w:val="auto"/>
                <w:sz w:val="21"/>
                <w:szCs w:val="21"/>
                <w:highlight w:val="none"/>
                <w:lang w:eastAsia="zh-CN"/>
              </w:rPr>
              <w:t>提供近6个月内任意1个月缴纳税收和社会保障资金的证明材料复印件加盖公章；</w:t>
            </w:r>
          </w:p>
        </w:tc>
        <w:tc>
          <w:tcPr>
            <w:tcW w:w="1575" w:type="dxa"/>
            <w:vAlign w:val="center"/>
          </w:tcPr>
          <w:p w14:paraId="7A1A09A3">
            <w:pPr>
              <w:spacing w:line="360" w:lineRule="auto"/>
              <w:jc w:val="center"/>
              <w:rPr>
                <w:color w:val="auto"/>
                <w:highlight w:val="none"/>
                <w:lang w:eastAsia="zh-CN"/>
              </w:rPr>
            </w:pPr>
          </w:p>
        </w:tc>
      </w:tr>
      <w:tr w14:paraId="308CA9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45CB0607">
            <w:pPr>
              <w:spacing w:line="360" w:lineRule="auto"/>
              <w:jc w:val="center"/>
              <w:rPr>
                <w:color w:val="auto"/>
                <w:highlight w:val="none"/>
                <w:lang w:eastAsia="zh-CN"/>
              </w:rPr>
            </w:pPr>
            <w:r>
              <w:rPr>
                <w:rFonts w:hint="eastAsia" w:asciiTheme="minorAscii"/>
                <w:color w:val="auto"/>
                <w:sz w:val="21"/>
                <w:szCs w:val="21"/>
                <w:highlight w:val="none"/>
                <w:lang w:eastAsia="zh-CN"/>
              </w:rPr>
              <w:t>参加采购活动前3年内，在经营活动中没有重大违法记录</w:t>
            </w:r>
          </w:p>
        </w:tc>
        <w:tc>
          <w:tcPr>
            <w:tcW w:w="4275" w:type="dxa"/>
            <w:vAlign w:val="center"/>
          </w:tcPr>
          <w:p w14:paraId="23FFB6DC">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color w:val="auto"/>
                <w:highlight w:val="none"/>
                <w:lang w:eastAsia="zh-CN"/>
              </w:rPr>
            </w:pPr>
            <w:r>
              <w:rPr>
                <w:rFonts w:hint="eastAsia" w:asciiTheme="minorAscii"/>
                <w:color w:val="auto"/>
                <w:sz w:val="21"/>
                <w:szCs w:val="21"/>
                <w:highlight w:val="none"/>
                <w:lang w:eastAsia="zh-CN"/>
              </w:rPr>
              <w:t>提供书面声明函原件加盖公章；</w:t>
            </w:r>
          </w:p>
        </w:tc>
        <w:tc>
          <w:tcPr>
            <w:tcW w:w="1575" w:type="dxa"/>
            <w:vAlign w:val="center"/>
          </w:tcPr>
          <w:p w14:paraId="52A9FC87">
            <w:pPr>
              <w:spacing w:line="360" w:lineRule="auto"/>
              <w:jc w:val="center"/>
              <w:rPr>
                <w:color w:val="auto"/>
                <w:highlight w:val="none"/>
                <w:lang w:eastAsia="zh-CN"/>
              </w:rPr>
            </w:pPr>
          </w:p>
        </w:tc>
      </w:tr>
      <w:tr w14:paraId="5C3B7C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790D82D0">
            <w:pPr>
              <w:spacing w:line="360" w:lineRule="auto"/>
              <w:jc w:val="center"/>
              <w:rPr>
                <w:rFonts w:hint="default"/>
                <w:color w:val="auto"/>
                <w:highlight w:val="none"/>
                <w:lang w:val="en-US" w:eastAsia="zh-CN"/>
              </w:rPr>
            </w:pPr>
            <w:r>
              <w:rPr>
                <w:rFonts w:hint="eastAsia"/>
                <w:color w:val="auto"/>
                <w:highlight w:val="none"/>
                <w:lang w:val="en-US" w:eastAsia="zh-CN"/>
              </w:rPr>
              <w:t>企业资质</w:t>
            </w:r>
          </w:p>
        </w:tc>
        <w:tc>
          <w:tcPr>
            <w:tcW w:w="4275" w:type="dxa"/>
            <w:vAlign w:val="center"/>
          </w:tcPr>
          <w:p w14:paraId="5BE845AC">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color w:val="auto"/>
                <w:highlight w:val="none"/>
                <w:lang w:eastAsia="zh-CN"/>
              </w:rPr>
            </w:pPr>
            <w:r>
              <w:rPr>
                <w:rFonts w:hint="eastAsia" w:asciiTheme="minorAscii"/>
                <w:color w:val="auto"/>
                <w:sz w:val="21"/>
                <w:szCs w:val="21"/>
                <w:highlight w:val="none"/>
                <w:lang w:eastAsia="zh-CN"/>
              </w:rPr>
              <w:t>具备</w:t>
            </w:r>
            <w:r>
              <w:rPr>
                <w:rFonts w:hint="eastAsia" w:asciiTheme="minorAscii"/>
                <w:color w:val="auto"/>
                <w:sz w:val="21"/>
                <w:szCs w:val="21"/>
                <w:highlight w:val="none"/>
                <w:lang w:val="en-US" w:eastAsia="zh-CN"/>
              </w:rPr>
              <w:t>乙级或以上</w:t>
            </w:r>
            <w:r>
              <w:rPr>
                <w:rFonts w:hint="eastAsia" w:asciiTheme="minorAscii"/>
                <w:color w:val="auto"/>
                <w:sz w:val="21"/>
                <w:szCs w:val="21"/>
                <w:highlight w:val="none"/>
                <w:lang w:eastAsia="zh-CN"/>
              </w:rPr>
              <w:t>测绘资质（含界线与不动产测绘、地理信息系统工程、</w:t>
            </w:r>
            <w:r>
              <w:rPr>
                <w:rFonts w:hint="eastAsia" w:asciiTheme="minorAscii"/>
                <w:color w:val="auto"/>
                <w:sz w:val="21"/>
                <w:szCs w:val="21"/>
                <w:highlight w:val="none"/>
                <w:lang w:val="en-US" w:eastAsia="zh-CN"/>
              </w:rPr>
              <w:t>测绘航空摄影</w:t>
            </w:r>
            <w:r>
              <w:rPr>
                <w:rFonts w:hint="eastAsia" w:asciiTheme="minorAscii"/>
                <w:color w:val="auto"/>
                <w:sz w:val="21"/>
                <w:szCs w:val="21"/>
                <w:highlight w:val="none"/>
                <w:lang w:eastAsia="zh-CN"/>
              </w:rPr>
              <w:t>专业），提供资质证书复印件加盖公章；</w:t>
            </w:r>
          </w:p>
        </w:tc>
        <w:tc>
          <w:tcPr>
            <w:tcW w:w="1575" w:type="dxa"/>
            <w:vAlign w:val="center"/>
          </w:tcPr>
          <w:p w14:paraId="40484F31">
            <w:pPr>
              <w:spacing w:line="360" w:lineRule="auto"/>
              <w:jc w:val="center"/>
              <w:rPr>
                <w:color w:val="auto"/>
                <w:highlight w:val="none"/>
                <w:lang w:eastAsia="zh-CN"/>
              </w:rPr>
            </w:pPr>
          </w:p>
        </w:tc>
      </w:tr>
      <w:tr w14:paraId="07CD1C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3CBDA4B7">
            <w:pPr>
              <w:spacing w:line="360" w:lineRule="auto"/>
              <w:jc w:val="center"/>
              <w:rPr>
                <w:rFonts w:hint="default"/>
                <w:color w:val="auto"/>
                <w:highlight w:val="none"/>
                <w:lang w:val="en-US" w:eastAsia="zh-CN"/>
              </w:rPr>
            </w:pPr>
            <w:r>
              <w:rPr>
                <w:rFonts w:hint="eastAsia"/>
                <w:color w:val="auto"/>
                <w:highlight w:val="none"/>
                <w:lang w:val="en-US" w:eastAsia="zh-CN"/>
              </w:rPr>
              <w:t>信用记录</w:t>
            </w:r>
          </w:p>
        </w:tc>
        <w:tc>
          <w:tcPr>
            <w:tcW w:w="4275" w:type="dxa"/>
            <w:vAlign w:val="center"/>
          </w:tcPr>
          <w:p w14:paraId="32AB05A0">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color w:val="auto"/>
                <w:highlight w:val="none"/>
                <w:lang w:eastAsia="zh-CN"/>
              </w:rPr>
            </w:pPr>
            <w:r>
              <w:rPr>
                <w:rFonts w:hint="eastAsia" w:asciiTheme="minorAscii"/>
                <w:color w:val="auto"/>
                <w:sz w:val="21"/>
                <w:szCs w:val="21"/>
                <w:highlight w:val="none"/>
                <w:lang w:eastAsia="zh-CN"/>
              </w:rPr>
              <w:t>未被列入“信用中国”网站（www.creditchina.gov.cn）失信被执行人、重大税收违法失信主体名单及中国政府采购网（www.ccgp.gov.cn）政府采购严重违法失信行为记录名单（提供投标截止日前10日内的查询截图加盖公章）。</w:t>
            </w:r>
          </w:p>
        </w:tc>
        <w:tc>
          <w:tcPr>
            <w:tcW w:w="1575" w:type="dxa"/>
            <w:vAlign w:val="center"/>
          </w:tcPr>
          <w:p w14:paraId="528587F7">
            <w:pPr>
              <w:spacing w:line="360" w:lineRule="auto"/>
              <w:jc w:val="center"/>
              <w:rPr>
                <w:color w:val="auto"/>
                <w:highlight w:val="none"/>
                <w:lang w:eastAsia="zh-CN"/>
              </w:rPr>
            </w:pPr>
          </w:p>
        </w:tc>
      </w:tr>
      <w:tr w14:paraId="2CA5D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14C73947">
            <w:pPr>
              <w:spacing w:line="360" w:lineRule="auto"/>
              <w:jc w:val="center"/>
              <w:rPr>
                <w:rFonts w:hint="default"/>
                <w:color w:val="auto"/>
                <w:highlight w:val="none"/>
                <w:lang w:val="en-US" w:eastAsia="zh-CN"/>
              </w:rPr>
            </w:pPr>
            <w:r>
              <w:rPr>
                <w:rFonts w:hint="eastAsia"/>
                <w:color w:val="auto"/>
                <w:highlight w:val="none"/>
                <w:lang w:val="en-US" w:eastAsia="zh-CN"/>
              </w:rPr>
              <w:t>投标保证金</w:t>
            </w:r>
          </w:p>
        </w:tc>
        <w:tc>
          <w:tcPr>
            <w:tcW w:w="4275" w:type="dxa"/>
            <w:vAlign w:val="center"/>
          </w:tcPr>
          <w:p w14:paraId="74B1748B">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color w:val="auto"/>
                <w:highlight w:val="none"/>
                <w:lang w:eastAsia="zh-CN"/>
              </w:rPr>
            </w:pPr>
            <w:r>
              <w:rPr>
                <w:rFonts w:hint="eastAsia" w:asciiTheme="minorAscii"/>
                <w:color w:val="auto"/>
                <w:sz w:val="21"/>
                <w:szCs w:val="21"/>
                <w:highlight w:val="none"/>
                <w:lang w:eastAsia="zh-CN"/>
              </w:rPr>
              <w:t>投标保证金缴纳凭证复印件；</w:t>
            </w:r>
          </w:p>
        </w:tc>
        <w:tc>
          <w:tcPr>
            <w:tcW w:w="1575" w:type="dxa"/>
            <w:vAlign w:val="center"/>
          </w:tcPr>
          <w:p w14:paraId="3EA4643A">
            <w:pPr>
              <w:spacing w:line="360" w:lineRule="auto"/>
              <w:jc w:val="center"/>
              <w:rPr>
                <w:color w:val="auto"/>
                <w:highlight w:val="none"/>
                <w:lang w:eastAsia="zh-CN"/>
              </w:rPr>
            </w:pPr>
          </w:p>
        </w:tc>
      </w:tr>
      <w:tr w14:paraId="48B19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8" w:type="dxa"/>
            <w:vAlign w:val="center"/>
          </w:tcPr>
          <w:p w14:paraId="2D158490">
            <w:pPr>
              <w:spacing w:line="360" w:lineRule="auto"/>
              <w:jc w:val="center"/>
              <w:rPr>
                <w:rFonts w:hint="default"/>
                <w:color w:val="auto"/>
                <w:highlight w:val="none"/>
                <w:lang w:val="en-US" w:eastAsia="zh-CN"/>
              </w:rPr>
            </w:pPr>
            <w:r>
              <w:rPr>
                <w:rFonts w:hint="eastAsia"/>
                <w:color w:val="auto"/>
                <w:highlight w:val="none"/>
                <w:lang w:val="en-US" w:eastAsia="zh-CN"/>
              </w:rPr>
              <w:t>其他</w:t>
            </w:r>
          </w:p>
        </w:tc>
        <w:tc>
          <w:tcPr>
            <w:tcW w:w="4275" w:type="dxa"/>
            <w:vAlign w:val="center"/>
          </w:tcPr>
          <w:p w14:paraId="2E0164EA">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color w:val="auto"/>
                <w:highlight w:val="none"/>
                <w:lang w:eastAsia="zh-CN"/>
              </w:rPr>
            </w:pPr>
            <w:r>
              <w:rPr>
                <w:rFonts w:hint="eastAsia" w:asciiTheme="minorAscii"/>
                <w:color w:val="auto"/>
                <w:sz w:val="21"/>
                <w:szCs w:val="21"/>
                <w:highlight w:val="none"/>
                <w:lang w:eastAsia="zh-CN"/>
              </w:rPr>
              <w:t>招标文件要求的其他资格证明材料。</w:t>
            </w:r>
          </w:p>
        </w:tc>
        <w:tc>
          <w:tcPr>
            <w:tcW w:w="1575" w:type="dxa"/>
            <w:vAlign w:val="center"/>
          </w:tcPr>
          <w:p w14:paraId="08ECAF3C">
            <w:pPr>
              <w:spacing w:line="360" w:lineRule="auto"/>
              <w:jc w:val="center"/>
              <w:rPr>
                <w:color w:val="auto"/>
                <w:highlight w:val="none"/>
                <w:lang w:eastAsia="zh-CN"/>
              </w:rPr>
            </w:pPr>
          </w:p>
        </w:tc>
      </w:tr>
    </w:tbl>
    <w:p w14:paraId="1322A71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注：资格性审查中有一项不合格的，其投标文件按无效投标处理。</w:t>
      </w:r>
    </w:p>
    <w:p w14:paraId="117E1561">
      <w:pPr>
        <w:spacing w:line="360" w:lineRule="auto"/>
        <w:rPr>
          <w:rFonts w:hint="eastAsia"/>
          <w:b/>
          <w:color w:val="auto"/>
          <w:sz w:val="28"/>
          <w:highlight w:val="none"/>
          <w:lang w:eastAsia="zh-CN"/>
        </w:rPr>
      </w:pPr>
      <w:r>
        <w:rPr>
          <w:rFonts w:hint="eastAsia"/>
          <w:b/>
          <w:color w:val="auto"/>
          <w:sz w:val="28"/>
          <w:highlight w:val="none"/>
          <w:lang w:eastAsia="zh-CN"/>
        </w:rPr>
        <w:t>三、符合性审查标准</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96"/>
        <w:gridCol w:w="4962"/>
        <w:gridCol w:w="1638"/>
      </w:tblGrid>
      <w:tr w14:paraId="4DC4B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96" w:type="dxa"/>
            <w:vAlign w:val="center"/>
          </w:tcPr>
          <w:p w14:paraId="14A23C72">
            <w:pPr>
              <w:spacing w:line="360" w:lineRule="auto"/>
              <w:jc w:val="center"/>
              <w:rPr>
                <w:color w:val="auto"/>
                <w:highlight w:val="none"/>
                <w:lang w:eastAsia="zh-CN"/>
              </w:rPr>
            </w:pPr>
            <w:bookmarkStart w:id="0" w:name="OLE_LINK1"/>
            <w:r>
              <w:rPr>
                <w:rFonts w:hint="eastAsia"/>
                <w:color w:val="auto"/>
                <w:highlight w:val="none"/>
                <w:lang w:eastAsia="zh-CN"/>
              </w:rPr>
              <w:t>审查项目</w:t>
            </w:r>
          </w:p>
        </w:tc>
        <w:tc>
          <w:tcPr>
            <w:tcW w:w="4962" w:type="dxa"/>
            <w:vAlign w:val="center"/>
          </w:tcPr>
          <w:p w14:paraId="075656D7">
            <w:pPr>
              <w:spacing w:line="360" w:lineRule="auto"/>
              <w:jc w:val="center"/>
              <w:rPr>
                <w:color w:val="auto"/>
                <w:highlight w:val="none"/>
                <w:lang w:eastAsia="zh-CN"/>
              </w:rPr>
            </w:pPr>
            <w:r>
              <w:rPr>
                <w:rFonts w:hint="eastAsia"/>
                <w:color w:val="auto"/>
                <w:highlight w:val="none"/>
                <w:lang w:eastAsia="zh-CN"/>
              </w:rPr>
              <w:t>审查标准</w:t>
            </w:r>
          </w:p>
        </w:tc>
        <w:tc>
          <w:tcPr>
            <w:tcW w:w="1638" w:type="dxa"/>
            <w:vAlign w:val="center"/>
          </w:tcPr>
          <w:p w14:paraId="48B6FCA5">
            <w:pPr>
              <w:spacing w:line="360" w:lineRule="auto"/>
              <w:jc w:val="center"/>
              <w:rPr>
                <w:color w:val="auto"/>
                <w:highlight w:val="none"/>
                <w:lang w:eastAsia="zh-CN"/>
              </w:rPr>
            </w:pPr>
            <w:r>
              <w:rPr>
                <w:rFonts w:hint="eastAsia"/>
                <w:color w:val="auto"/>
                <w:highlight w:val="none"/>
                <w:lang w:eastAsia="zh-CN"/>
              </w:rPr>
              <w:t>审查结果（合格/不合格）</w:t>
            </w:r>
          </w:p>
        </w:tc>
      </w:tr>
      <w:tr w14:paraId="72512D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96" w:type="dxa"/>
            <w:vAlign w:val="center"/>
          </w:tcPr>
          <w:p w14:paraId="5D500F11">
            <w:pPr>
              <w:spacing w:line="360" w:lineRule="auto"/>
              <w:jc w:val="center"/>
              <w:rPr>
                <w:color w:val="auto"/>
                <w:highlight w:val="none"/>
                <w:lang w:eastAsia="zh-CN"/>
              </w:rPr>
            </w:pPr>
            <w:r>
              <w:rPr>
                <w:rFonts w:hint="eastAsia"/>
                <w:color w:val="auto"/>
                <w:highlight w:val="none"/>
                <w:lang w:eastAsia="zh-CN"/>
              </w:rPr>
              <w:t>投标文件格式</w:t>
            </w:r>
          </w:p>
        </w:tc>
        <w:tc>
          <w:tcPr>
            <w:tcW w:w="4962" w:type="dxa"/>
            <w:vAlign w:val="center"/>
          </w:tcPr>
          <w:p w14:paraId="289451C9">
            <w:pPr>
              <w:spacing w:line="360" w:lineRule="auto"/>
              <w:jc w:val="both"/>
              <w:outlineLvl w:val="1"/>
              <w:rPr>
                <w:color w:val="auto"/>
                <w:highlight w:val="none"/>
                <w:lang w:eastAsia="zh-CN"/>
              </w:rPr>
            </w:pPr>
            <w:r>
              <w:rPr>
                <w:rFonts w:hint="eastAsia"/>
                <w:color w:val="auto"/>
                <w:highlight w:val="none"/>
                <w:lang w:eastAsia="zh-CN"/>
              </w:rPr>
              <w:t>按照第五部分“投标文件格式”要求编制，内容完整、加盖公章，正本、副本数量符合规定</w:t>
            </w:r>
          </w:p>
        </w:tc>
        <w:tc>
          <w:tcPr>
            <w:tcW w:w="1638" w:type="dxa"/>
            <w:vAlign w:val="center"/>
          </w:tcPr>
          <w:p w14:paraId="7C0DEB9C">
            <w:pPr>
              <w:spacing w:line="360" w:lineRule="auto"/>
              <w:jc w:val="center"/>
              <w:rPr>
                <w:color w:val="auto"/>
                <w:highlight w:val="none"/>
                <w:lang w:eastAsia="zh-CN"/>
              </w:rPr>
            </w:pPr>
          </w:p>
        </w:tc>
      </w:tr>
      <w:tr w14:paraId="39994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96" w:type="dxa"/>
            <w:vAlign w:val="center"/>
          </w:tcPr>
          <w:p w14:paraId="16C63084">
            <w:pPr>
              <w:spacing w:line="360" w:lineRule="auto"/>
              <w:jc w:val="center"/>
              <w:outlineLvl w:val="1"/>
              <w:rPr>
                <w:color w:val="auto"/>
                <w:highlight w:val="none"/>
                <w:lang w:eastAsia="zh-CN"/>
              </w:rPr>
            </w:pPr>
            <w:r>
              <w:rPr>
                <w:rFonts w:hint="eastAsia"/>
                <w:color w:val="auto"/>
                <w:highlight w:val="none"/>
                <w:lang w:eastAsia="zh-CN"/>
              </w:rPr>
              <w:t>投标报价</w:t>
            </w:r>
          </w:p>
        </w:tc>
        <w:tc>
          <w:tcPr>
            <w:tcW w:w="4962" w:type="dxa"/>
            <w:vAlign w:val="center"/>
          </w:tcPr>
          <w:p w14:paraId="4C6047BF">
            <w:pPr>
              <w:spacing w:line="360" w:lineRule="auto"/>
              <w:jc w:val="both"/>
              <w:outlineLvl w:val="1"/>
              <w:rPr>
                <w:color w:val="auto"/>
                <w:highlight w:val="none"/>
                <w:lang w:eastAsia="zh-CN"/>
              </w:rPr>
            </w:pPr>
            <w:r>
              <w:rPr>
                <w:rFonts w:hint="eastAsia"/>
                <w:color w:val="auto"/>
                <w:highlight w:val="none"/>
                <w:lang w:eastAsia="zh-CN"/>
              </w:rPr>
              <w:t>投标报价不超过最高限价，计价单位、报价方式符合招标文件规定，未出现明显不合理低价（低于</w:t>
            </w:r>
            <w:r>
              <w:rPr>
                <w:rFonts w:hint="eastAsia"/>
                <w:color w:val="auto"/>
                <w:highlight w:val="none"/>
                <w:lang w:val="en-US" w:eastAsia="zh-CN"/>
              </w:rPr>
              <w:t>:90</w:t>
            </w:r>
            <w:r>
              <w:rPr>
                <w:rFonts w:hint="eastAsia"/>
                <w:color w:val="auto"/>
                <w:highlight w:val="none"/>
                <w:lang w:eastAsia="zh-CN"/>
              </w:rPr>
              <w:t>元/户的</w:t>
            </w:r>
            <w:r>
              <w:rPr>
                <w:rFonts w:hint="eastAsia"/>
                <w:color w:val="auto"/>
                <w:highlight w:val="none"/>
                <w:lang w:val="en-US" w:eastAsia="zh-CN"/>
              </w:rPr>
              <w:t>投标文件中</w:t>
            </w:r>
            <w:r>
              <w:rPr>
                <w:rFonts w:hint="eastAsia"/>
                <w:color w:val="auto"/>
                <w:highlight w:val="none"/>
                <w:lang w:eastAsia="zh-CN"/>
              </w:rPr>
              <w:t>需</w:t>
            </w:r>
            <w:r>
              <w:rPr>
                <w:rFonts w:hint="eastAsia"/>
                <w:color w:val="auto"/>
                <w:highlight w:val="none"/>
                <w:lang w:val="en-US" w:eastAsia="zh-CN"/>
              </w:rPr>
              <w:t>同时</w:t>
            </w:r>
            <w:r>
              <w:rPr>
                <w:rFonts w:hint="eastAsia"/>
                <w:color w:val="auto"/>
                <w:highlight w:val="none"/>
                <w:lang w:eastAsia="zh-CN"/>
              </w:rPr>
              <w:t>提供详细成本测算说明并证明合理性）</w:t>
            </w:r>
          </w:p>
        </w:tc>
        <w:tc>
          <w:tcPr>
            <w:tcW w:w="1638" w:type="dxa"/>
            <w:vAlign w:val="center"/>
          </w:tcPr>
          <w:p w14:paraId="5792CBA6">
            <w:pPr>
              <w:spacing w:line="360" w:lineRule="auto"/>
              <w:jc w:val="center"/>
              <w:rPr>
                <w:color w:val="auto"/>
                <w:highlight w:val="none"/>
                <w:lang w:eastAsia="zh-CN"/>
              </w:rPr>
            </w:pPr>
          </w:p>
        </w:tc>
      </w:tr>
      <w:tr w14:paraId="7DFE62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96" w:type="dxa"/>
            <w:vAlign w:val="center"/>
          </w:tcPr>
          <w:p w14:paraId="07C2D5DA">
            <w:pPr>
              <w:spacing w:line="360" w:lineRule="auto"/>
              <w:jc w:val="center"/>
              <w:outlineLvl w:val="1"/>
              <w:rPr>
                <w:color w:val="auto"/>
                <w:highlight w:val="none"/>
                <w:lang w:eastAsia="zh-CN"/>
              </w:rPr>
            </w:pPr>
            <w:r>
              <w:rPr>
                <w:rFonts w:hint="eastAsia"/>
                <w:color w:val="auto"/>
                <w:highlight w:val="none"/>
                <w:lang w:eastAsia="zh-CN"/>
              </w:rPr>
              <w:t>服务期限</w:t>
            </w:r>
          </w:p>
        </w:tc>
        <w:tc>
          <w:tcPr>
            <w:tcW w:w="4962" w:type="dxa"/>
            <w:vAlign w:val="center"/>
          </w:tcPr>
          <w:p w14:paraId="595E7FBD">
            <w:pPr>
              <w:spacing w:line="360" w:lineRule="auto"/>
              <w:jc w:val="both"/>
              <w:outlineLvl w:val="1"/>
              <w:rPr>
                <w:color w:val="auto"/>
                <w:highlight w:val="none"/>
                <w:lang w:eastAsia="zh-CN"/>
              </w:rPr>
            </w:pPr>
            <w:r>
              <w:rPr>
                <w:rFonts w:hint="eastAsia"/>
                <w:color w:val="auto"/>
                <w:highlight w:val="none"/>
                <w:lang w:eastAsia="zh-CN"/>
              </w:rPr>
              <w:t>承诺的服务期限符合招标文件要求（自合同签订之日起12个月内完成，</w:t>
            </w:r>
            <w:r>
              <w:rPr>
                <w:rFonts w:hint="eastAsia"/>
                <w:color w:val="auto"/>
                <w:highlight w:val="none"/>
                <w:lang w:val="en-US" w:eastAsia="zh-CN"/>
              </w:rPr>
              <w:t>特殊情况</w:t>
            </w:r>
            <w:r>
              <w:rPr>
                <w:rFonts w:hint="eastAsia"/>
                <w:color w:val="auto"/>
                <w:highlight w:val="none"/>
                <w:lang w:eastAsia="zh-CN"/>
              </w:rPr>
              <w:t>可协商延长）</w:t>
            </w:r>
          </w:p>
        </w:tc>
        <w:tc>
          <w:tcPr>
            <w:tcW w:w="1638" w:type="dxa"/>
            <w:vAlign w:val="center"/>
          </w:tcPr>
          <w:p w14:paraId="5D6EC322">
            <w:pPr>
              <w:spacing w:line="360" w:lineRule="auto"/>
              <w:jc w:val="center"/>
              <w:rPr>
                <w:color w:val="auto"/>
                <w:highlight w:val="none"/>
                <w:lang w:eastAsia="zh-CN"/>
              </w:rPr>
            </w:pPr>
          </w:p>
        </w:tc>
      </w:tr>
      <w:tr w14:paraId="174342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96" w:type="dxa"/>
            <w:vAlign w:val="center"/>
          </w:tcPr>
          <w:p w14:paraId="4AFAF72E">
            <w:pPr>
              <w:spacing w:line="360" w:lineRule="auto"/>
              <w:jc w:val="center"/>
              <w:outlineLvl w:val="1"/>
              <w:rPr>
                <w:color w:val="auto"/>
                <w:highlight w:val="none"/>
                <w:lang w:eastAsia="zh-CN"/>
              </w:rPr>
            </w:pPr>
            <w:r>
              <w:rPr>
                <w:rFonts w:hint="eastAsia"/>
                <w:color w:val="auto"/>
                <w:highlight w:val="none"/>
                <w:lang w:eastAsia="zh-CN"/>
              </w:rPr>
              <w:t>技术要求响应</w:t>
            </w:r>
          </w:p>
        </w:tc>
        <w:tc>
          <w:tcPr>
            <w:tcW w:w="4962" w:type="dxa"/>
            <w:vAlign w:val="center"/>
          </w:tcPr>
          <w:p w14:paraId="32C87B8A">
            <w:pPr>
              <w:spacing w:line="360" w:lineRule="auto"/>
              <w:jc w:val="both"/>
              <w:outlineLvl w:val="1"/>
              <w:rPr>
                <w:color w:val="auto"/>
                <w:highlight w:val="none"/>
                <w:lang w:eastAsia="zh-CN"/>
              </w:rPr>
            </w:pPr>
            <w:r>
              <w:rPr>
                <w:rFonts w:hint="eastAsia"/>
                <w:color w:val="auto"/>
                <w:highlight w:val="none"/>
                <w:lang w:eastAsia="zh-CN"/>
              </w:rPr>
              <w:t>投标文件中明确响应第三部分“采购项目需求”的所有技术要求，无实质性偏离</w:t>
            </w:r>
          </w:p>
        </w:tc>
        <w:tc>
          <w:tcPr>
            <w:tcW w:w="1638" w:type="dxa"/>
            <w:vAlign w:val="center"/>
          </w:tcPr>
          <w:p w14:paraId="7B2C3BBA">
            <w:pPr>
              <w:spacing w:line="360" w:lineRule="auto"/>
              <w:jc w:val="center"/>
              <w:rPr>
                <w:color w:val="auto"/>
                <w:highlight w:val="none"/>
                <w:lang w:eastAsia="zh-CN"/>
              </w:rPr>
            </w:pPr>
          </w:p>
        </w:tc>
      </w:tr>
      <w:tr w14:paraId="3CADF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96" w:type="dxa"/>
            <w:vAlign w:val="center"/>
          </w:tcPr>
          <w:p w14:paraId="12F178F0">
            <w:pPr>
              <w:spacing w:line="360" w:lineRule="auto"/>
              <w:jc w:val="center"/>
              <w:outlineLvl w:val="1"/>
              <w:rPr>
                <w:color w:val="auto"/>
                <w:highlight w:val="none"/>
                <w:lang w:eastAsia="zh-CN"/>
              </w:rPr>
            </w:pPr>
            <w:r>
              <w:rPr>
                <w:rFonts w:hint="eastAsia"/>
                <w:color w:val="auto"/>
                <w:highlight w:val="none"/>
                <w:lang w:eastAsia="zh-CN"/>
              </w:rPr>
              <w:t>电子文件提交</w:t>
            </w:r>
          </w:p>
        </w:tc>
        <w:tc>
          <w:tcPr>
            <w:tcW w:w="4962" w:type="dxa"/>
            <w:vAlign w:val="center"/>
          </w:tcPr>
          <w:p w14:paraId="45DC3C8D">
            <w:pPr>
              <w:spacing w:line="360" w:lineRule="auto"/>
              <w:jc w:val="both"/>
              <w:rPr>
                <w:color w:val="auto"/>
                <w:highlight w:val="none"/>
                <w:lang w:eastAsia="zh-CN"/>
              </w:rPr>
            </w:pPr>
            <w:r>
              <w:rPr>
                <w:rFonts w:hint="eastAsia"/>
                <w:color w:val="auto"/>
                <w:highlight w:val="none"/>
                <w:lang w:eastAsia="zh-CN"/>
              </w:rPr>
              <w:t>按规定提交电子版投标文件，内容与纸质文件一致</w:t>
            </w:r>
          </w:p>
        </w:tc>
        <w:tc>
          <w:tcPr>
            <w:tcW w:w="1638" w:type="dxa"/>
            <w:vAlign w:val="center"/>
          </w:tcPr>
          <w:p w14:paraId="7513ECF9">
            <w:pPr>
              <w:spacing w:line="360" w:lineRule="auto"/>
              <w:jc w:val="center"/>
              <w:rPr>
                <w:color w:val="auto"/>
                <w:highlight w:val="none"/>
                <w:lang w:eastAsia="zh-CN"/>
              </w:rPr>
            </w:pPr>
          </w:p>
        </w:tc>
      </w:tr>
      <w:bookmarkEnd w:id="0"/>
    </w:tbl>
    <w:p w14:paraId="614A70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p>
    <w:p w14:paraId="6413FAF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lang w:eastAsia="zh-CN"/>
        </w:rPr>
      </w:pPr>
      <w:r>
        <w:rPr>
          <w:rFonts w:hint="eastAsia"/>
          <w:color w:val="auto"/>
          <w:highlight w:val="none"/>
          <w:lang w:eastAsia="zh-CN"/>
        </w:rPr>
        <w:t>注：符合性审查中有一项不合格的，其投标文件按无效投标处理。</w:t>
      </w:r>
    </w:p>
    <w:p w14:paraId="11A74B9B">
      <w:pPr>
        <w:spacing w:line="360" w:lineRule="auto"/>
        <w:rPr>
          <w:rFonts w:hint="eastAsia"/>
          <w:b/>
          <w:color w:val="auto"/>
          <w:sz w:val="28"/>
          <w:highlight w:val="none"/>
          <w:lang w:eastAsia="zh-CN"/>
        </w:rPr>
      </w:pPr>
      <w:r>
        <w:rPr>
          <w:rFonts w:hint="eastAsia"/>
          <w:b/>
          <w:color w:val="auto"/>
          <w:sz w:val="28"/>
          <w:highlight w:val="none"/>
          <w:lang w:eastAsia="zh-CN"/>
        </w:rPr>
        <w:t>四、详细评审标准（总分100分）</w:t>
      </w:r>
    </w:p>
    <w:p w14:paraId="4FA03A6E">
      <w:pPr>
        <w:spacing w:line="360" w:lineRule="auto"/>
        <w:rPr>
          <w:rFonts w:hint="eastAsia"/>
          <w:b/>
          <w:color w:val="auto"/>
          <w:sz w:val="28"/>
          <w:highlight w:val="none"/>
          <w:lang w:eastAsia="zh-CN"/>
        </w:rPr>
        <w:sectPr>
          <w:footerReference r:id="rId5" w:type="default"/>
          <w:pgSz w:w="11906" w:h="16838"/>
          <w:pgMar w:top="1440" w:right="1800" w:bottom="1440" w:left="1800" w:header="851" w:footer="992" w:gutter="0"/>
          <w:cols w:space="720" w:num="1"/>
        </w:sectPr>
      </w:pP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249"/>
        <w:gridCol w:w="992"/>
        <w:gridCol w:w="10206"/>
      </w:tblGrid>
      <w:tr w14:paraId="130AE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vAlign w:val="center"/>
          </w:tcPr>
          <w:p w14:paraId="4FC8F84D">
            <w:pPr>
              <w:jc w:val="center"/>
              <w:rPr>
                <w:color w:val="auto"/>
                <w:highlight w:val="none"/>
                <w:lang w:eastAsia="zh-CN"/>
              </w:rPr>
            </w:pPr>
            <w:r>
              <w:rPr>
                <w:rFonts w:hint="eastAsia"/>
                <w:color w:val="auto"/>
                <w:highlight w:val="none"/>
                <w:lang w:eastAsia="zh-CN"/>
              </w:rPr>
              <w:t>评审部分</w:t>
            </w:r>
          </w:p>
        </w:tc>
        <w:tc>
          <w:tcPr>
            <w:tcW w:w="1249" w:type="dxa"/>
            <w:vAlign w:val="center"/>
          </w:tcPr>
          <w:p w14:paraId="4E8182D4">
            <w:pPr>
              <w:jc w:val="center"/>
              <w:rPr>
                <w:color w:val="auto"/>
                <w:highlight w:val="none"/>
                <w:lang w:eastAsia="zh-CN"/>
              </w:rPr>
            </w:pPr>
            <w:r>
              <w:rPr>
                <w:rFonts w:hint="eastAsia"/>
                <w:color w:val="auto"/>
                <w:highlight w:val="none"/>
                <w:lang w:eastAsia="zh-CN"/>
              </w:rPr>
              <w:t>评审指标</w:t>
            </w:r>
          </w:p>
        </w:tc>
        <w:tc>
          <w:tcPr>
            <w:tcW w:w="992" w:type="dxa"/>
            <w:vAlign w:val="center"/>
          </w:tcPr>
          <w:p w14:paraId="6148CB64">
            <w:pPr>
              <w:jc w:val="center"/>
              <w:rPr>
                <w:color w:val="auto"/>
                <w:highlight w:val="none"/>
                <w:lang w:eastAsia="zh-CN"/>
              </w:rPr>
            </w:pPr>
            <w:r>
              <w:rPr>
                <w:rFonts w:hint="eastAsia"/>
                <w:color w:val="auto"/>
                <w:highlight w:val="none"/>
                <w:lang w:eastAsia="zh-CN"/>
              </w:rPr>
              <w:t>分值</w:t>
            </w:r>
          </w:p>
        </w:tc>
        <w:tc>
          <w:tcPr>
            <w:tcW w:w="10206" w:type="dxa"/>
            <w:vAlign w:val="center"/>
          </w:tcPr>
          <w:p w14:paraId="3D568168">
            <w:pPr>
              <w:jc w:val="center"/>
              <w:rPr>
                <w:color w:val="auto"/>
                <w:highlight w:val="none"/>
                <w:lang w:eastAsia="zh-CN"/>
              </w:rPr>
            </w:pPr>
            <w:r>
              <w:rPr>
                <w:rFonts w:hint="eastAsia"/>
                <w:color w:val="auto"/>
                <w:highlight w:val="none"/>
                <w:lang w:eastAsia="zh-CN"/>
              </w:rPr>
              <w:t>评审标准</w:t>
            </w:r>
          </w:p>
        </w:tc>
      </w:tr>
      <w:tr w14:paraId="22668B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vMerge w:val="restart"/>
            <w:vAlign w:val="center"/>
          </w:tcPr>
          <w:p w14:paraId="32BCD0D4">
            <w:pPr>
              <w:jc w:val="center"/>
              <w:rPr>
                <w:color w:val="auto"/>
                <w:highlight w:val="none"/>
                <w:lang w:eastAsia="zh-CN"/>
              </w:rPr>
            </w:pPr>
            <w:r>
              <w:rPr>
                <w:rFonts w:hint="eastAsia"/>
                <w:color w:val="auto"/>
                <w:highlight w:val="none"/>
                <w:lang w:eastAsia="zh-CN"/>
              </w:rPr>
              <w:t>技术部分（50分）</w:t>
            </w:r>
          </w:p>
          <w:p w14:paraId="48CE90BB">
            <w:pPr>
              <w:jc w:val="center"/>
              <w:outlineLvl w:val="1"/>
              <w:rPr>
                <w:color w:val="auto"/>
                <w:highlight w:val="none"/>
                <w:lang w:eastAsia="zh-CN"/>
              </w:rPr>
            </w:pPr>
          </w:p>
          <w:p w14:paraId="0DE20875">
            <w:pPr>
              <w:jc w:val="center"/>
              <w:outlineLvl w:val="1"/>
              <w:rPr>
                <w:color w:val="auto"/>
                <w:highlight w:val="none"/>
                <w:lang w:eastAsia="zh-CN"/>
              </w:rPr>
            </w:pPr>
          </w:p>
        </w:tc>
        <w:tc>
          <w:tcPr>
            <w:tcW w:w="1249" w:type="dxa"/>
            <w:vAlign w:val="center"/>
          </w:tcPr>
          <w:p w14:paraId="410BF703">
            <w:pPr>
              <w:jc w:val="center"/>
              <w:outlineLvl w:val="1"/>
              <w:rPr>
                <w:color w:val="auto"/>
                <w:highlight w:val="none"/>
                <w:lang w:eastAsia="zh-CN"/>
              </w:rPr>
            </w:pPr>
            <w:r>
              <w:rPr>
                <w:rFonts w:hint="eastAsia"/>
                <w:color w:val="auto"/>
                <w:highlight w:val="none"/>
                <w:lang w:eastAsia="zh-CN"/>
              </w:rPr>
              <w:t>原始数据重建方案</w:t>
            </w:r>
          </w:p>
        </w:tc>
        <w:tc>
          <w:tcPr>
            <w:tcW w:w="992" w:type="dxa"/>
            <w:vAlign w:val="center"/>
          </w:tcPr>
          <w:p w14:paraId="420766AE">
            <w:pPr>
              <w:jc w:val="center"/>
              <w:outlineLvl w:val="1"/>
              <w:rPr>
                <w:color w:val="auto"/>
                <w:highlight w:val="none"/>
                <w:lang w:eastAsia="zh-CN"/>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分</w:t>
            </w:r>
          </w:p>
        </w:tc>
        <w:tc>
          <w:tcPr>
            <w:tcW w:w="10206" w:type="dxa"/>
            <w:vAlign w:val="center"/>
          </w:tcPr>
          <w:p w14:paraId="3688FA0F">
            <w:pPr>
              <w:rPr>
                <w:color w:val="auto"/>
                <w:highlight w:val="none"/>
                <w:lang w:eastAsia="zh-CN"/>
              </w:rPr>
            </w:pPr>
            <w:r>
              <w:rPr>
                <w:rFonts w:hint="eastAsia"/>
                <w:color w:val="auto"/>
                <w:highlight w:val="none"/>
                <w:lang w:eastAsia="zh-CN"/>
              </w:rPr>
              <w:t>方案完整覆盖历史资料溯源、影像</w:t>
            </w:r>
            <w:r>
              <w:rPr>
                <w:rFonts w:hint="eastAsia"/>
                <w:color w:val="auto"/>
                <w:highlight w:val="none"/>
                <w:lang w:val="en-US" w:eastAsia="zh-CN"/>
              </w:rPr>
              <w:t>获取</w:t>
            </w:r>
            <w:r>
              <w:rPr>
                <w:rFonts w:hint="eastAsia"/>
                <w:color w:val="auto"/>
                <w:highlight w:val="none"/>
                <w:lang w:eastAsia="zh-CN"/>
              </w:rPr>
              <w:t>、数据标准化等内容，针对崇川</w:t>
            </w:r>
            <w:r>
              <w:rPr>
                <w:rFonts w:hint="eastAsia"/>
                <w:color w:val="auto"/>
                <w:highlight w:val="none"/>
                <w:lang w:val="en-US" w:eastAsia="zh-CN"/>
              </w:rPr>
              <w:t>区</w:t>
            </w:r>
            <w:r>
              <w:rPr>
                <w:rFonts w:hint="eastAsia"/>
                <w:color w:val="auto"/>
                <w:highlight w:val="none"/>
                <w:lang w:eastAsia="zh-CN"/>
              </w:rPr>
              <w:t>无原始数据特点提出可操作的调研及复核机制，得1</w:t>
            </w:r>
            <w:r>
              <w:rPr>
                <w:rFonts w:hint="eastAsia"/>
                <w:color w:val="auto"/>
                <w:highlight w:val="none"/>
                <w:lang w:val="en-US" w:eastAsia="zh-CN"/>
              </w:rPr>
              <w:t>0</w:t>
            </w:r>
            <w:r>
              <w:rPr>
                <w:rFonts w:hint="eastAsia"/>
                <w:color w:val="auto"/>
                <w:highlight w:val="none"/>
                <w:lang w:eastAsia="zh-CN"/>
              </w:rPr>
              <w:t>分；方案基本完整但针对性不足，得</w:t>
            </w:r>
            <w:r>
              <w:rPr>
                <w:rFonts w:hint="eastAsia"/>
                <w:color w:val="auto"/>
                <w:highlight w:val="none"/>
                <w:lang w:val="en-US" w:eastAsia="zh-CN"/>
              </w:rPr>
              <w:t>5</w:t>
            </w:r>
            <w:r>
              <w:rPr>
                <w:rFonts w:hint="eastAsia"/>
                <w:color w:val="auto"/>
                <w:highlight w:val="none"/>
                <w:lang w:eastAsia="zh-CN"/>
              </w:rPr>
              <w:t>分；方案缺项或不合理，不得分。</w:t>
            </w:r>
          </w:p>
        </w:tc>
      </w:tr>
      <w:tr w14:paraId="6C6CE8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vMerge w:val="continue"/>
            <w:vAlign w:val="center"/>
          </w:tcPr>
          <w:p w14:paraId="31F63A09">
            <w:pPr>
              <w:jc w:val="center"/>
              <w:outlineLvl w:val="1"/>
              <w:rPr>
                <w:color w:val="auto"/>
                <w:highlight w:val="none"/>
                <w:lang w:eastAsia="zh-CN"/>
              </w:rPr>
            </w:pPr>
          </w:p>
        </w:tc>
        <w:tc>
          <w:tcPr>
            <w:tcW w:w="1249" w:type="dxa"/>
            <w:vAlign w:val="center"/>
          </w:tcPr>
          <w:p w14:paraId="64078F2D">
            <w:pPr>
              <w:jc w:val="center"/>
              <w:outlineLvl w:val="1"/>
              <w:rPr>
                <w:color w:val="auto"/>
                <w:highlight w:val="none"/>
                <w:lang w:eastAsia="zh-CN"/>
              </w:rPr>
            </w:pPr>
            <w:r>
              <w:rPr>
                <w:rFonts w:hint="eastAsia"/>
                <w:color w:val="auto"/>
                <w:highlight w:val="none"/>
                <w:lang w:eastAsia="zh-CN"/>
              </w:rPr>
              <w:t>初始地籍勘测方案</w:t>
            </w:r>
          </w:p>
        </w:tc>
        <w:tc>
          <w:tcPr>
            <w:tcW w:w="992" w:type="dxa"/>
            <w:vAlign w:val="center"/>
          </w:tcPr>
          <w:p w14:paraId="12F2608B">
            <w:pPr>
              <w:jc w:val="center"/>
              <w:outlineLvl w:val="1"/>
              <w:rPr>
                <w:color w:val="auto"/>
                <w:highlight w:val="none"/>
                <w:lang w:eastAsia="zh-CN"/>
              </w:rPr>
            </w:pPr>
            <w:bookmarkStart w:id="1" w:name="OLE_LINK3"/>
            <w:bookmarkStart w:id="2" w:name="OLE_LINK2"/>
            <w:r>
              <w:rPr>
                <w:color w:val="auto"/>
                <w:highlight w:val="none"/>
                <w:lang w:eastAsia="zh-CN"/>
              </w:rPr>
              <w:t>10</w:t>
            </w:r>
            <w:r>
              <w:rPr>
                <w:rFonts w:hint="eastAsia"/>
                <w:color w:val="auto"/>
                <w:highlight w:val="none"/>
                <w:lang w:eastAsia="zh-CN"/>
              </w:rPr>
              <w:t>分</w:t>
            </w:r>
            <w:bookmarkEnd w:id="1"/>
            <w:bookmarkEnd w:id="2"/>
          </w:p>
        </w:tc>
        <w:tc>
          <w:tcPr>
            <w:tcW w:w="10206" w:type="dxa"/>
            <w:vAlign w:val="center"/>
          </w:tcPr>
          <w:p w14:paraId="2CA55DAF">
            <w:pPr>
              <w:rPr>
                <w:color w:val="auto"/>
                <w:highlight w:val="none"/>
                <w:lang w:eastAsia="zh-CN"/>
              </w:rPr>
            </w:pPr>
            <w:r>
              <w:rPr>
                <w:rFonts w:hint="eastAsia"/>
                <w:color w:val="auto"/>
                <w:highlight w:val="none"/>
                <w:lang w:eastAsia="zh-CN"/>
              </w:rPr>
              <w:t>勘测技术路线符合1：2000比例尺要求，明确多轮复核流程及精度控制措施，得1</w:t>
            </w:r>
            <w:r>
              <w:rPr>
                <w:rFonts w:hint="eastAsia"/>
                <w:color w:val="auto"/>
                <w:highlight w:val="none"/>
                <w:lang w:val="en-US" w:eastAsia="zh-CN"/>
              </w:rPr>
              <w:t>0</w:t>
            </w:r>
            <w:r>
              <w:rPr>
                <w:rFonts w:hint="eastAsia"/>
                <w:color w:val="auto"/>
                <w:highlight w:val="none"/>
                <w:lang w:eastAsia="zh-CN"/>
              </w:rPr>
              <w:t>分；技术路线基本可行但复核措施不完善，得</w:t>
            </w:r>
            <w:r>
              <w:rPr>
                <w:rFonts w:hint="eastAsia"/>
                <w:color w:val="auto"/>
                <w:highlight w:val="none"/>
                <w:lang w:val="en-US" w:eastAsia="zh-CN"/>
              </w:rPr>
              <w:t>5</w:t>
            </w:r>
            <w:r>
              <w:rPr>
                <w:rFonts w:hint="eastAsia"/>
                <w:color w:val="auto"/>
                <w:highlight w:val="none"/>
                <w:lang w:eastAsia="zh-CN"/>
              </w:rPr>
              <w:t>分；不符合规范要求，不得分。</w:t>
            </w:r>
          </w:p>
        </w:tc>
      </w:tr>
      <w:tr w14:paraId="3E2F4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440" w:type="dxa"/>
            <w:vMerge w:val="continue"/>
            <w:vAlign w:val="center"/>
          </w:tcPr>
          <w:p w14:paraId="3E485F3E">
            <w:pPr>
              <w:jc w:val="center"/>
              <w:outlineLvl w:val="1"/>
              <w:rPr>
                <w:color w:val="auto"/>
                <w:highlight w:val="none"/>
                <w:lang w:eastAsia="zh-CN"/>
              </w:rPr>
            </w:pPr>
          </w:p>
        </w:tc>
        <w:tc>
          <w:tcPr>
            <w:tcW w:w="1249" w:type="dxa"/>
            <w:vAlign w:val="center"/>
          </w:tcPr>
          <w:p w14:paraId="4D0FC294">
            <w:pPr>
              <w:jc w:val="center"/>
              <w:outlineLvl w:val="1"/>
              <w:rPr>
                <w:rFonts w:hint="eastAsia" w:ascii="Calibri" w:hAnsi="Calibri" w:eastAsia="等线" w:cs="21"/>
                <w:color w:val="auto"/>
                <w:sz w:val="22"/>
                <w:szCs w:val="22"/>
                <w:highlight w:val="none"/>
                <w:lang w:val="en-US" w:eastAsia="zh-CN" w:bidi="ar-SA"/>
              </w:rPr>
            </w:pPr>
            <w:r>
              <w:rPr>
                <w:rFonts w:hint="eastAsia"/>
                <w:color w:val="auto"/>
                <w:highlight w:val="none"/>
                <w:lang w:eastAsia="zh-CN"/>
              </w:rPr>
              <w:t>权属争议处理方案</w:t>
            </w:r>
          </w:p>
        </w:tc>
        <w:tc>
          <w:tcPr>
            <w:tcW w:w="992" w:type="dxa"/>
            <w:vAlign w:val="center"/>
          </w:tcPr>
          <w:p w14:paraId="0B5E0D77">
            <w:pPr>
              <w:jc w:val="center"/>
              <w:outlineLvl w:val="1"/>
              <w:rPr>
                <w:rFonts w:ascii="Calibri" w:hAnsi="Calibri" w:eastAsia="等线" w:cs="21"/>
                <w:color w:val="auto"/>
                <w:sz w:val="22"/>
                <w:szCs w:val="22"/>
                <w:highlight w:val="none"/>
                <w:lang w:val="en-US" w:eastAsia="zh-CN" w:bidi="ar-SA"/>
              </w:rPr>
            </w:pPr>
            <w:r>
              <w:rPr>
                <w:color w:val="auto"/>
                <w:highlight w:val="none"/>
                <w:lang w:eastAsia="zh-CN"/>
              </w:rPr>
              <w:t>5</w:t>
            </w:r>
            <w:r>
              <w:rPr>
                <w:rFonts w:hint="eastAsia"/>
                <w:color w:val="auto"/>
                <w:highlight w:val="none"/>
                <w:lang w:eastAsia="zh-CN"/>
              </w:rPr>
              <w:t>分</w:t>
            </w:r>
          </w:p>
        </w:tc>
        <w:tc>
          <w:tcPr>
            <w:tcW w:w="10206" w:type="dxa"/>
            <w:vAlign w:val="center"/>
          </w:tcPr>
          <w:p w14:paraId="384099A8">
            <w:pPr>
              <w:rPr>
                <w:rFonts w:hint="eastAsia" w:ascii="Calibri" w:hAnsi="Calibri" w:eastAsia="等线" w:cs="21"/>
                <w:color w:val="auto"/>
                <w:sz w:val="22"/>
                <w:szCs w:val="22"/>
                <w:highlight w:val="none"/>
                <w:lang w:val="en-US" w:eastAsia="zh-CN" w:bidi="ar-SA"/>
              </w:rPr>
            </w:pPr>
            <w:r>
              <w:rPr>
                <w:rFonts w:hint="eastAsia"/>
                <w:color w:val="auto"/>
                <w:highlight w:val="none"/>
                <w:lang w:eastAsia="zh-CN"/>
              </w:rPr>
              <w:t>具备完整的争议识别、协调、处置流程，得</w:t>
            </w:r>
            <w:r>
              <w:rPr>
                <w:rFonts w:hint="eastAsia"/>
                <w:color w:val="auto"/>
                <w:highlight w:val="none"/>
                <w:lang w:val="en-US" w:eastAsia="zh-CN"/>
              </w:rPr>
              <w:t>5</w:t>
            </w:r>
            <w:r>
              <w:rPr>
                <w:rFonts w:hint="eastAsia"/>
                <w:color w:val="auto"/>
                <w:highlight w:val="none"/>
                <w:lang w:eastAsia="zh-CN"/>
              </w:rPr>
              <w:t>分；流程基本完整得</w:t>
            </w:r>
            <w:r>
              <w:rPr>
                <w:rFonts w:hint="eastAsia"/>
                <w:color w:val="auto"/>
                <w:highlight w:val="none"/>
                <w:lang w:val="en-US" w:eastAsia="zh-CN"/>
              </w:rPr>
              <w:t>3</w:t>
            </w:r>
            <w:r>
              <w:rPr>
                <w:rFonts w:hint="eastAsia"/>
                <w:color w:val="auto"/>
                <w:highlight w:val="none"/>
                <w:lang w:eastAsia="zh-CN"/>
              </w:rPr>
              <w:t>分；方案不完善，不得分。</w:t>
            </w:r>
          </w:p>
        </w:tc>
      </w:tr>
      <w:tr w14:paraId="7215F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0" w:hRule="atLeast"/>
        </w:trPr>
        <w:tc>
          <w:tcPr>
            <w:tcW w:w="1440" w:type="dxa"/>
            <w:vMerge w:val="continue"/>
            <w:vAlign w:val="center"/>
          </w:tcPr>
          <w:p w14:paraId="2254A4C0">
            <w:pPr>
              <w:jc w:val="center"/>
              <w:outlineLvl w:val="1"/>
              <w:rPr>
                <w:color w:val="auto"/>
                <w:highlight w:val="none"/>
                <w:lang w:eastAsia="zh-CN"/>
              </w:rPr>
            </w:pPr>
          </w:p>
        </w:tc>
        <w:tc>
          <w:tcPr>
            <w:tcW w:w="1249" w:type="dxa"/>
            <w:vAlign w:val="center"/>
          </w:tcPr>
          <w:p w14:paraId="59FBB287">
            <w:pPr>
              <w:jc w:val="center"/>
              <w:rPr>
                <w:rFonts w:hint="default"/>
                <w:color w:val="auto"/>
                <w:highlight w:val="none"/>
                <w:lang w:val="en-US" w:eastAsia="zh-CN"/>
              </w:rPr>
            </w:pPr>
            <w:r>
              <w:rPr>
                <w:rFonts w:hint="eastAsia"/>
                <w:color w:val="auto"/>
                <w:highlight w:val="none"/>
                <w:lang w:val="en-US" w:eastAsia="zh-CN"/>
              </w:rPr>
              <w:t>图文数据扫描方案</w:t>
            </w:r>
          </w:p>
        </w:tc>
        <w:tc>
          <w:tcPr>
            <w:tcW w:w="992" w:type="dxa"/>
            <w:vAlign w:val="center"/>
          </w:tcPr>
          <w:p w14:paraId="43FBA160">
            <w:pPr>
              <w:jc w:val="center"/>
              <w:rPr>
                <w:rFonts w:hint="default"/>
                <w:color w:val="auto"/>
                <w:highlight w:val="none"/>
                <w:lang w:val="en-US" w:eastAsia="zh-CN"/>
              </w:rPr>
            </w:pPr>
            <w:r>
              <w:rPr>
                <w:rFonts w:hint="eastAsia"/>
                <w:color w:val="auto"/>
                <w:highlight w:val="none"/>
                <w:lang w:val="en-US" w:eastAsia="zh-CN"/>
              </w:rPr>
              <w:t>5分</w:t>
            </w:r>
          </w:p>
        </w:tc>
        <w:tc>
          <w:tcPr>
            <w:tcW w:w="10206" w:type="dxa"/>
            <w:vAlign w:val="center"/>
          </w:tcPr>
          <w:p w14:paraId="0D59F78E">
            <w:pPr>
              <w:rPr>
                <w:rFonts w:hint="default"/>
                <w:color w:val="auto"/>
                <w:highlight w:val="none"/>
                <w:lang w:val="en-US" w:eastAsia="zh-CN"/>
              </w:rPr>
            </w:pPr>
            <w:r>
              <w:rPr>
                <w:rFonts w:hint="eastAsia"/>
                <w:color w:val="auto"/>
                <w:highlight w:val="none"/>
                <w:lang w:val="en-US" w:eastAsia="zh-CN"/>
              </w:rPr>
              <w:t>工作方案能够满足国家、省、市档案扫描、整理及归档要求，得5分；基本满足得3分；</w:t>
            </w:r>
            <w:r>
              <w:rPr>
                <w:rFonts w:hint="eastAsia"/>
                <w:color w:val="auto"/>
                <w:highlight w:val="none"/>
                <w:lang w:eastAsia="zh-CN"/>
              </w:rPr>
              <w:t>方案不完善，不得分。</w:t>
            </w:r>
          </w:p>
        </w:tc>
      </w:tr>
      <w:tr w14:paraId="6C803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0" w:hRule="atLeast"/>
        </w:trPr>
        <w:tc>
          <w:tcPr>
            <w:tcW w:w="1440" w:type="dxa"/>
            <w:vMerge w:val="continue"/>
            <w:vAlign w:val="center"/>
          </w:tcPr>
          <w:p w14:paraId="5D0474DE">
            <w:pPr>
              <w:jc w:val="center"/>
              <w:outlineLvl w:val="1"/>
              <w:rPr>
                <w:color w:val="auto"/>
                <w:highlight w:val="none"/>
                <w:lang w:eastAsia="zh-CN"/>
              </w:rPr>
            </w:pPr>
          </w:p>
        </w:tc>
        <w:tc>
          <w:tcPr>
            <w:tcW w:w="1249" w:type="dxa"/>
            <w:vAlign w:val="center"/>
          </w:tcPr>
          <w:p w14:paraId="2B2FBFF9">
            <w:pPr>
              <w:jc w:val="center"/>
              <w:outlineLvl w:val="1"/>
              <w:rPr>
                <w:rFonts w:hint="default"/>
                <w:color w:val="auto"/>
                <w:highlight w:val="none"/>
                <w:lang w:val="en-US" w:eastAsia="zh-CN"/>
              </w:rPr>
            </w:pPr>
            <w:r>
              <w:rPr>
                <w:rFonts w:hint="eastAsia"/>
                <w:color w:val="auto"/>
                <w:highlight w:val="none"/>
                <w:lang w:val="en-US" w:eastAsia="zh-CN"/>
              </w:rPr>
              <w:t>图档数据库建设方案</w:t>
            </w:r>
          </w:p>
        </w:tc>
        <w:tc>
          <w:tcPr>
            <w:tcW w:w="992" w:type="dxa"/>
            <w:vAlign w:val="center"/>
          </w:tcPr>
          <w:p w14:paraId="058221B0">
            <w:pPr>
              <w:jc w:val="center"/>
              <w:outlineLvl w:val="1"/>
              <w:rPr>
                <w:rFonts w:hint="default"/>
                <w:color w:val="auto"/>
                <w:highlight w:val="none"/>
                <w:lang w:val="en-US" w:eastAsia="zh-CN"/>
              </w:rPr>
            </w:pPr>
            <w:r>
              <w:rPr>
                <w:rFonts w:hint="eastAsia"/>
                <w:color w:val="auto"/>
                <w:highlight w:val="none"/>
                <w:lang w:val="en-US" w:eastAsia="zh-CN"/>
              </w:rPr>
              <w:t>5分</w:t>
            </w:r>
          </w:p>
        </w:tc>
        <w:tc>
          <w:tcPr>
            <w:tcW w:w="10206" w:type="dxa"/>
            <w:vAlign w:val="center"/>
          </w:tcPr>
          <w:p w14:paraId="02B3F4B5">
            <w:pPr>
              <w:rPr>
                <w:rFonts w:hint="default"/>
                <w:color w:val="auto"/>
                <w:highlight w:val="none"/>
                <w:lang w:val="en-US" w:eastAsia="zh-CN"/>
              </w:rPr>
            </w:pPr>
            <w:r>
              <w:rPr>
                <w:rFonts w:hint="eastAsia"/>
                <w:color w:val="auto"/>
                <w:highlight w:val="none"/>
                <w:lang w:val="en-US" w:eastAsia="zh-CN"/>
              </w:rPr>
              <w:t>提供完整的图档数据库建设方案，建设方案能够完全满足项目需求的，得5分；基本满足得3分；</w:t>
            </w:r>
            <w:r>
              <w:rPr>
                <w:rFonts w:hint="eastAsia"/>
                <w:color w:val="auto"/>
                <w:highlight w:val="none"/>
                <w:lang w:eastAsia="zh-CN"/>
              </w:rPr>
              <w:t>方案不完善，不得分。</w:t>
            </w:r>
          </w:p>
        </w:tc>
      </w:tr>
      <w:tr w14:paraId="65642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440" w:type="dxa"/>
            <w:vMerge w:val="continue"/>
            <w:vAlign w:val="center"/>
          </w:tcPr>
          <w:p w14:paraId="1E5AE635">
            <w:pPr>
              <w:jc w:val="center"/>
              <w:outlineLvl w:val="1"/>
              <w:rPr>
                <w:color w:val="auto"/>
                <w:highlight w:val="none"/>
                <w:lang w:eastAsia="zh-CN"/>
              </w:rPr>
            </w:pPr>
          </w:p>
        </w:tc>
        <w:tc>
          <w:tcPr>
            <w:tcW w:w="1249" w:type="dxa"/>
            <w:vAlign w:val="center"/>
          </w:tcPr>
          <w:p w14:paraId="287AF9D4">
            <w:pPr>
              <w:jc w:val="center"/>
              <w:outlineLvl w:val="1"/>
              <w:rPr>
                <w:color w:val="auto"/>
                <w:highlight w:val="none"/>
                <w:lang w:eastAsia="zh-CN"/>
              </w:rPr>
            </w:pPr>
            <w:r>
              <w:rPr>
                <w:rFonts w:hint="eastAsia"/>
                <w:color w:val="auto"/>
                <w:highlight w:val="none"/>
                <w:lang w:eastAsia="zh-CN"/>
              </w:rPr>
              <w:t>成果质量与安全保障</w:t>
            </w:r>
          </w:p>
        </w:tc>
        <w:tc>
          <w:tcPr>
            <w:tcW w:w="992" w:type="dxa"/>
            <w:vAlign w:val="center"/>
          </w:tcPr>
          <w:p w14:paraId="2B23085D">
            <w:pPr>
              <w:jc w:val="center"/>
              <w:rPr>
                <w:color w:val="auto"/>
                <w:highlight w:val="none"/>
                <w:lang w:eastAsia="zh-CN"/>
              </w:rPr>
            </w:pPr>
            <w:r>
              <w:rPr>
                <w:rFonts w:hint="eastAsia"/>
                <w:color w:val="auto"/>
                <w:highlight w:val="none"/>
                <w:lang w:eastAsia="zh-CN"/>
              </w:rPr>
              <w:t>1</w:t>
            </w:r>
            <w:r>
              <w:rPr>
                <w:color w:val="auto"/>
                <w:highlight w:val="none"/>
                <w:lang w:eastAsia="zh-CN"/>
              </w:rPr>
              <w:t>0</w:t>
            </w:r>
            <w:r>
              <w:rPr>
                <w:rFonts w:hint="eastAsia"/>
                <w:color w:val="auto"/>
                <w:highlight w:val="none"/>
                <w:lang w:eastAsia="zh-CN"/>
              </w:rPr>
              <w:t>分</w:t>
            </w:r>
          </w:p>
        </w:tc>
        <w:tc>
          <w:tcPr>
            <w:tcW w:w="10206" w:type="dxa"/>
            <w:vAlign w:val="center"/>
          </w:tcPr>
          <w:p w14:paraId="7060AAFE">
            <w:pPr>
              <w:rPr>
                <w:color w:val="auto"/>
                <w:highlight w:val="none"/>
                <w:lang w:eastAsia="zh-CN"/>
              </w:rPr>
            </w:pPr>
            <w:r>
              <w:rPr>
                <w:rFonts w:hint="eastAsia"/>
                <w:color w:val="auto"/>
                <w:highlight w:val="none"/>
                <w:lang w:eastAsia="zh-CN"/>
              </w:rPr>
              <w:t>质量控制体系覆盖原始数据、勘测、建库全环节，安全保密措施符合要求，得10分；体系基本完整，得5分；存在明显漏洞，不得分。</w:t>
            </w:r>
          </w:p>
        </w:tc>
      </w:tr>
      <w:tr w14:paraId="2A2C5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440" w:type="dxa"/>
            <w:vMerge w:val="continue"/>
            <w:vAlign w:val="center"/>
          </w:tcPr>
          <w:p w14:paraId="0427CCD5">
            <w:pPr>
              <w:jc w:val="center"/>
              <w:outlineLvl w:val="1"/>
              <w:rPr>
                <w:color w:val="auto"/>
                <w:highlight w:val="none"/>
                <w:lang w:eastAsia="zh-CN"/>
              </w:rPr>
            </w:pPr>
          </w:p>
        </w:tc>
        <w:tc>
          <w:tcPr>
            <w:tcW w:w="1249" w:type="dxa"/>
            <w:vAlign w:val="center"/>
          </w:tcPr>
          <w:p w14:paraId="118EE9B1">
            <w:pPr>
              <w:jc w:val="center"/>
              <w:outlineLvl w:val="1"/>
              <w:rPr>
                <w:rFonts w:ascii="Calibri" w:hAnsi="Calibri" w:eastAsia="等线" w:cs="21"/>
                <w:color w:val="auto"/>
                <w:sz w:val="22"/>
                <w:szCs w:val="22"/>
                <w:highlight w:val="none"/>
                <w:lang w:val="en-US" w:eastAsia="zh-CN" w:bidi="ar-SA"/>
              </w:rPr>
            </w:pPr>
            <w:r>
              <w:rPr>
                <w:rFonts w:hint="eastAsia"/>
                <w:color w:val="auto"/>
                <w:highlight w:val="none"/>
                <w:lang w:eastAsia="zh-CN"/>
              </w:rPr>
              <w:t>后续服务方案</w:t>
            </w:r>
          </w:p>
        </w:tc>
        <w:tc>
          <w:tcPr>
            <w:tcW w:w="992" w:type="dxa"/>
            <w:vAlign w:val="center"/>
          </w:tcPr>
          <w:p w14:paraId="76FCB29C">
            <w:pPr>
              <w:jc w:val="center"/>
              <w:rPr>
                <w:rFonts w:ascii="Calibri" w:hAnsi="Calibri" w:eastAsia="等线" w:cs="21"/>
                <w:color w:val="auto"/>
                <w:sz w:val="22"/>
                <w:szCs w:val="22"/>
                <w:highlight w:val="none"/>
                <w:lang w:val="en-US" w:eastAsia="zh-CN" w:bidi="ar-SA"/>
              </w:rPr>
            </w:pPr>
            <w:r>
              <w:rPr>
                <w:color w:val="auto"/>
                <w:highlight w:val="none"/>
                <w:lang w:eastAsia="zh-CN"/>
              </w:rPr>
              <w:t>5</w:t>
            </w:r>
            <w:r>
              <w:rPr>
                <w:rFonts w:hint="eastAsia"/>
                <w:color w:val="auto"/>
                <w:highlight w:val="none"/>
                <w:lang w:eastAsia="zh-CN"/>
              </w:rPr>
              <w:t>分</w:t>
            </w:r>
          </w:p>
        </w:tc>
        <w:tc>
          <w:tcPr>
            <w:tcW w:w="10206" w:type="dxa"/>
            <w:vAlign w:val="center"/>
          </w:tcPr>
          <w:p w14:paraId="1319E0C5">
            <w:pPr>
              <w:rPr>
                <w:rFonts w:ascii="Calibri" w:hAnsi="Calibri" w:eastAsia="等线" w:cs="21"/>
                <w:color w:val="auto"/>
                <w:sz w:val="22"/>
                <w:szCs w:val="22"/>
                <w:highlight w:val="none"/>
                <w:lang w:val="en-US" w:eastAsia="zh-CN" w:bidi="ar-SA"/>
              </w:rPr>
            </w:pPr>
            <w:r>
              <w:rPr>
                <w:rFonts w:hint="eastAsia"/>
                <w:color w:val="auto"/>
                <w:highlight w:val="none"/>
                <w:lang w:eastAsia="zh-CN"/>
              </w:rPr>
              <w:t>质保期服务响应机制明确，包含数据校准、人员再培训等内容，得5分；内容简略，得</w:t>
            </w:r>
            <w:r>
              <w:rPr>
                <w:rFonts w:hint="eastAsia"/>
                <w:color w:val="auto"/>
                <w:highlight w:val="none"/>
                <w:lang w:val="en-US" w:eastAsia="zh-CN"/>
              </w:rPr>
              <w:t>3</w:t>
            </w:r>
            <w:r>
              <w:rPr>
                <w:rFonts w:hint="eastAsia"/>
                <w:color w:val="auto"/>
                <w:highlight w:val="none"/>
                <w:lang w:eastAsia="zh-CN"/>
              </w:rPr>
              <w:t>分；无具体措施，不得分。</w:t>
            </w:r>
          </w:p>
        </w:tc>
      </w:tr>
      <w:tr w14:paraId="0A4928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vMerge w:val="restart"/>
            <w:vAlign w:val="center"/>
          </w:tcPr>
          <w:p w14:paraId="04601C39">
            <w:pPr>
              <w:jc w:val="center"/>
              <w:outlineLvl w:val="1"/>
              <w:rPr>
                <w:color w:val="auto"/>
                <w:highlight w:val="none"/>
                <w:lang w:eastAsia="zh-CN"/>
              </w:rPr>
            </w:pPr>
            <w:r>
              <w:rPr>
                <w:rFonts w:hint="eastAsia"/>
                <w:color w:val="auto"/>
                <w:highlight w:val="none"/>
                <w:lang w:eastAsia="zh-CN"/>
              </w:rPr>
              <w:t>商务部分（</w:t>
            </w:r>
            <w:r>
              <w:rPr>
                <w:rFonts w:hint="eastAsia"/>
                <w:color w:val="auto"/>
                <w:highlight w:val="none"/>
                <w:lang w:val="en-US" w:eastAsia="zh-CN"/>
              </w:rPr>
              <w:t>35</w:t>
            </w:r>
            <w:r>
              <w:rPr>
                <w:rFonts w:hint="eastAsia"/>
                <w:color w:val="auto"/>
                <w:highlight w:val="none"/>
                <w:lang w:eastAsia="zh-CN"/>
              </w:rPr>
              <w:t>分</w:t>
            </w:r>
          </w:p>
        </w:tc>
        <w:tc>
          <w:tcPr>
            <w:tcW w:w="1249" w:type="dxa"/>
            <w:vAlign w:val="center"/>
          </w:tcPr>
          <w:p w14:paraId="62C68CDC">
            <w:pPr>
              <w:jc w:val="center"/>
              <w:outlineLvl w:val="1"/>
              <w:rPr>
                <w:rFonts w:hint="default"/>
                <w:color w:val="auto"/>
                <w:highlight w:val="none"/>
                <w:lang w:val="en-US" w:eastAsia="zh-CN"/>
              </w:rPr>
            </w:pPr>
            <w:r>
              <w:rPr>
                <w:rFonts w:hint="eastAsia"/>
                <w:color w:val="auto"/>
                <w:highlight w:val="none"/>
                <w:lang w:val="en-US" w:eastAsia="zh-CN"/>
              </w:rPr>
              <w:t>综合实力</w:t>
            </w:r>
          </w:p>
        </w:tc>
        <w:tc>
          <w:tcPr>
            <w:tcW w:w="992" w:type="dxa"/>
            <w:vAlign w:val="center"/>
          </w:tcPr>
          <w:p w14:paraId="28F3D719">
            <w:pPr>
              <w:jc w:val="center"/>
              <w:rPr>
                <w:rFonts w:hint="default"/>
                <w:color w:val="auto"/>
                <w:highlight w:val="none"/>
                <w:lang w:val="en-US" w:eastAsia="zh-CN"/>
              </w:rPr>
            </w:pPr>
            <w:r>
              <w:rPr>
                <w:rFonts w:hint="eastAsia"/>
                <w:color w:val="auto"/>
                <w:highlight w:val="none"/>
                <w:lang w:val="en-US" w:eastAsia="zh-CN"/>
              </w:rPr>
              <w:t>7分</w:t>
            </w:r>
          </w:p>
        </w:tc>
        <w:tc>
          <w:tcPr>
            <w:tcW w:w="10206" w:type="dxa"/>
            <w:vAlign w:val="center"/>
          </w:tcPr>
          <w:p w14:paraId="42732849">
            <w:pPr>
              <w:rPr>
                <w:rFonts w:hint="eastAsia"/>
                <w:color w:val="auto"/>
                <w:highlight w:val="none"/>
                <w:lang w:val="en-US" w:eastAsia="zh-CN"/>
              </w:rPr>
            </w:pPr>
            <w:r>
              <w:rPr>
                <w:rFonts w:hint="eastAsia"/>
                <w:color w:val="auto"/>
                <w:highlight w:val="none"/>
                <w:lang w:val="en-US" w:eastAsia="zh-CN"/>
              </w:rPr>
              <w:t>1.供应商具有有效的质量管理体系证书、环境管理体系证书、职业健康安全管理体系证书、信息安全体系证书的，有1项得0.5分，本项最高得2分；</w:t>
            </w:r>
          </w:p>
          <w:p w14:paraId="0035BB47">
            <w:pPr>
              <w:rPr>
                <w:rFonts w:hint="default"/>
                <w:color w:val="auto"/>
                <w:highlight w:val="none"/>
                <w:lang w:val="en-US" w:eastAsia="zh-CN"/>
              </w:rPr>
            </w:pPr>
            <w:r>
              <w:rPr>
                <w:rFonts w:hint="eastAsia"/>
                <w:color w:val="auto"/>
                <w:highlight w:val="none"/>
                <w:lang w:val="en-US" w:eastAsia="zh-CN"/>
              </w:rPr>
              <w:t>2.供应商具备CMA认证资格得1分，检验检测内容包含界址点平面坐标和界址边长项再得1分，本项最高得2分；</w:t>
            </w:r>
          </w:p>
          <w:p w14:paraId="224452F2">
            <w:pPr>
              <w:rPr>
                <w:rFonts w:hint="default"/>
                <w:color w:val="auto"/>
                <w:highlight w:val="none"/>
                <w:lang w:val="en-US" w:eastAsia="zh-CN"/>
              </w:rPr>
            </w:pPr>
            <w:r>
              <w:rPr>
                <w:rFonts w:hint="eastAsia"/>
                <w:color w:val="auto"/>
                <w:highlight w:val="none"/>
                <w:lang w:val="en-US" w:eastAsia="zh-CN"/>
              </w:rPr>
              <w:t>3.供应商具有民用无人驾驶航空器运营合格证得1分；</w:t>
            </w:r>
          </w:p>
          <w:p w14:paraId="4ED0E128">
            <w:pPr>
              <w:rPr>
                <w:rFonts w:hint="default"/>
                <w:color w:val="auto"/>
                <w:highlight w:val="none"/>
                <w:lang w:val="en-US" w:eastAsia="zh-CN"/>
              </w:rPr>
            </w:pPr>
            <w:r>
              <w:rPr>
                <w:rFonts w:hint="eastAsia"/>
                <w:color w:val="auto"/>
                <w:highlight w:val="none"/>
                <w:lang w:val="en-US" w:eastAsia="zh-CN"/>
              </w:rPr>
              <w:t>4.供应商曾获得省级及以上测绘主管部门颁发的质量优秀单位称号的，得1分；</w:t>
            </w:r>
          </w:p>
          <w:p w14:paraId="068E77C3">
            <w:pPr>
              <w:rPr>
                <w:rFonts w:hint="default"/>
                <w:color w:val="auto"/>
                <w:highlight w:val="none"/>
                <w:lang w:val="en-US" w:eastAsia="zh-CN"/>
              </w:rPr>
            </w:pPr>
            <w:r>
              <w:rPr>
                <w:rFonts w:hint="eastAsia"/>
                <w:color w:val="auto"/>
                <w:highlight w:val="none"/>
                <w:lang w:val="en-US" w:eastAsia="zh-CN"/>
              </w:rPr>
              <w:t>5.供应商承接的测绘项目曾获得优秀工程奖的，国家级得1分，省级得0.5分。本项最高得1分。</w:t>
            </w:r>
          </w:p>
          <w:p w14:paraId="0D055C59">
            <w:pPr>
              <w:rPr>
                <w:rFonts w:hint="default" w:ascii="仿宋" w:hAnsi="仿宋" w:eastAsia="仿宋" w:cs="仿宋"/>
                <w:color w:val="auto"/>
                <w:sz w:val="24"/>
                <w:highlight w:val="none"/>
                <w:lang w:val="en-US" w:eastAsia="zh-CN"/>
              </w:rPr>
            </w:pPr>
            <w:r>
              <w:rPr>
                <w:rFonts w:hint="eastAsia"/>
                <w:color w:val="auto"/>
                <w:highlight w:val="none"/>
                <w:lang w:val="en-US" w:eastAsia="zh-CN"/>
              </w:rPr>
              <w:t>（注：提供相关材料扫描件并加盖单位公章）</w:t>
            </w:r>
          </w:p>
        </w:tc>
      </w:tr>
      <w:tr w14:paraId="7139F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vMerge w:val="continue"/>
            <w:vAlign w:val="center"/>
          </w:tcPr>
          <w:p w14:paraId="3C333AA9">
            <w:pPr>
              <w:outlineLvl w:val="1"/>
              <w:rPr>
                <w:color w:val="auto"/>
                <w:highlight w:val="none"/>
                <w:lang w:eastAsia="zh-CN"/>
              </w:rPr>
            </w:pPr>
          </w:p>
        </w:tc>
        <w:tc>
          <w:tcPr>
            <w:tcW w:w="1249" w:type="dxa"/>
            <w:vAlign w:val="center"/>
          </w:tcPr>
          <w:p w14:paraId="0284C85C">
            <w:pPr>
              <w:outlineLvl w:val="1"/>
              <w:rPr>
                <w:color w:val="auto"/>
                <w:highlight w:val="none"/>
                <w:lang w:eastAsia="zh-CN"/>
              </w:rPr>
            </w:pPr>
            <w:r>
              <w:rPr>
                <w:rFonts w:hint="eastAsia"/>
                <w:color w:val="auto"/>
                <w:highlight w:val="none"/>
                <w:lang w:eastAsia="zh-CN"/>
              </w:rPr>
              <w:t>类似项目业绩</w:t>
            </w:r>
          </w:p>
        </w:tc>
        <w:tc>
          <w:tcPr>
            <w:tcW w:w="992" w:type="dxa"/>
            <w:vAlign w:val="center"/>
          </w:tcPr>
          <w:p w14:paraId="68FD7A8C">
            <w:pPr>
              <w:jc w:val="center"/>
              <w:rPr>
                <w:color w:val="auto"/>
                <w:highlight w:val="none"/>
                <w:lang w:eastAsia="zh-CN"/>
              </w:rPr>
            </w:pPr>
            <w:r>
              <w:rPr>
                <w:rFonts w:hint="eastAsia"/>
                <w:color w:val="auto"/>
                <w:highlight w:val="none"/>
                <w:lang w:val="en-US" w:eastAsia="zh-CN"/>
              </w:rPr>
              <w:t>10</w:t>
            </w:r>
            <w:r>
              <w:rPr>
                <w:rFonts w:hint="eastAsia"/>
                <w:color w:val="auto"/>
                <w:highlight w:val="none"/>
                <w:lang w:eastAsia="zh-CN"/>
              </w:rPr>
              <w:t>分</w:t>
            </w:r>
          </w:p>
        </w:tc>
        <w:tc>
          <w:tcPr>
            <w:tcW w:w="10206" w:type="dxa"/>
            <w:vAlign w:val="center"/>
          </w:tcPr>
          <w:p w14:paraId="691F58C4">
            <w:pPr>
              <w:numPr>
                <w:ilvl w:val="0"/>
                <w:numId w:val="0"/>
              </w:numPr>
              <w:rPr>
                <w:rFonts w:hint="eastAsia"/>
                <w:color w:val="auto"/>
                <w:highlight w:val="none"/>
                <w:lang w:val="en-US" w:eastAsia="zh-CN"/>
              </w:rPr>
            </w:pPr>
            <w:r>
              <w:rPr>
                <w:rFonts w:hint="eastAsia"/>
                <w:color w:val="auto"/>
                <w:highlight w:val="none"/>
                <w:lang w:val="en-US" w:eastAsia="zh-CN"/>
              </w:rPr>
              <w:t>1.供应商承担过第二轮土地承包到期后再延长30年技术服务项目的，得3分；</w:t>
            </w:r>
          </w:p>
          <w:p w14:paraId="50551FBA">
            <w:pPr>
              <w:numPr>
                <w:ilvl w:val="0"/>
                <w:numId w:val="0"/>
              </w:numPr>
              <w:rPr>
                <w:rFonts w:hint="eastAsia"/>
                <w:color w:val="auto"/>
                <w:highlight w:val="none"/>
                <w:lang w:val="en-US" w:eastAsia="zh-CN"/>
              </w:rPr>
            </w:pPr>
            <w:r>
              <w:rPr>
                <w:rFonts w:hint="eastAsia"/>
                <w:color w:val="auto"/>
                <w:highlight w:val="none"/>
                <w:lang w:val="en-US" w:eastAsia="zh-CN"/>
              </w:rPr>
              <w:t>2.供应商承担过集体土地所有权确权登记项目或第三次全国土地调查项目的，得3分；</w:t>
            </w:r>
          </w:p>
          <w:p w14:paraId="44D81031">
            <w:pPr>
              <w:numPr>
                <w:ilvl w:val="0"/>
                <w:numId w:val="0"/>
              </w:numPr>
              <w:rPr>
                <w:rFonts w:hint="eastAsia"/>
                <w:color w:val="auto"/>
                <w:highlight w:val="none"/>
                <w:lang w:val="en-US" w:eastAsia="zh-CN"/>
              </w:rPr>
            </w:pPr>
            <w:r>
              <w:rPr>
                <w:rFonts w:hint="eastAsia"/>
                <w:color w:val="auto"/>
                <w:highlight w:val="none"/>
                <w:lang w:val="en-US" w:eastAsia="zh-CN"/>
              </w:rPr>
              <w:t>3.供应商承担过档案扫描整理及图档数据库建设项目的，得2分；</w:t>
            </w:r>
          </w:p>
          <w:p w14:paraId="386DFF32">
            <w:pPr>
              <w:numPr>
                <w:ilvl w:val="0"/>
                <w:numId w:val="0"/>
              </w:numPr>
              <w:rPr>
                <w:rFonts w:hint="eastAsia"/>
                <w:color w:val="auto"/>
                <w:highlight w:val="none"/>
                <w:lang w:val="en-US" w:eastAsia="zh-CN"/>
              </w:rPr>
            </w:pPr>
            <w:r>
              <w:rPr>
                <w:rFonts w:hint="eastAsia"/>
                <w:color w:val="auto"/>
                <w:highlight w:val="none"/>
                <w:lang w:val="en-US" w:eastAsia="zh-CN"/>
              </w:rPr>
              <w:t>4.供应商承担过航空摄影工作，且航空摄影工作取得完整“飞行空域使用申请批复”的，得2分。</w:t>
            </w:r>
          </w:p>
          <w:p w14:paraId="1710AF52">
            <w:pPr>
              <w:numPr>
                <w:ilvl w:val="0"/>
                <w:numId w:val="0"/>
              </w:numPr>
              <w:rPr>
                <w:color w:val="auto"/>
                <w:highlight w:val="none"/>
                <w:lang w:eastAsia="zh-CN"/>
              </w:rPr>
            </w:pPr>
            <w:r>
              <w:rPr>
                <w:rFonts w:hint="eastAsia"/>
                <w:color w:val="auto"/>
                <w:highlight w:val="none"/>
                <w:lang w:val="en-US" w:eastAsia="zh-CN"/>
              </w:rPr>
              <w:t>（注：业绩或证明材料需提供合同原件扫描件并加盖单位公章，分包、转包合同无效。）</w:t>
            </w:r>
          </w:p>
        </w:tc>
      </w:tr>
      <w:tr w14:paraId="04577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vMerge w:val="continue"/>
            <w:vAlign w:val="center"/>
          </w:tcPr>
          <w:p w14:paraId="0EB60A12">
            <w:pPr>
              <w:outlineLvl w:val="1"/>
              <w:rPr>
                <w:color w:val="auto"/>
                <w:highlight w:val="none"/>
                <w:lang w:eastAsia="zh-CN"/>
              </w:rPr>
            </w:pPr>
          </w:p>
        </w:tc>
        <w:tc>
          <w:tcPr>
            <w:tcW w:w="1249" w:type="dxa"/>
            <w:vAlign w:val="center"/>
          </w:tcPr>
          <w:p w14:paraId="7745214C">
            <w:pPr>
              <w:outlineLvl w:val="1"/>
              <w:rPr>
                <w:color w:val="auto"/>
                <w:highlight w:val="none"/>
                <w:lang w:eastAsia="zh-CN"/>
              </w:rPr>
            </w:pPr>
            <w:r>
              <w:rPr>
                <w:rFonts w:hint="eastAsia"/>
                <w:color w:val="auto"/>
                <w:highlight w:val="none"/>
                <w:lang w:eastAsia="zh-CN"/>
              </w:rPr>
              <w:t>项目团队实力</w:t>
            </w:r>
          </w:p>
        </w:tc>
        <w:tc>
          <w:tcPr>
            <w:tcW w:w="992" w:type="dxa"/>
            <w:vAlign w:val="center"/>
          </w:tcPr>
          <w:p w14:paraId="0F11D43C">
            <w:pPr>
              <w:jc w:val="center"/>
              <w:rPr>
                <w:color w:val="auto"/>
                <w:highlight w:val="none"/>
                <w:lang w:eastAsia="zh-CN"/>
              </w:rPr>
            </w:pPr>
            <w:r>
              <w:rPr>
                <w:rFonts w:hint="eastAsia"/>
                <w:color w:val="auto"/>
                <w:highlight w:val="none"/>
                <w:lang w:val="en-US" w:eastAsia="zh-CN"/>
              </w:rPr>
              <w:t>18</w:t>
            </w:r>
            <w:r>
              <w:rPr>
                <w:rFonts w:hint="eastAsia"/>
                <w:color w:val="auto"/>
                <w:highlight w:val="none"/>
                <w:lang w:eastAsia="zh-CN"/>
              </w:rPr>
              <w:t>分</w:t>
            </w:r>
          </w:p>
        </w:tc>
        <w:tc>
          <w:tcPr>
            <w:tcW w:w="10206" w:type="dxa"/>
            <w:vAlign w:val="center"/>
          </w:tcPr>
          <w:p w14:paraId="31A521A2">
            <w:pPr>
              <w:numPr>
                <w:ilvl w:val="0"/>
                <w:numId w:val="0"/>
              </w:numPr>
              <w:rPr>
                <w:rFonts w:hint="eastAsia"/>
                <w:color w:val="auto"/>
                <w:highlight w:val="none"/>
                <w:lang w:val="en-US" w:eastAsia="zh-CN"/>
              </w:rPr>
            </w:pPr>
            <w:r>
              <w:rPr>
                <w:rFonts w:hint="eastAsia"/>
                <w:color w:val="auto"/>
                <w:highlight w:val="none"/>
                <w:lang w:val="en-US" w:eastAsia="zh-CN"/>
              </w:rPr>
              <w:t>1.</w:t>
            </w:r>
            <w:r>
              <w:rPr>
                <w:rFonts w:hint="eastAsia"/>
                <w:color w:val="auto"/>
                <w:highlight w:val="none"/>
                <w:lang w:eastAsia="zh-CN"/>
              </w:rPr>
              <w:t>项目负责人：具备测绘</w:t>
            </w:r>
            <w:r>
              <w:rPr>
                <w:rFonts w:hint="eastAsia"/>
                <w:color w:val="auto"/>
                <w:highlight w:val="none"/>
                <w:lang w:val="en-US" w:eastAsia="zh-CN"/>
              </w:rPr>
              <w:t>高级工程师得1分、正高级工程师得2分；具备注册测绘师得2分；具有涉密测绘成果管理人员岗位培训合格证得1分；具备安全生产管理人员证书得1分。本项最高得6分；</w:t>
            </w:r>
          </w:p>
          <w:p w14:paraId="5681E8F3">
            <w:pPr>
              <w:numPr>
                <w:ilvl w:val="0"/>
                <w:numId w:val="0"/>
              </w:numPr>
              <w:rPr>
                <w:color w:val="auto"/>
                <w:highlight w:val="none"/>
                <w:lang w:eastAsia="zh-CN"/>
              </w:rPr>
            </w:pPr>
            <w:r>
              <w:rPr>
                <w:rFonts w:hint="eastAsia"/>
                <w:color w:val="auto"/>
                <w:highlight w:val="none"/>
                <w:lang w:val="en-US" w:eastAsia="zh-CN"/>
              </w:rPr>
              <w:t>2.外业调查负责人：具有测绘高级及以上工程师得2分，中级工程师得1分；具有注册测绘师得2分；具有国家级行业技术能手得1分，省级得0.5分。本项最高得5分；</w:t>
            </w:r>
          </w:p>
          <w:p w14:paraId="64E697CD">
            <w:pPr>
              <w:numPr>
                <w:ilvl w:val="0"/>
                <w:numId w:val="0"/>
              </w:numPr>
              <w:rPr>
                <w:color w:val="auto"/>
                <w:highlight w:val="none"/>
                <w:lang w:eastAsia="zh-CN"/>
              </w:rPr>
            </w:pPr>
            <w:r>
              <w:rPr>
                <w:rFonts w:hint="eastAsia"/>
                <w:color w:val="auto"/>
                <w:highlight w:val="none"/>
                <w:lang w:val="en-US" w:eastAsia="zh-CN"/>
              </w:rPr>
              <w:t>3.数据建库负责人：具有测绘高级及以上工程师得2分，中级工程师得1分；具有涉密测绘成果管理人员岗位培训合格证得1分；具有数据库系统工程师资格得1分。本项最高得4分；</w:t>
            </w:r>
          </w:p>
          <w:p w14:paraId="668508C1">
            <w:pPr>
              <w:numPr>
                <w:ilvl w:val="0"/>
                <w:numId w:val="0"/>
              </w:numPr>
              <w:rPr>
                <w:color w:val="auto"/>
                <w:highlight w:val="none"/>
                <w:lang w:eastAsia="zh-CN"/>
              </w:rPr>
            </w:pPr>
            <w:r>
              <w:rPr>
                <w:rFonts w:hint="eastAsia"/>
                <w:color w:val="auto"/>
                <w:highlight w:val="none"/>
                <w:lang w:val="en-US" w:eastAsia="zh-CN"/>
              </w:rPr>
              <w:t>4.项目组其他成员：（1）具有中级及以上测绘工程师，每有1个得1分，最高得2分；（2）具有民用无人驾驶航空器操控员执照，每有1个得0.5分，最高得1分。本项最高得3分。</w:t>
            </w:r>
            <w:r>
              <w:rPr>
                <w:rFonts w:hint="eastAsia" w:ascii="仿宋" w:hAnsi="仿宋" w:eastAsia="仿宋" w:cs="宋体"/>
                <w:color w:val="auto"/>
                <w:szCs w:val="21"/>
                <w:highlight w:val="none"/>
                <w:lang w:eastAsia="zh-CN"/>
              </w:rPr>
              <w:br w:type="textWrapping"/>
            </w:r>
            <w:r>
              <w:rPr>
                <w:rFonts w:hint="eastAsia"/>
                <w:color w:val="auto"/>
                <w:highlight w:val="none"/>
                <w:lang w:eastAsia="zh-CN"/>
              </w:rPr>
              <w:t>（注：上述人员不得重复，响应供应商须提供上述人员相应的注册证书或职称证书或荣誉证书（注册证书均须注册在响应供应商企业）及响应供应商为与其签订的有效期内的劳动合同及投标单位为其缴纳的投标时间截止前三个月任意一个月的社保证明原件扫描件，并加盖公章）</w:t>
            </w:r>
            <w:bookmarkStart w:id="17" w:name="_GoBack"/>
            <w:bookmarkEnd w:id="17"/>
          </w:p>
        </w:tc>
      </w:tr>
      <w:tr w14:paraId="18FD4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vAlign w:val="center"/>
          </w:tcPr>
          <w:p w14:paraId="33411175">
            <w:pPr>
              <w:jc w:val="center"/>
              <w:rPr>
                <w:color w:val="auto"/>
                <w:highlight w:val="none"/>
                <w:lang w:eastAsia="zh-CN"/>
              </w:rPr>
            </w:pPr>
            <w:r>
              <w:rPr>
                <w:rFonts w:hint="eastAsia"/>
                <w:color w:val="auto"/>
                <w:highlight w:val="none"/>
                <w:lang w:eastAsia="zh-CN"/>
              </w:rPr>
              <w:t>报价部分（</w:t>
            </w:r>
            <w:r>
              <w:rPr>
                <w:rFonts w:hint="eastAsia"/>
                <w:color w:val="auto"/>
                <w:highlight w:val="none"/>
                <w:lang w:val="en-US" w:eastAsia="zh-CN"/>
              </w:rPr>
              <w:t>15</w:t>
            </w:r>
            <w:r>
              <w:rPr>
                <w:rFonts w:hint="eastAsia"/>
                <w:color w:val="auto"/>
                <w:highlight w:val="none"/>
                <w:lang w:eastAsia="zh-CN"/>
              </w:rPr>
              <w:t>分）</w:t>
            </w:r>
          </w:p>
        </w:tc>
        <w:tc>
          <w:tcPr>
            <w:tcW w:w="1249" w:type="dxa"/>
            <w:vAlign w:val="center"/>
          </w:tcPr>
          <w:p w14:paraId="0DC02238">
            <w:pPr>
              <w:rPr>
                <w:color w:val="auto"/>
                <w:highlight w:val="none"/>
                <w:lang w:eastAsia="zh-CN"/>
              </w:rPr>
            </w:pPr>
            <w:r>
              <w:rPr>
                <w:rFonts w:hint="eastAsia"/>
                <w:color w:val="auto"/>
                <w:highlight w:val="none"/>
                <w:lang w:eastAsia="zh-CN"/>
              </w:rPr>
              <w:t>投标报价</w:t>
            </w:r>
          </w:p>
        </w:tc>
        <w:tc>
          <w:tcPr>
            <w:tcW w:w="992" w:type="dxa"/>
            <w:vAlign w:val="center"/>
          </w:tcPr>
          <w:p w14:paraId="12F202AA">
            <w:pPr>
              <w:jc w:val="center"/>
              <w:rPr>
                <w:color w:val="auto"/>
                <w:highlight w:val="none"/>
                <w:lang w:eastAsia="zh-CN"/>
              </w:rPr>
            </w:pPr>
            <w:r>
              <w:rPr>
                <w:rFonts w:hint="eastAsia"/>
                <w:color w:val="auto"/>
                <w:highlight w:val="none"/>
                <w:lang w:val="en-US" w:eastAsia="zh-CN"/>
              </w:rPr>
              <w:t>15</w:t>
            </w:r>
            <w:r>
              <w:rPr>
                <w:rFonts w:hint="eastAsia"/>
                <w:color w:val="auto"/>
                <w:highlight w:val="none"/>
                <w:lang w:eastAsia="zh-CN"/>
              </w:rPr>
              <w:t>分</w:t>
            </w:r>
          </w:p>
        </w:tc>
        <w:tc>
          <w:tcPr>
            <w:tcW w:w="10206" w:type="dxa"/>
            <w:vAlign w:val="center"/>
          </w:tcPr>
          <w:p w14:paraId="71CDC161">
            <w:pPr>
              <w:rPr>
                <w:color w:val="auto"/>
                <w:highlight w:val="none"/>
                <w:lang w:eastAsia="zh-CN"/>
              </w:rPr>
            </w:pPr>
            <w:r>
              <w:rPr>
                <w:rFonts w:hint="eastAsia"/>
                <w:color w:val="auto"/>
                <w:highlight w:val="none"/>
                <w:lang w:eastAsia="zh-CN"/>
              </w:rPr>
              <w:t>采用低价优先法计分，以有效投标文件中的最低投标报价为评标基准价，报价得分=（评标基准价/投标人投标报价）x</w:t>
            </w:r>
            <w:r>
              <w:rPr>
                <w:rFonts w:hint="eastAsia"/>
                <w:color w:val="auto"/>
                <w:highlight w:val="none"/>
                <w:lang w:val="en-US" w:eastAsia="zh-CN"/>
              </w:rPr>
              <w:t>15</w:t>
            </w:r>
            <w:r>
              <w:rPr>
                <w:rFonts w:hint="eastAsia"/>
                <w:color w:val="auto"/>
                <w:highlight w:val="none"/>
                <w:lang w:eastAsia="zh-CN"/>
              </w:rPr>
              <w:t>；报价低于</w:t>
            </w:r>
            <w:r>
              <w:rPr>
                <w:rFonts w:hint="eastAsia"/>
                <w:color w:val="auto"/>
                <w:highlight w:val="none"/>
                <w:lang w:val="en-US" w:eastAsia="zh-CN"/>
              </w:rPr>
              <w:t>90</w:t>
            </w:r>
            <w:r>
              <w:rPr>
                <w:rFonts w:hint="eastAsia"/>
                <w:color w:val="auto"/>
                <w:highlight w:val="none"/>
                <w:lang w:eastAsia="zh-CN"/>
              </w:rPr>
              <w:t>元/户且无法证明合理性的，按无效投标处理。</w:t>
            </w:r>
          </w:p>
        </w:tc>
      </w:tr>
    </w:tbl>
    <w:p w14:paraId="7A5F7463">
      <w:pPr>
        <w:spacing w:line="360" w:lineRule="auto"/>
        <w:rPr>
          <w:color w:val="auto"/>
          <w:highlight w:val="none"/>
          <w:lang w:eastAsia="zh-CN"/>
        </w:rPr>
      </w:pPr>
    </w:p>
    <w:p w14:paraId="74668B95">
      <w:pPr>
        <w:spacing w:line="360" w:lineRule="auto"/>
        <w:rPr>
          <w:color w:val="auto"/>
          <w:highlight w:val="none"/>
          <w:lang w:eastAsia="zh-CN"/>
        </w:rPr>
      </w:pPr>
    </w:p>
    <w:p w14:paraId="11748A93">
      <w:pPr>
        <w:spacing w:line="360" w:lineRule="auto"/>
        <w:rPr>
          <w:color w:val="auto"/>
          <w:highlight w:val="none"/>
          <w:lang w:eastAsia="zh-CN"/>
        </w:rPr>
      </w:pPr>
    </w:p>
    <w:p w14:paraId="04C38171">
      <w:pPr>
        <w:spacing w:line="360" w:lineRule="auto"/>
        <w:rPr>
          <w:b/>
          <w:color w:val="auto"/>
          <w:sz w:val="28"/>
          <w:highlight w:val="none"/>
          <w:lang w:eastAsia="zh-CN"/>
        </w:rPr>
        <w:sectPr>
          <w:pgSz w:w="16838" w:h="11906" w:orient="landscape"/>
          <w:pgMar w:top="1800" w:right="1440" w:bottom="1800" w:left="1440" w:header="851" w:footer="992" w:gutter="0"/>
          <w:cols w:space="720" w:num="1"/>
          <w:docGrid w:linePitch="299" w:charSpace="0"/>
        </w:sectPr>
      </w:pPr>
    </w:p>
    <w:p w14:paraId="2E19B5E5">
      <w:pPr>
        <w:spacing w:line="360" w:lineRule="auto"/>
        <w:rPr>
          <w:rFonts w:hint="eastAsia"/>
          <w:b/>
          <w:color w:val="auto"/>
          <w:sz w:val="28"/>
          <w:highlight w:val="none"/>
          <w:lang w:eastAsia="zh-CN"/>
        </w:rPr>
      </w:pPr>
      <w:r>
        <w:rPr>
          <w:rFonts w:hint="eastAsia"/>
          <w:b/>
          <w:color w:val="auto"/>
          <w:sz w:val="28"/>
          <w:highlight w:val="none"/>
          <w:lang w:eastAsia="zh-CN"/>
        </w:rPr>
        <w:t>五、评审结果</w:t>
      </w:r>
    </w:p>
    <w:p w14:paraId="7C1C858F">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cs="Arial"/>
          <w:color w:val="auto"/>
          <w:sz w:val="22"/>
          <w:highlight w:val="none"/>
          <w:lang w:val="en-US" w:eastAsia="zh-CN"/>
        </w:rPr>
        <w:t>1</w:t>
      </w:r>
      <w:r>
        <w:rPr>
          <w:rFonts w:ascii="Arial" w:hAnsi="Arial" w:eastAsia="等线" w:cs="Arial"/>
          <w:color w:val="auto"/>
          <w:sz w:val="22"/>
          <w:highlight w:val="none"/>
        </w:rPr>
        <w:t>.确定中标候选人及中标价</w:t>
      </w:r>
    </w:p>
    <w:p w14:paraId="6D3CCB36">
      <w:pPr>
        <w:spacing w:before="120" w:after="120" w:line="288" w:lineRule="auto"/>
        <w:ind w:firstLine="440" w:firstLineChars="200"/>
        <w:jc w:val="left"/>
        <w:rPr>
          <w:rFonts w:ascii="Arial" w:hAnsi="Arial" w:eastAsia="等线" w:cs="Arial"/>
          <w:color w:val="auto"/>
          <w:sz w:val="22"/>
          <w:highlight w:val="none"/>
        </w:rPr>
      </w:pPr>
      <w:r>
        <w:rPr>
          <w:rFonts w:ascii="Arial" w:hAnsi="Arial" w:eastAsia="等线" w:cs="Arial"/>
          <w:color w:val="auto"/>
          <w:sz w:val="22"/>
          <w:highlight w:val="none"/>
        </w:rPr>
        <w:t>评标委员会根据各投标人的总得分（</w:t>
      </w:r>
      <w:r>
        <w:rPr>
          <w:rFonts w:hint="eastAsia" w:ascii="Arial" w:hAnsi="Arial" w:cs="Arial"/>
          <w:color w:val="auto"/>
          <w:sz w:val="22"/>
          <w:highlight w:val="none"/>
          <w:lang w:val="en-US" w:eastAsia="zh-CN"/>
        </w:rPr>
        <w:t>技术部分得分+</w:t>
      </w:r>
      <w:r>
        <w:rPr>
          <w:rFonts w:hint="eastAsia" w:ascii="Arial" w:hAnsi="Arial" w:eastAsia="等线" w:cs="Arial"/>
          <w:color w:val="auto"/>
          <w:sz w:val="22"/>
          <w:highlight w:val="none"/>
        </w:rPr>
        <w:t>商务</w:t>
      </w:r>
      <w:r>
        <w:rPr>
          <w:rFonts w:hint="eastAsia" w:ascii="Arial" w:hAnsi="Arial" w:cs="Arial"/>
          <w:color w:val="auto"/>
          <w:sz w:val="22"/>
          <w:highlight w:val="none"/>
          <w:lang w:val="en-US" w:eastAsia="zh-CN"/>
        </w:rPr>
        <w:t>部分</w:t>
      </w:r>
      <w:r>
        <w:rPr>
          <w:rFonts w:ascii="Arial" w:hAnsi="Arial" w:eastAsia="等线" w:cs="Arial"/>
          <w:color w:val="auto"/>
          <w:sz w:val="22"/>
          <w:highlight w:val="none"/>
        </w:rPr>
        <w:t>得分+</w:t>
      </w:r>
      <w:r>
        <w:rPr>
          <w:rFonts w:hint="eastAsia" w:ascii="Arial" w:hAnsi="Arial" w:cs="Arial"/>
          <w:color w:val="auto"/>
          <w:sz w:val="22"/>
          <w:highlight w:val="none"/>
          <w:lang w:val="en-US" w:eastAsia="zh-CN"/>
        </w:rPr>
        <w:t>报价</w:t>
      </w:r>
      <w:r>
        <w:rPr>
          <w:rFonts w:ascii="Arial" w:hAnsi="Arial" w:eastAsia="等线" w:cs="Arial"/>
          <w:color w:val="auto"/>
          <w:sz w:val="22"/>
          <w:highlight w:val="none"/>
        </w:rPr>
        <w:t>得分），按总得分由高到低排序，确定排名</w:t>
      </w:r>
      <w:r>
        <w:rPr>
          <w:rFonts w:hint="eastAsia" w:ascii="Arial" w:hAnsi="Arial" w:eastAsia="等线" w:cs="Arial"/>
          <w:color w:val="auto"/>
          <w:sz w:val="22"/>
          <w:highlight w:val="none"/>
        </w:rPr>
        <w:t>第一的</w:t>
      </w:r>
      <w:r>
        <w:rPr>
          <w:rFonts w:ascii="Arial" w:hAnsi="Arial" w:eastAsia="等线" w:cs="Arial"/>
          <w:color w:val="auto"/>
          <w:sz w:val="22"/>
          <w:highlight w:val="none"/>
        </w:rPr>
        <w:t>投标人为中标人，其投标报价为本项目中标价。</w:t>
      </w:r>
    </w:p>
    <w:p w14:paraId="59095906">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Arial" w:hAnsi="Arial" w:cs="Arial"/>
          <w:color w:val="auto"/>
          <w:sz w:val="22"/>
          <w:highlight w:val="none"/>
          <w:lang w:val="en-US" w:eastAsia="zh-CN"/>
        </w:rPr>
      </w:pPr>
      <w:r>
        <w:rPr>
          <w:rFonts w:hint="eastAsia" w:asciiTheme="minorEastAsia" w:hAnsiTheme="minorEastAsia" w:eastAsiaTheme="minorEastAsia" w:cstheme="minorEastAsia"/>
          <w:color w:val="auto"/>
          <w:highlight w:val="none"/>
          <w:lang w:eastAsia="zh-CN"/>
        </w:rPr>
        <w:t>若出现得分相同的情况，按以下顺序优先确定：（1）投标报价低者；（</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技术部</w:t>
      </w:r>
      <w:r>
        <w:rPr>
          <w:rFonts w:hint="eastAsia" w:asciiTheme="minorEastAsia" w:hAnsiTheme="minorEastAsia" w:eastAsiaTheme="minorEastAsia" w:cstheme="minorEastAsia"/>
          <w:color w:val="auto"/>
          <w:highlight w:val="none"/>
          <w:lang w:eastAsia="zh-CN"/>
        </w:rPr>
        <w:t>分得分高者；（3）商务部分业绩得分高者。</w:t>
      </w:r>
    </w:p>
    <w:p w14:paraId="504CD805">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cs="Arial"/>
          <w:color w:val="auto"/>
          <w:sz w:val="22"/>
          <w:highlight w:val="none"/>
          <w:lang w:val="en-US" w:eastAsia="zh-CN"/>
        </w:rPr>
        <w:t>2</w:t>
      </w:r>
      <w:r>
        <w:rPr>
          <w:rFonts w:ascii="Arial" w:hAnsi="Arial" w:eastAsia="等线" w:cs="Arial"/>
          <w:color w:val="auto"/>
          <w:sz w:val="22"/>
          <w:highlight w:val="none"/>
        </w:rPr>
        <w:t>.若中标人弃标、因违法违规被取消中标资格或未按规定签订合同的，招标人可依法重新招标</w:t>
      </w:r>
      <w:r>
        <w:rPr>
          <w:rFonts w:hint="eastAsia" w:ascii="Arial" w:hAnsi="Arial" w:eastAsia="等线" w:cs="Arial"/>
          <w:color w:val="auto"/>
          <w:sz w:val="22"/>
          <w:highlight w:val="none"/>
        </w:rPr>
        <w:t>，或</w:t>
      </w:r>
      <w:r>
        <w:rPr>
          <w:rFonts w:ascii="Arial" w:hAnsi="Arial" w:eastAsia="等线" w:cs="Arial"/>
          <w:color w:val="auto"/>
          <w:sz w:val="22"/>
          <w:highlight w:val="none"/>
        </w:rPr>
        <w:t>按评标得分顺次递补中标候选人。</w:t>
      </w:r>
    </w:p>
    <w:p w14:paraId="090FEB2D">
      <w:pPr>
        <w:numPr>
          <w:ilvl w:val="255"/>
          <w:numId w:val="0"/>
        </w:num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cs="Arial"/>
          <w:color w:val="auto"/>
          <w:sz w:val="22"/>
          <w:highlight w:val="none"/>
          <w:lang w:val="en-US" w:eastAsia="zh-CN"/>
        </w:rPr>
        <w:t>3</w:t>
      </w:r>
      <w:r>
        <w:rPr>
          <w:rFonts w:hint="eastAsia" w:ascii="Arial" w:hAnsi="Arial" w:eastAsia="等线" w:cs="Arial"/>
          <w:color w:val="auto"/>
          <w:sz w:val="22"/>
          <w:highlight w:val="none"/>
        </w:rPr>
        <w:t>.自确定中标人之日起2个工作日内，在指定网站公告中标结果，公告期限为1个工作日。公告中标结果的同时，招标人向中标人发放中标通知书。</w:t>
      </w:r>
    </w:p>
    <w:p w14:paraId="61D9BFE0">
      <w:pPr>
        <w:numPr>
          <w:ilvl w:val="255"/>
          <w:numId w:val="0"/>
        </w:num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cs="Arial"/>
          <w:color w:val="auto"/>
          <w:sz w:val="22"/>
          <w:highlight w:val="none"/>
          <w:lang w:val="en-US" w:eastAsia="zh-CN"/>
        </w:rPr>
        <w:t>4</w:t>
      </w:r>
      <w:r>
        <w:rPr>
          <w:rFonts w:hint="eastAsia" w:ascii="Arial" w:hAnsi="Arial" w:eastAsia="等线" w:cs="Arial"/>
          <w:color w:val="auto"/>
          <w:sz w:val="22"/>
          <w:highlight w:val="none"/>
        </w:rPr>
        <w:t>.</w:t>
      </w:r>
      <w:r>
        <w:rPr>
          <w:rFonts w:ascii="Arial" w:hAnsi="Arial" w:eastAsia="等线" w:cs="Arial"/>
          <w:color w:val="auto"/>
          <w:sz w:val="22"/>
          <w:highlight w:val="none"/>
        </w:rPr>
        <w:t>在中标结果公示期间，招标人查实第一中标候选人存在弄虚作假、影响中标结果的违法违规行为，不符合中标条件的，可依次确定其他中标候选人为中标人，或依法重新招标。</w:t>
      </w:r>
    </w:p>
    <w:p w14:paraId="7A17F43F">
      <w:pPr>
        <w:numPr>
          <w:ilvl w:val="255"/>
          <w:numId w:val="0"/>
        </w:num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cs="Arial"/>
          <w:color w:val="auto"/>
          <w:sz w:val="22"/>
          <w:highlight w:val="none"/>
          <w:lang w:val="en-US" w:eastAsia="zh-CN"/>
        </w:rPr>
        <w:t>5</w:t>
      </w:r>
      <w:r>
        <w:rPr>
          <w:rFonts w:hint="eastAsia" w:ascii="Arial" w:hAnsi="Arial" w:eastAsia="等线" w:cs="Arial"/>
          <w:color w:val="auto"/>
          <w:sz w:val="22"/>
          <w:highlight w:val="none"/>
        </w:rPr>
        <w:t>.</w:t>
      </w:r>
      <w:r>
        <w:rPr>
          <w:rFonts w:ascii="Arial" w:hAnsi="Arial" w:eastAsia="等线" w:cs="Arial"/>
          <w:color w:val="auto"/>
          <w:sz w:val="22"/>
          <w:highlight w:val="none"/>
        </w:rPr>
        <w:t>中标人在收到中标通知书后，应按招标人要求与招标人签订合同。</w:t>
      </w:r>
    </w:p>
    <w:p w14:paraId="0402134B">
      <w:pPr>
        <w:spacing w:before="300" w:after="120" w:line="288" w:lineRule="auto"/>
        <w:jc w:val="left"/>
        <w:outlineLvl w:val="2"/>
        <w:rPr>
          <w:color w:val="auto"/>
          <w:highlight w:val="none"/>
        </w:rPr>
      </w:pPr>
      <w:bookmarkStart w:id="3" w:name="heading_30"/>
      <w:r>
        <w:rPr>
          <w:rFonts w:ascii="Arial" w:hAnsi="Arial" w:eastAsia="等线" w:cs="Arial"/>
          <w:b/>
          <w:color w:val="auto"/>
          <w:sz w:val="30"/>
          <w:highlight w:val="none"/>
        </w:rPr>
        <w:t>六、串通投标认定</w:t>
      </w:r>
      <w:bookmarkEnd w:id="3"/>
    </w:p>
    <w:p w14:paraId="5EAAE834">
      <w:pPr>
        <w:spacing w:before="120" w:after="120" w:line="288" w:lineRule="auto"/>
        <w:ind w:firstLine="440" w:firstLineChars="200"/>
        <w:jc w:val="left"/>
        <w:rPr>
          <w:color w:val="auto"/>
          <w:highlight w:val="none"/>
        </w:rPr>
      </w:pPr>
      <w:r>
        <w:rPr>
          <w:rFonts w:ascii="Arial" w:hAnsi="Arial" w:eastAsia="等线" w:cs="Arial"/>
          <w:color w:val="auto"/>
          <w:sz w:val="22"/>
          <w:highlight w:val="none"/>
        </w:rPr>
        <w:t>有下列情形之一的，视为投标人串通投标，其投标无效：</w:t>
      </w:r>
    </w:p>
    <w:p w14:paraId="5D9B096D">
      <w:pPr>
        <w:numPr>
          <w:ilvl w:val="255"/>
          <w:numId w:val="0"/>
        </w:numPr>
        <w:spacing w:before="120" w:after="120" w:line="288" w:lineRule="auto"/>
        <w:ind w:firstLine="440" w:firstLineChars="200"/>
        <w:jc w:val="left"/>
        <w:rPr>
          <w:color w:val="auto"/>
          <w:highlight w:val="none"/>
        </w:rPr>
      </w:pPr>
      <w:r>
        <w:rPr>
          <w:rFonts w:hint="eastAsia" w:ascii="Arial" w:hAnsi="Arial" w:eastAsia="等线" w:cs="Arial"/>
          <w:color w:val="auto"/>
          <w:sz w:val="22"/>
          <w:highlight w:val="none"/>
        </w:rPr>
        <w:t>1.</w:t>
      </w:r>
      <w:r>
        <w:rPr>
          <w:rFonts w:ascii="Arial" w:hAnsi="Arial" w:eastAsia="等线" w:cs="Arial"/>
          <w:color w:val="auto"/>
          <w:sz w:val="22"/>
          <w:highlight w:val="none"/>
        </w:rPr>
        <w:t>不同投标人的投标文件由同一单位或者个人编制；</w:t>
      </w:r>
    </w:p>
    <w:p w14:paraId="1FC58213">
      <w:pPr>
        <w:numPr>
          <w:ilvl w:val="255"/>
          <w:numId w:val="0"/>
        </w:numPr>
        <w:spacing w:before="120" w:after="120" w:line="288" w:lineRule="auto"/>
        <w:ind w:firstLine="440" w:firstLineChars="200"/>
        <w:jc w:val="left"/>
        <w:rPr>
          <w:color w:val="auto"/>
          <w:highlight w:val="none"/>
        </w:rPr>
      </w:pPr>
      <w:r>
        <w:rPr>
          <w:rFonts w:hint="eastAsia" w:ascii="Arial" w:hAnsi="Arial" w:eastAsia="等线" w:cs="Arial"/>
          <w:color w:val="auto"/>
          <w:sz w:val="22"/>
          <w:highlight w:val="none"/>
        </w:rPr>
        <w:t>2.</w:t>
      </w:r>
      <w:r>
        <w:rPr>
          <w:rFonts w:ascii="Arial" w:hAnsi="Arial" w:eastAsia="等线" w:cs="Arial"/>
          <w:color w:val="auto"/>
          <w:sz w:val="22"/>
          <w:highlight w:val="none"/>
        </w:rPr>
        <w:t>不同投标人委托同一单位或者个人办理投标事宜；</w:t>
      </w:r>
    </w:p>
    <w:p w14:paraId="771BE6D2">
      <w:pPr>
        <w:numPr>
          <w:ilvl w:val="255"/>
          <w:numId w:val="0"/>
        </w:numPr>
        <w:spacing w:before="120" w:after="120" w:line="288" w:lineRule="auto"/>
        <w:ind w:firstLine="440" w:firstLineChars="200"/>
        <w:jc w:val="left"/>
        <w:rPr>
          <w:color w:val="auto"/>
          <w:highlight w:val="none"/>
        </w:rPr>
      </w:pPr>
      <w:r>
        <w:rPr>
          <w:rFonts w:hint="eastAsia" w:ascii="Arial" w:hAnsi="Arial" w:eastAsia="等线" w:cs="Arial"/>
          <w:color w:val="auto"/>
          <w:sz w:val="22"/>
          <w:highlight w:val="none"/>
        </w:rPr>
        <w:t>3.</w:t>
      </w:r>
      <w:r>
        <w:rPr>
          <w:rFonts w:ascii="Arial" w:hAnsi="Arial" w:eastAsia="等线" w:cs="Arial"/>
          <w:color w:val="auto"/>
          <w:sz w:val="22"/>
          <w:highlight w:val="none"/>
        </w:rPr>
        <w:t>不同投标人的投标文件载明的项目管理成员或者联系人员为同一人；</w:t>
      </w:r>
    </w:p>
    <w:p w14:paraId="0472F0EA">
      <w:pPr>
        <w:numPr>
          <w:ilvl w:val="255"/>
          <w:numId w:val="0"/>
        </w:numPr>
        <w:spacing w:before="120" w:after="120" w:line="288" w:lineRule="auto"/>
        <w:ind w:firstLine="440" w:firstLineChars="200"/>
        <w:jc w:val="left"/>
        <w:rPr>
          <w:color w:val="auto"/>
          <w:highlight w:val="none"/>
        </w:rPr>
      </w:pPr>
      <w:r>
        <w:rPr>
          <w:rFonts w:hint="eastAsia" w:ascii="Arial" w:hAnsi="Arial" w:eastAsia="等线" w:cs="Arial"/>
          <w:color w:val="auto"/>
          <w:sz w:val="22"/>
          <w:highlight w:val="none"/>
        </w:rPr>
        <w:t>4.</w:t>
      </w:r>
      <w:r>
        <w:rPr>
          <w:rFonts w:ascii="Arial" w:hAnsi="Arial" w:eastAsia="等线" w:cs="Arial"/>
          <w:color w:val="auto"/>
          <w:sz w:val="22"/>
          <w:highlight w:val="none"/>
        </w:rPr>
        <w:t>不同投标人的投标文件异常一致或者投标报价呈规律性差异；</w:t>
      </w:r>
    </w:p>
    <w:p w14:paraId="489106C4">
      <w:pPr>
        <w:numPr>
          <w:ilvl w:val="255"/>
          <w:numId w:val="0"/>
        </w:numPr>
        <w:spacing w:before="120" w:after="120" w:line="288" w:lineRule="auto"/>
        <w:ind w:firstLine="440" w:firstLineChars="200"/>
        <w:jc w:val="left"/>
        <w:rPr>
          <w:color w:val="auto"/>
          <w:highlight w:val="none"/>
        </w:rPr>
      </w:pPr>
      <w:r>
        <w:rPr>
          <w:rFonts w:hint="eastAsia" w:ascii="Arial" w:hAnsi="Arial" w:eastAsia="等线" w:cs="Arial"/>
          <w:color w:val="auto"/>
          <w:sz w:val="22"/>
          <w:highlight w:val="none"/>
        </w:rPr>
        <w:t>5.</w:t>
      </w:r>
      <w:r>
        <w:rPr>
          <w:rFonts w:ascii="Arial" w:hAnsi="Arial" w:eastAsia="等线" w:cs="Arial"/>
          <w:color w:val="auto"/>
          <w:sz w:val="22"/>
          <w:highlight w:val="none"/>
        </w:rPr>
        <w:t>不同投标人的投标文件相互混装。</w:t>
      </w:r>
    </w:p>
    <w:p w14:paraId="7EBD6B29">
      <w:pPr>
        <w:pStyle w:val="6"/>
        <w:spacing w:line="360" w:lineRule="auto"/>
        <w:rPr>
          <w:rFonts w:eastAsia="等线" w:cs="Arial"/>
          <w:bCs w:val="0"/>
          <w:color w:val="auto"/>
          <w:sz w:val="30"/>
          <w:szCs w:val="22"/>
          <w:highlight w:val="none"/>
        </w:rPr>
      </w:pPr>
      <w:bookmarkStart w:id="4" w:name="heading_31"/>
      <w:r>
        <w:rPr>
          <w:rFonts w:eastAsia="等线" w:cs="Arial"/>
          <w:bCs w:val="0"/>
          <w:color w:val="auto"/>
          <w:sz w:val="30"/>
          <w:szCs w:val="22"/>
          <w:highlight w:val="none"/>
        </w:rPr>
        <w:t>七、投标文件的拒绝和无效</w:t>
      </w:r>
    </w:p>
    <w:p w14:paraId="43C4FB8E">
      <w:pPr>
        <w:spacing w:before="120" w:after="120" w:line="288" w:lineRule="auto"/>
        <w:ind w:firstLine="440" w:firstLineChars="200"/>
        <w:jc w:val="left"/>
        <w:rPr>
          <w:rFonts w:ascii="Arial" w:hAnsi="Arial" w:eastAsia="等线" w:cs="Arial"/>
          <w:color w:val="auto"/>
          <w:sz w:val="22"/>
          <w:highlight w:val="none"/>
        </w:rPr>
      </w:pPr>
      <w:r>
        <w:rPr>
          <w:rFonts w:ascii="Arial" w:hAnsi="Arial" w:eastAsia="等线" w:cs="Arial"/>
          <w:color w:val="auto"/>
          <w:sz w:val="22"/>
          <w:highlight w:val="none"/>
        </w:rPr>
        <w:t>属于下列情况之一的投标文件，招标人(或招标代理人)可以拒绝或按无效标处理：</w:t>
      </w:r>
    </w:p>
    <w:p w14:paraId="76F35392">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w:t>
      </w:r>
      <w:r>
        <w:rPr>
          <w:rFonts w:ascii="Arial" w:hAnsi="Arial" w:eastAsia="等线" w:cs="Arial"/>
          <w:color w:val="auto"/>
          <w:sz w:val="22"/>
          <w:highlight w:val="none"/>
        </w:rPr>
        <w:t>投标文件中的投标函未加盖投标人的公章；</w:t>
      </w:r>
    </w:p>
    <w:p w14:paraId="6FD9F1D6">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w:t>
      </w:r>
      <w:r>
        <w:rPr>
          <w:rFonts w:ascii="Arial" w:hAnsi="Arial" w:eastAsia="等线" w:cs="Arial"/>
          <w:color w:val="auto"/>
          <w:sz w:val="22"/>
          <w:highlight w:val="none"/>
        </w:rPr>
        <w:t>投标文件中的投标函未加盖企业法定代表人（或企业法定代表人委托代理人）签章或（签字）的；</w:t>
      </w:r>
    </w:p>
    <w:p w14:paraId="171F8ADE">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3.</w:t>
      </w:r>
      <w:r>
        <w:rPr>
          <w:rFonts w:ascii="Arial" w:hAnsi="Arial" w:eastAsia="等线" w:cs="Arial"/>
          <w:color w:val="auto"/>
          <w:sz w:val="22"/>
          <w:highlight w:val="none"/>
        </w:rPr>
        <w:t>投标函由企业法定代表人委托代理人盖章或签字的，企业法定代表人委托代理人没有合法、有效的委托书的；</w:t>
      </w:r>
    </w:p>
    <w:p w14:paraId="301F1E52">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4.</w:t>
      </w:r>
      <w:r>
        <w:rPr>
          <w:rFonts w:ascii="Arial" w:hAnsi="Arial" w:eastAsia="等线" w:cs="Arial"/>
          <w:color w:val="auto"/>
          <w:sz w:val="22"/>
          <w:highlight w:val="none"/>
        </w:rPr>
        <w:t xml:space="preserve">投标人资格条件不符合国家有关规定，或者不满足招标文件规定的资格条件的； </w:t>
      </w:r>
    </w:p>
    <w:p w14:paraId="34DB080E">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5.</w:t>
      </w:r>
      <w:r>
        <w:rPr>
          <w:rFonts w:ascii="Arial" w:hAnsi="Arial" w:eastAsia="等线" w:cs="Arial"/>
          <w:color w:val="auto"/>
          <w:sz w:val="22"/>
          <w:highlight w:val="none"/>
        </w:rPr>
        <w:t>投标报价</w:t>
      </w:r>
      <w:r>
        <w:rPr>
          <w:rFonts w:hint="eastAsia" w:ascii="Arial" w:hAnsi="Arial" w:eastAsia="等线" w:cs="Arial"/>
          <w:color w:val="auto"/>
          <w:sz w:val="22"/>
          <w:highlight w:val="none"/>
        </w:rPr>
        <w:t>高于</w:t>
      </w:r>
      <w:r>
        <w:rPr>
          <w:rFonts w:ascii="Arial" w:hAnsi="Arial" w:eastAsia="等线" w:cs="Arial"/>
          <w:color w:val="auto"/>
          <w:sz w:val="22"/>
          <w:highlight w:val="none"/>
        </w:rPr>
        <w:t>招标文件设定的招标控制价的；</w:t>
      </w:r>
    </w:p>
    <w:p w14:paraId="51D0D9E0">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6.</w:t>
      </w:r>
      <w:r>
        <w:rPr>
          <w:rFonts w:ascii="Arial" w:hAnsi="Arial" w:eastAsia="等线" w:cs="Arial"/>
          <w:color w:val="auto"/>
          <w:sz w:val="22"/>
          <w:highlight w:val="none"/>
        </w:rPr>
        <w:t xml:space="preserve">同一投标人提交两个及以上不同的投标文件或者投标报价，但招标文件要求提交备选投标的除外； </w:t>
      </w:r>
    </w:p>
    <w:p w14:paraId="54434994">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7.</w:t>
      </w:r>
      <w:r>
        <w:rPr>
          <w:rFonts w:ascii="Arial" w:hAnsi="Arial" w:eastAsia="等线" w:cs="Arial"/>
          <w:color w:val="auto"/>
          <w:sz w:val="22"/>
          <w:highlight w:val="none"/>
        </w:rPr>
        <w:t xml:space="preserve">投标文件载明的招标项目完成期限超过招标文件规定的期限的； </w:t>
      </w:r>
    </w:p>
    <w:p w14:paraId="346A9F7D">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8.</w:t>
      </w:r>
      <w:r>
        <w:rPr>
          <w:rFonts w:ascii="Arial" w:hAnsi="Arial" w:eastAsia="等线" w:cs="Arial"/>
          <w:color w:val="auto"/>
          <w:sz w:val="22"/>
          <w:highlight w:val="none"/>
        </w:rPr>
        <w:t>明显不符合技术规范、</w:t>
      </w:r>
      <w:r>
        <w:rPr>
          <w:rFonts w:hint="eastAsia" w:ascii="Arial" w:hAnsi="Arial" w:eastAsia="等线" w:cs="Arial"/>
          <w:color w:val="auto"/>
          <w:sz w:val="22"/>
          <w:highlight w:val="none"/>
        </w:rPr>
        <w:t>商务技术标</w:t>
      </w:r>
      <w:r>
        <w:rPr>
          <w:rFonts w:ascii="Arial" w:hAnsi="Arial" w:eastAsia="等线" w:cs="Arial"/>
          <w:color w:val="auto"/>
          <w:sz w:val="22"/>
          <w:highlight w:val="none"/>
        </w:rPr>
        <w:t xml:space="preserve">准的要求的；  </w:t>
      </w:r>
    </w:p>
    <w:p w14:paraId="79754763">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9.</w:t>
      </w:r>
      <w:r>
        <w:rPr>
          <w:rFonts w:ascii="Arial" w:hAnsi="Arial" w:eastAsia="等线" w:cs="Arial"/>
          <w:color w:val="auto"/>
          <w:sz w:val="22"/>
          <w:highlight w:val="none"/>
        </w:rPr>
        <w:t xml:space="preserve">投标文件载明的货物包装方式、检验标准和方法等不符合招标文件的要求的； </w:t>
      </w:r>
    </w:p>
    <w:p w14:paraId="23409E06">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10.</w:t>
      </w:r>
      <w:r>
        <w:rPr>
          <w:rFonts w:ascii="Arial" w:hAnsi="Arial" w:eastAsia="等线" w:cs="Arial"/>
          <w:color w:val="auto"/>
          <w:sz w:val="22"/>
          <w:highlight w:val="none"/>
        </w:rPr>
        <w:t xml:space="preserve">投标文件提出了不能满足招标文件要求或招标人不能接受的工程验收、计量、价款结算和支付办法的； </w:t>
      </w:r>
    </w:p>
    <w:p w14:paraId="00FB05CE">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11.</w:t>
      </w:r>
      <w:r>
        <w:rPr>
          <w:rFonts w:ascii="Arial" w:hAnsi="Arial" w:eastAsia="等线" w:cs="Arial"/>
          <w:color w:val="auto"/>
          <w:sz w:val="22"/>
          <w:highlight w:val="none"/>
        </w:rPr>
        <w:t xml:space="preserve">不同投标人的投标文件以及投标文件制作过程出现了评标委员会认为不应当雷同的情况的； </w:t>
      </w:r>
    </w:p>
    <w:p w14:paraId="391A5719">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12.</w:t>
      </w:r>
      <w:r>
        <w:rPr>
          <w:rFonts w:ascii="Arial" w:hAnsi="Arial" w:eastAsia="等线" w:cs="Arial"/>
          <w:color w:val="auto"/>
          <w:sz w:val="22"/>
          <w:highlight w:val="none"/>
        </w:rPr>
        <w:t>以他人的名义投标、串通投标、以行贿手段谋取中标或者以其他弄虚作假方式投标的；</w:t>
      </w:r>
    </w:p>
    <w:p w14:paraId="428C3AD1">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13.</w:t>
      </w:r>
      <w:r>
        <w:rPr>
          <w:rFonts w:ascii="Arial" w:hAnsi="Arial" w:eastAsia="等线" w:cs="Arial"/>
          <w:color w:val="auto"/>
          <w:sz w:val="22"/>
          <w:highlight w:val="none"/>
        </w:rPr>
        <w:t>投标文件关键内容模糊、无法辨认的；</w:t>
      </w:r>
    </w:p>
    <w:p w14:paraId="18B935FA">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14.异常低价，投标人不提供书面说明、证明材料，或者提供的书面说明、证明材料不能证明其报价合理性的。</w:t>
      </w:r>
    </w:p>
    <w:p w14:paraId="14586754">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15.</w:t>
      </w:r>
      <w:r>
        <w:rPr>
          <w:rFonts w:ascii="Arial" w:hAnsi="Arial" w:eastAsia="等线" w:cs="Arial"/>
          <w:color w:val="auto"/>
          <w:sz w:val="22"/>
          <w:highlight w:val="none"/>
        </w:rPr>
        <w:t>招标文件中规定的其他废标条款。</w:t>
      </w:r>
    </w:p>
    <w:p w14:paraId="1E80BB23">
      <w:pPr>
        <w:spacing w:before="120" w:after="120" w:line="288" w:lineRule="auto"/>
        <w:ind w:firstLine="600" w:firstLineChars="200"/>
        <w:jc w:val="left"/>
        <w:rPr>
          <w:rFonts w:ascii="Arial" w:hAnsi="Arial" w:eastAsia="等线" w:cs="Arial"/>
          <w:b/>
          <w:color w:val="auto"/>
          <w:sz w:val="30"/>
          <w:highlight w:val="none"/>
        </w:rPr>
      </w:pPr>
      <w:bookmarkStart w:id="5" w:name="_Toc922"/>
      <w:r>
        <w:rPr>
          <w:rFonts w:hint="eastAsia" w:ascii="Arial" w:hAnsi="Arial" w:eastAsia="等线" w:cs="Arial"/>
          <w:b/>
          <w:color w:val="auto"/>
          <w:sz w:val="30"/>
          <w:highlight w:val="none"/>
        </w:rPr>
        <w:t>八、质疑处理</w:t>
      </w:r>
      <w:bookmarkEnd w:id="5"/>
    </w:p>
    <w:p w14:paraId="4B97FB57">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1. 提出质疑的投标人应当是参与所质疑项目采购活动的投标人。潜在投标人依法获取其可质疑的招标文件的，可以对招标文件提出质疑。</w:t>
      </w:r>
    </w:p>
    <w:p w14:paraId="20921957">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2.投标人认为招标文件、采购过程和采购结果使自己的权益受到损害的，可以在知道或应知其权益受到损害之日起七个工作日内，以书面形式向代理机构或招标人提出质疑。上述应知其权益受到损害之日，是指：</w:t>
      </w:r>
    </w:p>
    <w:p w14:paraId="1FE2E531">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2.1对可以质疑的招标文件提出质疑的，为收到招标文件之日或者招标文件公告期限届满之日；</w:t>
      </w:r>
    </w:p>
    <w:p w14:paraId="5E7F4052">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2.2对采购过程提出质疑的，为各采购程序环节结束之日；</w:t>
      </w:r>
    </w:p>
    <w:p w14:paraId="52D37A7B">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2.3对中标或者成交结果提出质疑的，为中标或者成交结果公告期限届满之日。</w:t>
      </w:r>
    </w:p>
    <w:p w14:paraId="160EA1B8">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投标人应当在法定质疑期内一次性提出针对同一采购程序环节的质疑。</w:t>
      </w:r>
    </w:p>
    <w:p w14:paraId="4A5ECBF0">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2.4质疑函必须按照本招标文件中《质疑函范本》要求的格式和内容进行填写。</w:t>
      </w:r>
    </w:p>
    <w:p w14:paraId="31C28397">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2.5对招标人式、招标文件中项目需求、投标人资格条件、评标方法和评标标准、资格审查结果等应当由招标人答复的质疑，请向招标人提出，由招标人负责答复。投标人对其他事项的质疑，请向代理机构提出，由招标人或代理机构负责答复。</w:t>
      </w:r>
    </w:p>
    <w:p w14:paraId="0E3F03B0">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投标人提起质疑采取书面形式，可以现场送达，也可以邮寄。</w:t>
      </w:r>
    </w:p>
    <w:p w14:paraId="227D2386">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招标人及代理机构质疑接收人及联系方式，见招标文件第一部分。</w:t>
      </w:r>
    </w:p>
    <w:p w14:paraId="35C88214">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2.6 以下情形的质疑不予受理</w:t>
      </w:r>
    </w:p>
    <w:p w14:paraId="68330E28">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2.6.1内容不符合《政府采购质疑和投诉办法》第十二条规定的质疑。</w:t>
      </w:r>
    </w:p>
    <w:p w14:paraId="09B30D05">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2.6.2 超出政府采购法定期限的质疑。</w:t>
      </w:r>
    </w:p>
    <w:p w14:paraId="35072F4A">
      <w:pPr>
        <w:spacing w:before="120" w:after="120" w:line="288" w:lineRule="auto"/>
        <w:ind w:firstLine="440" w:firstLineChars="200"/>
        <w:jc w:val="left"/>
        <w:rPr>
          <w:rFonts w:ascii="Arial" w:hAnsi="Arial" w:eastAsia="等线" w:cs="Arial"/>
          <w:color w:val="auto"/>
          <w:sz w:val="22"/>
          <w:highlight w:val="none"/>
        </w:rPr>
      </w:pPr>
      <w:r>
        <w:rPr>
          <w:rFonts w:hint="eastAsia" w:ascii="Arial" w:hAnsi="Arial" w:eastAsia="等线" w:cs="Arial"/>
          <w:color w:val="auto"/>
          <w:sz w:val="22"/>
          <w:highlight w:val="none"/>
        </w:rPr>
        <w:t>2.6.3未参加投标活动的投标人或在投标活动中自身权益未受到损害的投标人所提出的质疑。</w:t>
      </w:r>
    </w:p>
    <w:p w14:paraId="6FAE05BE">
      <w:pPr>
        <w:spacing w:before="120" w:after="120" w:line="288" w:lineRule="auto"/>
        <w:ind w:firstLine="440" w:firstLineChars="200"/>
        <w:jc w:val="left"/>
        <w:rPr>
          <w:rFonts w:ascii="Arial" w:hAnsi="Arial" w:eastAsia="等线" w:cs="Arial"/>
          <w:b/>
          <w:color w:val="auto"/>
          <w:sz w:val="30"/>
          <w:highlight w:val="none"/>
        </w:rPr>
      </w:pPr>
      <w:r>
        <w:rPr>
          <w:rFonts w:hint="eastAsia" w:ascii="Arial" w:hAnsi="Arial" w:eastAsia="等线" w:cs="Arial"/>
          <w:color w:val="auto"/>
          <w:sz w:val="22"/>
          <w:highlight w:val="none"/>
        </w:rPr>
        <w:t>2.7 投标人提出书面质疑必须有理、有据，不得捏造事实、提供虚假材料进行恶意质疑。否则，一经查实，代理机构有权依据政府采购的有关规定，报请政府采购监管部门对该投标人进行相应的行政处罚和记录该投标人的失信信息。</w:t>
      </w:r>
    </w:p>
    <w:p w14:paraId="021F3E64">
      <w:pPr>
        <w:spacing w:before="300" w:after="120" w:line="288" w:lineRule="auto"/>
        <w:jc w:val="left"/>
        <w:outlineLvl w:val="2"/>
        <w:rPr>
          <w:color w:val="auto"/>
          <w:highlight w:val="none"/>
        </w:rPr>
      </w:pPr>
      <w:r>
        <w:rPr>
          <w:rFonts w:hint="eastAsia" w:ascii="Arial" w:hAnsi="Arial" w:eastAsia="等线" w:cs="Arial"/>
          <w:b/>
          <w:color w:val="auto"/>
          <w:sz w:val="30"/>
          <w:highlight w:val="none"/>
        </w:rPr>
        <w:t>九</w:t>
      </w:r>
      <w:r>
        <w:rPr>
          <w:rFonts w:ascii="Arial" w:hAnsi="Arial" w:eastAsia="等线" w:cs="Arial"/>
          <w:b/>
          <w:color w:val="auto"/>
          <w:sz w:val="30"/>
          <w:highlight w:val="none"/>
        </w:rPr>
        <w:t>、其他注意事项</w:t>
      </w:r>
      <w:bookmarkEnd w:id="4"/>
    </w:p>
    <w:p w14:paraId="03A93941">
      <w:pPr>
        <w:numPr>
          <w:ilvl w:val="255"/>
          <w:numId w:val="0"/>
        </w:numPr>
        <w:spacing w:before="120" w:after="120" w:line="288" w:lineRule="auto"/>
        <w:ind w:firstLine="440" w:firstLineChars="200"/>
        <w:jc w:val="left"/>
        <w:rPr>
          <w:color w:val="auto"/>
          <w:highlight w:val="none"/>
        </w:rPr>
      </w:pPr>
      <w:r>
        <w:rPr>
          <w:rFonts w:hint="eastAsia" w:ascii="Arial" w:hAnsi="Arial" w:eastAsia="等线" w:cs="Arial"/>
          <w:color w:val="auto"/>
          <w:sz w:val="22"/>
          <w:highlight w:val="none"/>
        </w:rPr>
        <w:t>1.评标委员会</w:t>
      </w:r>
      <w:r>
        <w:rPr>
          <w:rFonts w:ascii="Arial" w:hAnsi="Arial" w:eastAsia="等线" w:cs="Arial"/>
          <w:color w:val="auto"/>
          <w:sz w:val="22"/>
          <w:highlight w:val="none"/>
        </w:rPr>
        <w:t>不向未中标人解释未中标原因，不退还投标文件。</w:t>
      </w:r>
    </w:p>
    <w:p w14:paraId="0E062B91">
      <w:pPr>
        <w:numPr>
          <w:ilvl w:val="255"/>
          <w:numId w:val="0"/>
        </w:numPr>
        <w:spacing w:before="120" w:after="120" w:line="288" w:lineRule="auto"/>
        <w:ind w:firstLine="440" w:firstLineChars="200"/>
        <w:jc w:val="left"/>
        <w:rPr>
          <w:color w:val="auto"/>
          <w:highlight w:val="none"/>
        </w:rPr>
      </w:pPr>
      <w:r>
        <w:rPr>
          <w:rFonts w:hint="eastAsia" w:ascii="Arial" w:hAnsi="Arial" w:eastAsia="等线" w:cs="Arial"/>
          <w:color w:val="auto"/>
          <w:sz w:val="22"/>
          <w:highlight w:val="none"/>
        </w:rPr>
        <w:t>2.</w:t>
      </w:r>
      <w:r>
        <w:rPr>
          <w:rFonts w:ascii="Arial" w:hAnsi="Arial" w:eastAsia="等线" w:cs="Arial"/>
          <w:color w:val="auto"/>
          <w:sz w:val="22"/>
          <w:highlight w:val="none"/>
        </w:rPr>
        <w:t>若出现少于三家投标人投标或有效投标不足三家的，将重新招标或采取其他法定方式</w:t>
      </w:r>
      <w:r>
        <w:rPr>
          <w:rFonts w:hint="eastAsia" w:ascii="Arial" w:hAnsi="Arial" w:eastAsia="等线" w:cs="Arial"/>
          <w:color w:val="auto"/>
          <w:sz w:val="22"/>
          <w:highlight w:val="none"/>
        </w:rPr>
        <w:t>招标</w:t>
      </w:r>
      <w:r>
        <w:rPr>
          <w:rFonts w:ascii="Arial" w:hAnsi="Arial" w:eastAsia="等线" w:cs="Arial"/>
          <w:color w:val="auto"/>
          <w:sz w:val="22"/>
          <w:highlight w:val="none"/>
        </w:rPr>
        <w:t>。</w:t>
      </w:r>
    </w:p>
    <w:p w14:paraId="046E5C09">
      <w:pPr>
        <w:numPr>
          <w:ilvl w:val="255"/>
          <w:numId w:val="0"/>
        </w:numPr>
        <w:spacing w:before="120" w:after="120" w:line="288" w:lineRule="auto"/>
        <w:ind w:firstLine="440" w:firstLineChars="200"/>
        <w:jc w:val="left"/>
        <w:rPr>
          <w:color w:val="auto"/>
          <w:highlight w:val="none"/>
        </w:rPr>
      </w:pPr>
      <w:r>
        <w:rPr>
          <w:rFonts w:hint="eastAsia" w:ascii="Arial" w:hAnsi="Arial" w:cs="Arial"/>
          <w:color w:val="auto"/>
          <w:sz w:val="22"/>
          <w:highlight w:val="none"/>
          <w:lang w:val="en-US" w:eastAsia="zh-CN"/>
        </w:rPr>
        <w:t>3</w:t>
      </w:r>
      <w:r>
        <w:rPr>
          <w:rFonts w:hint="eastAsia" w:ascii="Arial" w:hAnsi="Arial" w:eastAsia="等线" w:cs="Arial"/>
          <w:color w:val="auto"/>
          <w:sz w:val="22"/>
          <w:highlight w:val="none"/>
        </w:rPr>
        <w:t>.</w:t>
      </w:r>
      <w:r>
        <w:rPr>
          <w:rFonts w:ascii="Arial" w:hAnsi="Arial" w:eastAsia="等线" w:cs="Arial"/>
          <w:color w:val="auto"/>
          <w:sz w:val="22"/>
          <w:highlight w:val="none"/>
        </w:rPr>
        <w:t>投标文件不符合招标文件中规定的实质性要求的，按</w:t>
      </w:r>
      <w:r>
        <w:rPr>
          <w:rFonts w:hint="eastAsia" w:ascii="Arial" w:hAnsi="Arial" w:cs="Arial"/>
          <w:color w:val="auto"/>
          <w:sz w:val="22"/>
          <w:highlight w:val="none"/>
          <w:lang w:val="en-US" w:eastAsia="zh-CN"/>
        </w:rPr>
        <w:t>无效</w:t>
      </w:r>
      <w:r>
        <w:rPr>
          <w:rFonts w:ascii="Arial" w:hAnsi="Arial" w:eastAsia="等线" w:cs="Arial"/>
          <w:color w:val="auto"/>
          <w:sz w:val="22"/>
          <w:highlight w:val="none"/>
        </w:rPr>
        <w:t>标处理。</w:t>
      </w:r>
    </w:p>
    <w:p w14:paraId="18CD83EA">
      <w:pPr>
        <w:spacing w:before="320" w:after="120" w:line="288" w:lineRule="auto"/>
        <w:jc w:val="left"/>
        <w:outlineLvl w:val="1"/>
        <w:rPr>
          <w:rFonts w:ascii="Arial" w:hAnsi="Arial" w:eastAsia="等线" w:cs="Arial"/>
          <w:b/>
          <w:color w:val="auto"/>
          <w:sz w:val="32"/>
          <w:highlight w:val="none"/>
        </w:rPr>
        <w:sectPr>
          <w:pgSz w:w="11905" w:h="16840"/>
          <w:pgMar w:top="1440" w:right="1800" w:bottom="1440" w:left="1800" w:header="720" w:footer="720" w:gutter="0"/>
          <w:cols w:space="720" w:num="1"/>
        </w:sectPr>
      </w:pPr>
    </w:p>
    <w:p w14:paraId="601D47C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b/>
          <w:color w:val="auto"/>
          <w:sz w:val="36"/>
          <w:szCs w:val="36"/>
          <w:highlight w:val="none"/>
          <w:lang w:eastAsia="zh-CN"/>
        </w:rPr>
      </w:pPr>
      <w:r>
        <w:rPr>
          <w:rFonts w:hint="eastAsia"/>
          <w:b/>
          <w:color w:val="auto"/>
          <w:sz w:val="36"/>
          <w:szCs w:val="36"/>
          <w:highlight w:val="none"/>
          <w:lang w:eastAsia="zh-CN"/>
        </w:rPr>
        <w:t>第五部分投标文件格式</w:t>
      </w:r>
    </w:p>
    <w:p w14:paraId="5AFB26AE">
      <w:pPr>
        <w:spacing w:line="360" w:lineRule="auto"/>
        <w:jc w:val="center"/>
        <w:outlineLvl w:val="0"/>
        <w:rPr>
          <w:b/>
          <w:color w:val="auto"/>
          <w:sz w:val="35"/>
          <w:highlight w:val="none"/>
          <w:lang w:eastAsia="zh-CN"/>
        </w:rPr>
      </w:pPr>
      <w:r>
        <w:rPr>
          <w:rFonts w:hint="eastAsia"/>
          <w:b/>
          <w:color w:val="auto"/>
          <w:sz w:val="35"/>
          <w:highlight w:val="none"/>
          <w:lang w:val="en-US" w:eastAsia="zh-CN"/>
        </w:rPr>
        <w:t>一</w:t>
      </w:r>
      <w:r>
        <w:rPr>
          <w:rFonts w:hint="eastAsia"/>
          <w:b/>
          <w:color w:val="auto"/>
          <w:sz w:val="35"/>
          <w:highlight w:val="none"/>
          <w:lang w:eastAsia="zh-CN"/>
        </w:rPr>
        <w:t>、法定代表人身份证明</w:t>
      </w:r>
    </w:p>
    <w:p w14:paraId="4DAD6F61">
      <w:pPr>
        <w:spacing w:line="360" w:lineRule="auto"/>
        <w:jc w:val="left"/>
        <w:rPr>
          <w:color w:val="auto"/>
          <w:highlight w:val="none"/>
          <w:u w:val="single"/>
          <w:lang w:eastAsia="zh-CN"/>
        </w:rPr>
      </w:pPr>
      <w:r>
        <w:rPr>
          <w:rFonts w:hint="eastAsia"/>
          <w:color w:val="auto"/>
          <w:highlight w:val="none"/>
          <w:lang w:eastAsia="zh-CN"/>
        </w:rPr>
        <w:t>姓名：</w:t>
      </w:r>
      <w:r>
        <w:rPr>
          <w:color w:val="auto"/>
          <w:highlight w:val="none"/>
          <w:u w:val="single"/>
          <w:lang w:eastAsia="zh-CN"/>
        </w:rPr>
        <w:t xml:space="preserve">                          </w:t>
      </w:r>
      <w:r>
        <w:rPr>
          <w:rFonts w:hint="eastAsia"/>
          <w:color w:val="auto"/>
          <w:highlight w:val="none"/>
          <w:lang w:eastAsia="zh-CN"/>
        </w:rPr>
        <w:t>性别：</w:t>
      </w:r>
      <w:r>
        <w:rPr>
          <w:color w:val="auto"/>
          <w:highlight w:val="none"/>
          <w:u w:val="single"/>
          <w:lang w:eastAsia="zh-CN"/>
        </w:rPr>
        <w:t xml:space="preserve">                         </w:t>
      </w:r>
      <w:r>
        <w:rPr>
          <w:rFonts w:hint="eastAsia"/>
          <w:color w:val="auto"/>
          <w:highlight w:val="none"/>
          <w:lang w:eastAsia="zh-CN"/>
        </w:rPr>
        <w:t>年龄：</w:t>
      </w:r>
      <w:r>
        <w:rPr>
          <w:color w:val="auto"/>
          <w:highlight w:val="none"/>
          <w:u w:val="single"/>
          <w:lang w:eastAsia="zh-CN"/>
        </w:rPr>
        <w:t xml:space="preserve">                         </w:t>
      </w:r>
      <w:r>
        <w:rPr>
          <w:rFonts w:hint="eastAsia"/>
          <w:color w:val="auto"/>
          <w:highlight w:val="none"/>
          <w:lang w:eastAsia="zh-CN"/>
        </w:rPr>
        <w:t>职务：</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p>
    <w:p w14:paraId="3248154A">
      <w:pPr>
        <w:spacing w:line="360" w:lineRule="auto"/>
        <w:jc w:val="left"/>
        <w:rPr>
          <w:color w:val="auto"/>
          <w:highlight w:val="none"/>
          <w:lang w:eastAsia="zh-CN"/>
        </w:rPr>
      </w:pPr>
      <w:r>
        <w:rPr>
          <w:rFonts w:hint="eastAsia"/>
          <w:color w:val="auto"/>
          <w:highlight w:val="none"/>
          <w:lang w:eastAsia="zh-CN"/>
        </w:rPr>
        <w:t>系我方[投标人名称]的法定代表人，有权代表我方参与本项目投标及签订相关合同文件。</w:t>
      </w:r>
    </w:p>
    <w:p w14:paraId="40AFA5D3">
      <w:pPr>
        <w:spacing w:line="360" w:lineRule="auto"/>
        <w:jc w:val="left"/>
        <w:rPr>
          <w:color w:val="auto"/>
          <w:highlight w:val="none"/>
          <w:lang w:eastAsia="zh-CN"/>
        </w:rPr>
      </w:pPr>
      <w:r>
        <w:rPr>
          <w:rFonts w:hint="eastAsia"/>
          <w:color w:val="auto"/>
          <w:highlight w:val="none"/>
          <w:lang w:eastAsia="zh-CN"/>
        </w:rPr>
        <w:t>特此证明。</w:t>
      </w:r>
    </w:p>
    <w:p w14:paraId="39C03A53">
      <w:pPr>
        <w:spacing w:line="360" w:lineRule="auto"/>
        <w:jc w:val="left"/>
        <w:rPr>
          <w:color w:val="auto"/>
          <w:highlight w:val="none"/>
          <w:lang w:eastAsia="zh-CN"/>
        </w:rPr>
      </w:pPr>
      <w:r>
        <w:rPr>
          <w:rFonts w:hint="eastAsia"/>
          <w:color w:val="auto"/>
          <w:highlight w:val="none"/>
          <w:lang w:eastAsia="zh-CN"/>
        </w:rPr>
        <w:t>附：法定代表人身份证复印件（正反面）</w:t>
      </w:r>
    </w:p>
    <w:p w14:paraId="2F40D560">
      <w:pPr>
        <w:spacing w:line="360" w:lineRule="auto"/>
        <w:jc w:val="left"/>
        <w:rPr>
          <w:color w:val="auto"/>
          <w:highlight w:val="none"/>
          <w:lang w:eastAsia="zh-CN"/>
        </w:rPr>
      </w:pPr>
      <w:r>
        <w:rPr>
          <w:rFonts w:hint="eastAsia"/>
          <w:color w:val="auto"/>
          <w:highlight w:val="none"/>
          <w:lang w:eastAsia="zh-CN"/>
        </w:rPr>
        <w:t>投标人名称（盖章）</w:t>
      </w:r>
      <w:bookmarkStart w:id="6" w:name="OLE_LINK10"/>
      <w:bookmarkStart w:id="7" w:name="OLE_LINK11"/>
      <w:r>
        <w:rPr>
          <w:rFonts w:hint="eastAsia"/>
          <w:color w:val="auto"/>
          <w:highlight w:val="none"/>
          <w:lang w:eastAsia="zh-CN"/>
        </w:rPr>
        <w:t>：</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bookmarkEnd w:id="6"/>
      <w:bookmarkEnd w:id="7"/>
    </w:p>
    <w:p w14:paraId="74D0E22C">
      <w:pPr>
        <w:spacing w:line="360" w:lineRule="auto"/>
        <w:jc w:val="left"/>
        <w:rPr>
          <w:color w:val="auto"/>
          <w:highlight w:val="none"/>
          <w:lang w:eastAsia="zh-CN"/>
        </w:rPr>
      </w:pPr>
      <w:r>
        <w:rPr>
          <w:rFonts w:hint="eastAsia"/>
          <w:color w:val="auto"/>
          <w:highlight w:val="none"/>
          <w:lang w:eastAsia="zh-CN"/>
        </w:rPr>
        <w:t>日期</w:t>
      </w:r>
      <w:bookmarkStart w:id="8" w:name="OLE_LINK8"/>
      <w:bookmarkStart w:id="9" w:name="OLE_LINK9"/>
      <w:r>
        <w:rPr>
          <w:rFonts w:hint="eastAsia"/>
          <w:color w:val="auto"/>
          <w:highlight w:val="none"/>
          <w:lang w:eastAsia="zh-CN"/>
        </w:rPr>
        <w:t>：</w:t>
      </w:r>
      <w:r>
        <w:rPr>
          <w:color w:val="auto"/>
          <w:highlight w:val="none"/>
          <w:u w:val="single"/>
          <w:lang w:eastAsia="zh-CN"/>
        </w:rPr>
        <w:t xml:space="preserve">                  </w:t>
      </w:r>
      <w:bookmarkEnd w:id="8"/>
      <w:bookmarkEnd w:id="9"/>
      <w:r>
        <w:rPr>
          <w:rFonts w:hint="eastAsia"/>
          <w:color w:val="auto"/>
          <w:highlight w:val="none"/>
          <w:lang w:eastAsia="zh-CN"/>
        </w:rPr>
        <w:t>年</w:t>
      </w:r>
      <w:r>
        <w:rPr>
          <w:color w:val="auto"/>
          <w:highlight w:val="none"/>
          <w:u w:val="single"/>
          <w:lang w:eastAsia="zh-CN"/>
        </w:rPr>
        <w:t xml:space="preserve">                  </w:t>
      </w:r>
      <w:r>
        <w:rPr>
          <w:rFonts w:hint="eastAsia"/>
          <w:color w:val="auto"/>
          <w:highlight w:val="none"/>
          <w:lang w:eastAsia="zh-CN"/>
        </w:rPr>
        <w:t>月</w:t>
      </w:r>
      <w:r>
        <w:rPr>
          <w:color w:val="auto"/>
          <w:highlight w:val="none"/>
          <w:u w:val="single"/>
          <w:lang w:eastAsia="zh-CN"/>
        </w:rPr>
        <w:t xml:space="preserve">                  </w:t>
      </w:r>
      <w:r>
        <w:rPr>
          <w:rFonts w:hint="eastAsia"/>
          <w:color w:val="auto"/>
          <w:highlight w:val="none"/>
          <w:lang w:eastAsia="zh-CN"/>
        </w:rPr>
        <w:t>日</w:t>
      </w:r>
    </w:p>
    <w:p w14:paraId="29EF5DCF">
      <w:pPr>
        <w:spacing w:line="360" w:lineRule="auto"/>
        <w:rPr>
          <w:color w:val="auto"/>
          <w:highlight w:val="none"/>
          <w:lang w:eastAsia="zh-CN"/>
        </w:rPr>
      </w:pPr>
    </w:p>
    <w:p w14:paraId="17C780AF">
      <w:pPr>
        <w:spacing w:line="360" w:lineRule="auto"/>
        <w:rPr>
          <w:color w:val="auto"/>
          <w:highlight w:val="none"/>
          <w:lang w:eastAsia="zh-CN"/>
        </w:rPr>
      </w:pPr>
    </w:p>
    <w:p w14:paraId="47546F21">
      <w:pPr>
        <w:spacing w:line="360" w:lineRule="auto"/>
        <w:rPr>
          <w:color w:val="auto"/>
          <w:highlight w:val="none"/>
          <w:lang w:eastAsia="zh-CN"/>
        </w:rPr>
      </w:pPr>
    </w:p>
    <w:p w14:paraId="6DD2F781">
      <w:pPr>
        <w:rPr>
          <w:rFonts w:hint="eastAsia"/>
          <w:b/>
          <w:color w:val="auto"/>
          <w:sz w:val="35"/>
          <w:highlight w:val="none"/>
          <w:lang w:val="en-US" w:eastAsia="zh-CN"/>
        </w:rPr>
      </w:pPr>
      <w:r>
        <w:rPr>
          <w:rFonts w:hint="eastAsia"/>
          <w:b/>
          <w:color w:val="auto"/>
          <w:sz w:val="35"/>
          <w:highlight w:val="none"/>
          <w:lang w:val="en-US" w:eastAsia="zh-CN"/>
        </w:rPr>
        <w:br w:type="page"/>
      </w:r>
    </w:p>
    <w:p w14:paraId="53DE033F">
      <w:pPr>
        <w:spacing w:line="360" w:lineRule="auto"/>
        <w:jc w:val="center"/>
        <w:outlineLvl w:val="0"/>
        <w:rPr>
          <w:b/>
          <w:color w:val="auto"/>
          <w:sz w:val="35"/>
          <w:highlight w:val="none"/>
          <w:lang w:eastAsia="zh-CN"/>
        </w:rPr>
      </w:pPr>
      <w:r>
        <w:rPr>
          <w:rFonts w:hint="eastAsia"/>
          <w:b/>
          <w:color w:val="auto"/>
          <w:sz w:val="35"/>
          <w:highlight w:val="none"/>
          <w:lang w:val="en-US" w:eastAsia="zh-CN"/>
        </w:rPr>
        <w:t>二</w:t>
      </w:r>
      <w:r>
        <w:rPr>
          <w:rFonts w:hint="eastAsia"/>
          <w:b/>
          <w:color w:val="auto"/>
          <w:sz w:val="35"/>
          <w:highlight w:val="none"/>
          <w:lang w:eastAsia="zh-CN"/>
        </w:rPr>
        <w:t>、授权委托书</w:t>
      </w:r>
    </w:p>
    <w:p w14:paraId="3C7F8722">
      <w:pPr>
        <w:spacing w:line="360" w:lineRule="auto"/>
        <w:rPr>
          <w:color w:val="auto"/>
          <w:highlight w:val="none"/>
          <w:lang w:eastAsia="zh-CN"/>
        </w:rPr>
      </w:pPr>
      <w:r>
        <w:rPr>
          <w:rFonts w:hint="eastAsia"/>
          <w:color w:val="auto"/>
          <w:highlight w:val="none"/>
          <w:lang w:eastAsia="zh-CN"/>
        </w:rPr>
        <w:t>致：[招标人名称]、[江苏中润工程建设咨询有限公司]</w:t>
      </w:r>
    </w:p>
    <w:p w14:paraId="52C42994">
      <w:pPr>
        <w:spacing w:line="360" w:lineRule="auto"/>
        <w:rPr>
          <w:color w:val="auto"/>
          <w:highlight w:val="none"/>
          <w:lang w:eastAsia="zh-CN"/>
        </w:rPr>
      </w:pPr>
      <w:r>
        <w:rPr>
          <w:rFonts w:hint="eastAsia"/>
          <w:color w:val="auto"/>
          <w:highlight w:val="none"/>
          <w:lang w:eastAsia="zh-CN"/>
        </w:rPr>
        <w:t>我方委托</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lang w:eastAsia="zh-CN"/>
        </w:rPr>
        <w:t>（姓名），职务：</w:t>
      </w:r>
      <w:r>
        <w:rPr>
          <w:color w:val="auto"/>
          <w:highlight w:val="none"/>
          <w:u w:val="single"/>
          <w:lang w:eastAsia="zh-CN"/>
        </w:rPr>
        <w:t xml:space="preserve">                                </w:t>
      </w:r>
      <w:r>
        <w:rPr>
          <w:rFonts w:hint="eastAsia"/>
          <w:color w:val="auto"/>
          <w:highlight w:val="none"/>
          <w:lang w:eastAsia="zh-CN"/>
        </w:rPr>
        <w:t>作为我方授权代表，参与[项目名称]（项目编号：[项目编号]）的投标、开标、评标及合同签订等相关事宜，授权代表在上述活动中所签署的一切文件及处理的相关事务，我方均予以认可并承担相应责任。</w:t>
      </w:r>
    </w:p>
    <w:p w14:paraId="5538B6DE">
      <w:pPr>
        <w:spacing w:line="360" w:lineRule="auto"/>
        <w:rPr>
          <w:color w:val="auto"/>
          <w:highlight w:val="none"/>
          <w:lang w:eastAsia="zh-CN"/>
        </w:rPr>
      </w:pPr>
      <w:r>
        <w:rPr>
          <w:rFonts w:hint="eastAsia"/>
          <w:color w:val="auto"/>
          <w:highlight w:val="none"/>
          <w:lang w:eastAsia="zh-CN"/>
        </w:rPr>
        <w:t>授权期限：自本委托书出具之日起至本项目投标及后续相关工作结束止。</w:t>
      </w:r>
    </w:p>
    <w:p w14:paraId="7EABD775">
      <w:pPr>
        <w:spacing w:line="360" w:lineRule="auto"/>
        <w:rPr>
          <w:color w:val="auto"/>
          <w:highlight w:val="none"/>
          <w:lang w:eastAsia="zh-CN"/>
        </w:rPr>
      </w:pPr>
      <w:r>
        <w:rPr>
          <w:rFonts w:hint="eastAsia"/>
          <w:color w:val="auto"/>
          <w:highlight w:val="none"/>
          <w:lang w:eastAsia="zh-CN"/>
        </w:rPr>
        <w:t>附：授权代表身份证复印件（正反面）</w:t>
      </w:r>
    </w:p>
    <w:p w14:paraId="7337A47D">
      <w:pPr>
        <w:spacing w:line="360" w:lineRule="auto"/>
        <w:rPr>
          <w:color w:val="auto"/>
          <w:highlight w:val="none"/>
          <w:lang w:eastAsia="zh-CN"/>
        </w:rPr>
      </w:pPr>
      <w:r>
        <w:rPr>
          <w:rFonts w:hint="eastAsia"/>
          <w:color w:val="auto"/>
          <w:highlight w:val="none"/>
          <w:lang w:eastAsia="zh-CN"/>
        </w:rPr>
        <w:t>法定代表人（签字</w:t>
      </w:r>
      <w:r>
        <w:rPr>
          <w:rFonts w:hint="eastAsia"/>
          <w:color w:val="auto"/>
          <w:highlight w:val="none"/>
          <w:lang w:val="en-US" w:eastAsia="zh-CN"/>
        </w:rPr>
        <w:t>或盖章</w:t>
      </w:r>
      <w:r>
        <w:rPr>
          <w:rFonts w:hint="eastAsia"/>
          <w:color w:val="auto"/>
          <w:highlight w:val="none"/>
          <w:lang w:eastAsia="zh-CN"/>
        </w:rPr>
        <w:t>）：</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p>
    <w:p w14:paraId="073975F5">
      <w:pPr>
        <w:spacing w:line="360" w:lineRule="auto"/>
        <w:rPr>
          <w:color w:val="auto"/>
          <w:highlight w:val="none"/>
          <w:lang w:eastAsia="zh-CN"/>
        </w:rPr>
      </w:pPr>
      <w:r>
        <w:rPr>
          <w:rFonts w:hint="eastAsia"/>
          <w:color w:val="auto"/>
          <w:highlight w:val="none"/>
          <w:lang w:eastAsia="zh-CN"/>
        </w:rPr>
        <w:t>投标人名称（盖章）</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p>
    <w:p w14:paraId="45D2E871">
      <w:pPr>
        <w:spacing w:line="360" w:lineRule="auto"/>
        <w:rPr>
          <w:rFonts w:hint="default"/>
          <w:color w:val="auto"/>
          <w:highlight w:val="none"/>
          <w:lang w:val="en-US" w:eastAsia="zh-CN"/>
        </w:rPr>
      </w:pPr>
      <w:r>
        <w:rPr>
          <w:rFonts w:hint="eastAsia"/>
          <w:color w:val="auto"/>
          <w:highlight w:val="none"/>
          <w:lang w:val="en-US" w:eastAsia="zh-CN"/>
        </w:rPr>
        <w:t>授权代表签字：</w:t>
      </w:r>
      <w:r>
        <w:rPr>
          <w:color w:val="auto"/>
          <w:highlight w:val="none"/>
          <w:u w:val="single"/>
          <w:lang w:eastAsia="zh-CN"/>
        </w:rPr>
        <w:t xml:space="preserve">                                </w:t>
      </w:r>
      <w:r>
        <w:rPr>
          <w:rFonts w:hint="eastAsia"/>
          <w:color w:val="auto"/>
          <w:highlight w:val="none"/>
          <w:u w:val="single"/>
          <w:lang w:eastAsia="zh-CN"/>
        </w:rPr>
        <w:t>_</w:t>
      </w:r>
    </w:p>
    <w:p w14:paraId="6251CC29">
      <w:pPr>
        <w:spacing w:line="360" w:lineRule="auto"/>
        <w:rPr>
          <w:color w:val="auto"/>
          <w:highlight w:val="none"/>
          <w:lang w:eastAsia="zh-CN"/>
        </w:rPr>
      </w:pPr>
      <w:r>
        <w:rPr>
          <w:rFonts w:hint="eastAsia"/>
          <w:color w:val="auto"/>
          <w:highlight w:val="none"/>
          <w:lang w:eastAsia="zh-CN"/>
        </w:rPr>
        <w:t>日期：</w:t>
      </w:r>
      <w:r>
        <w:rPr>
          <w:color w:val="auto"/>
          <w:highlight w:val="none"/>
          <w:u w:val="single"/>
          <w:lang w:eastAsia="zh-CN"/>
        </w:rPr>
        <w:t xml:space="preserve">                  </w:t>
      </w:r>
      <w:r>
        <w:rPr>
          <w:rFonts w:hint="eastAsia"/>
          <w:color w:val="auto"/>
          <w:highlight w:val="none"/>
          <w:lang w:eastAsia="zh-CN"/>
        </w:rPr>
        <w:t>年</w:t>
      </w:r>
      <w:r>
        <w:rPr>
          <w:color w:val="auto"/>
          <w:highlight w:val="none"/>
          <w:u w:val="single"/>
          <w:lang w:eastAsia="zh-CN"/>
        </w:rPr>
        <w:t xml:space="preserve">                  </w:t>
      </w:r>
      <w:r>
        <w:rPr>
          <w:rFonts w:hint="eastAsia"/>
          <w:color w:val="auto"/>
          <w:highlight w:val="none"/>
          <w:lang w:eastAsia="zh-CN"/>
        </w:rPr>
        <w:t>月</w:t>
      </w:r>
      <w:r>
        <w:rPr>
          <w:color w:val="auto"/>
          <w:highlight w:val="none"/>
          <w:u w:val="single"/>
          <w:lang w:eastAsia="zh-CN"/>
        </w:rPr>
        <w:t xml:space="preserve">                  </w:t>
      </w:r>
      <w:r>
        <w:rPr>
          <w:rFonts w:hint="eastAsia"/>
          <w:color w:val="auto"/>
          <w:highlight w:val="none"/>
          <w:lang w:eastAsia="zh-CN"/>
        </w:rPr>
        <w:t>日</w:t>
      </w:r>
    </w:p>
    <w:p w14:paraId="207321D2">
      <w:pPr>
        <w:spacing w:after="200" w:line="276" w:lineRule="auto"/>
        <w:jc w:val="left"/>
        <w:rPr>
          <w:color w:val="auto"/>
          <w:highlight w:val="none"/>
          <w:lang w:eastAsia="zh-CN"/>
        </w:rPr>
      </w:pPr>
      <w:r>
        <w:rPr>
          <w:color w:val="auto"/>
          <w:highlight w:val="none"/>
          <w:lang w:eastAsia="zh-CN"/>
        </w:rPr>
        <w:br w:type="page"/>
      </w:r>
    </w:p>
    <w:p w14:paraId="77AA4054">
      <w:pPr>
        <w:spacing w:line="360" w:lineRule="auto"/>
        <w:jc w:val="left"/>
        <w:outlineLvl w:val="0"/>
        <w:rPr>
          <w:b/>
          <w:color w:val="auto"/>
          <w:sz w:val="35"/>
          <w:highlight w:val="none"/>
          <w:lang w:eastAsia="zh-CN"/>
        </w:rPr>
      </w:pPr>
      <w:r>
        <w:rPr>
          <w:rFonts w:hint="eastAsia"/>
          <w:b/>
          <w:color w:val="auto"/>
          <w:sz w:val="35"/>
          <w:highlight w:val="none"/>
          <w:lang w:val="en-US" w:eastAsia="zh-CN"/>
        </w:rPr>
        <w:t>三</w:t>
      </w:r>
      <w:r>
        <w:rPr>
          <w:rFonts w:hint="eastAsia"/>
          <w:b/>
          <w:color w:val="auto"/>
          <w:sz w:val="35"/>
          <w:highlight w:val="none"/>
          <w:lang w:eastAsia="zh-CN"/>
        </w:rPr>
        <w:t>、资格审查</w:t>
      </w:r>
      <w:r>
        <w:rPr>
          <w:rFonts w:hint="eastAsia"/>
          <w:b/>
          <w:color w:val="auto"/>
          <w:sz w:val="35"/>
          <w:highlight w:val="none"/>
          <w:lang w:val="en-US" w:eastAsia="zh-CN"/>
        </w:rPr>
        <w:t>文件</w:t>
      </w:r>
    </w:p>
    <w:p w14:paraId="7422DA2C">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default" w:asciiTheme="minorAscii"/>
          <w:color w:val="auto"/>
          <w:sz w:val="21"/>
          <w:szCs w:val="21"/>
          <w:highlight w:val="none"/>
          <w:lang w:val="en-US" w:eastAsia="zh-CN"/>
        </w:rPr>
      </w:pPr>
      <w:r>
        <w:rPr>
          <w:rFonts w:hint="eastAsia" w:asciiTheme="minorAscii"/>
          <w:color w:val="auto"/>
          <w:sz w:val="21"/>
          <w:szCs w:val="21"/>
          <w:highlight w:val="none"/>
          <w:lang w:val="en-US" w:eastAsia="zh-CN"/>
        </w:rPr>
        <w:t>1.法定代表人身份证明（法定代表人投标时提供）；</w:t>
      </w:r>
    </w:p>
    <w:p w14:paraId="6B4E2156">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default" w:asciiTheme="minorAscii"/>
          <w:color w:val="auto"/>
          <w:sz w:val="21"/>
          <w:szCs w:val="21"/>
          <w:highlight w:val="none"/>
          <w:lang w:val="en-US" w:eastAsia="zh-CN"/>
        </w:rPr>
      </w:pPr>
      <w:r>
        <w:rPr>
          <w:rFonts w:hint="eastAsia" w:asciiTheme="minorAscii"/>
          <w:color w:val="auto"/>
          <w:sz w:val="21"/>
          <w:szCs w:val="21"/>
          <w:highlight w:val="none"/>
          <w:lang w:val="en-US" w:eastAsia="zh-CN"/>
        </w:rPr>
        <w:t>2.授权委托书（授权代表参加投标时提供）；</w:t>
      </w:r>
    </w:p>
    <w:p w14:paraId="30A3D083">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3.</w:t>
      </w:r>
      <w:r>
        <w:rPr>
          <w:rFonts w:hint="eastAsia" w:asciiTheme="minorAscii"/>
          <w:color w:val="auto"/>
          <w:sz w:val="21"/>
          <w:szCs w:val="21"/>
          <w:highlight w:val="none"/>
          <w:lang w:eastAsia="zh-CN"/>
        </w:rPr>
        <w:t>具有独立承担民事责任的能力（提供营业执照或事业单位法人证书等证明文件复印件加盖公章）；</w:t>
      </w:r>
    </w:p>
    <w:p w14:paraId="33DF7F21">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4.</w:t>
      </w:r>
      <w:r>
        <w:rPr>
          <w:rFonts w:hint="eastAsia" w:asciiTheme="minorAscii"/>
          <w:color w:val="auto"/>
          <w:sz w:val="21"/>
          <w:szCs w:val="21"/>
          <w:highlight w:val="none"/>
          <w:lang w:eastAsia="zh-CN"/>
        </w:rPr>
        <w:t>具有良好的商业信誉和健全的财务会计制度（提供近1年度财务状况报告复印件加盖公章，成立不满1年的提供银行资信证明复印件加盖公章）；</w:t>
      </w:r>
    </w:p>
    <w:p w14:paraId="2263A405">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5.</w:t>
      </w:r>
      <w:r>
        <w:rPr>
          <w:rFonts w:hint="eastAsia" w:asciiTheme="minorAscii"/>
          <w:color w:val="auto"/>
          <w:sz w:val="21"/>
          <w:szCs w:val="21"/>
          <w:highlight w:val="none"/>
          <w:lang w:eastAsia="zh-CN"/>
        </w:rPr>
        <w:t>具有履行合同所必需的设备和专业技术能力（提供书面声明函原件加盖公章）；</w:t>
      </w:r>
    </w:p>
    <w:p w14:paraId="2774C978">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6.</w:t>
      </w:r>
      <w:r>
        <w:rPr>
          <w:rFonts w:hint="eastAsia" w:asciiTheme="minorAscii"/>
          <w:color w:val="auto"/>
          <w:sz w:val="21"/>
          <w:szCs w:val="21"/>
          <w:highlight w:val="none"/>
          <w:lang w:eastAsia="zh-CN"/>
        </w:rPr>
        <w:t>有依法缴纳税收和社会保障资金的良好记录（提供近6个月内任意1个月缴纳税收和社会保障资金的证明材料复印件加盖公章）；</w:t>
      </w:r>
    </w:p>
    <w:p w14:paraId="6B34CD0C">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7.</w:t>
      </w:r>
      <w:r>
        <w:rPr>
          <w:rFonts w:hint="eastAsia" w:asciiTheme="minorAscii"/>
          <w:color w:val="auto"/>
          <w:sz w:val="21"/>
          <w:szCs w:val="21"/>
          <w:highlight w:val="none"/>
          <w:lang w:eastAsia="zh-CN"/>
        </w:rPr>
        <w:t>参加政府采购活动前3年内，在经营活动中没有重大违法记录（提供书面声明函原件加盖公章）；</w:t>
      </w:r>
    </w:p>
    <w:p w14:paraId="0A12711C">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8.</w:t>
      </w:r>
      <w:r>
        <w:rPr>
          <w:rFonts w:hint="eastAsia" w:asciiTheme="minorAscii"/>
          <w:color w:val="auto"/>
          <w:sz w:val="21"/>
          <w:szCs w:val="21"/>
          <w:highlight w:val="none"/>
          <w:lang w:eastAsia="zh-CN"/>
        </w:rPr>
        <w:t>具备</w:t>
      </w:r>
      <w:r>
        <w:rPr>
          <w:rFonts w:hint="eastAsia" w:asciiTheme="minorAscii"/>
          <w:color w:val="auto"/>
          <w:sz w:val="21"/>
          <w:szCs w:val="21"/>
          <w:highlight w:val="none"/>
          <w:lang w:val="en-US" w:eastAsia="zh-CN"/>
        </w:rPr>
        <w:t>乙级或以上</w:t>
      </w:r>
      <w:r>
        <w:rPr>
          <w:rFonts w:hint="eastAsia" w:asciiTheme="minorAscii"/>
          <w:color w:val="auto"/>
          <w:sz w:val="21"/>
          <w:szCs w:val="21"/>
          <w:highlight w:val="none"/>
          <w:lang w:eastAsia="zh-CN"/>
        </w:rPr>
        <w:t>测绘资质（含界线与不动产测绘、地理信息系统工程、</w:t>
      </w:r>
      <w:r>
        <w:rPr>
          <w:rFonts w:hint="eastAsia" w:asciiTheme="minorAscii"/>
          <w:color w:val="auto"/>
          <w:sz w:val="21"/>
          <w:szCs w:val="21"/>
          <w:highlight w:val="none"/>
          <w:lang w:val="en-US" w:eastAsia="zh-CN"/>
        </w:rPr>
        <w:t>测绘航空摄影</w:t>
      </w:r>
      <w:r>
        <w:rPr>
          <w:rFonts w:hint="eastAsia" w:asciiTheme="minorAscii"/>
          <w:color w:val="auto"/>
          <w:sz w:val="21"/>
          <w:szCs w:val="21"/>
          <w:highlight w:val="none"/>
          <w:lang w:eastAsia="zh-CN"/>
        </w:rPr>
        <w:t>专业），提供资质证书复印件加盖公章；</w:t>
      </w:r>
    </w:p>
    <w:p w14:paraId="2B4F475C">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9.</w:t>
      </w:r>
      <w:r>
        <w:rPr>
          <w:rFonts w:hint="eastAsia" w:asciiTheme="minorAscii"/>
          <w:color w:val="auto"/>
          <w:sz w:val="21"/>
          <w:szCs w:val="21"/>
          <w:highlight w:val="none"/>
          <w:lang w:eastAsia="zh-CN"/>
        </w:rPr>
        <w:t>未被列入“信用中国”网站（www.creditchina.gov.cn）失信被执行人、重大税收违法失信主体名单及中国政府采购网（www.ccgp.gov.cn）政府采购严重违法失信行为记录名单（提供投标截止日前10日内的查询截图加盖公章）。</w:t>
      </w:r>
    </w:p>
    <w:p w14:paraId="50880646">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10.</w:t>
      </w:r>
      <w:r>
        <w:rPr>
          <w:rFonts w:hint="eastAsia" w:asciiTheme="minorAscii"/>
          <w:color w:val="auto"/>
          <w:sz w:val="21"/>
          <w:szCs w:val="21"/>
          <w:highlight w:val="none"/>
          <w:lang w:eastAsia="zh-CN"/>
        </w:rPr>
        <w:t>.投标保证金缴纳凭证复印件；</w:t>
      </w:r>
    </w:p>
    <w:p w14:paraId="2DC436CE">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auto"/>
        <w:rPr>
          <w:rFonts w:hint="eastAsia" w:asciiTheme="minorAscii"/>
          <w:color w:val="auto"/>
          <w:sz w:val="21"/>
          <w:szCs w:val="21"/>
          <w:highlight w:val="none"/>
          <w:lang w:eastAsia="zh-CN"/>
        </w:rPr>
      </w:pPr>
      <w:r>
        <w:rPr>
          <w:rFonts w:hint="eastAsia" w:asciiTheme="minorAscii"/>
          <w:color w:val="auto"/>
          <w:sz w:val="21"/>
          <w:szCs w:val="21"/>
          <w:highlight w:val="none"/>
          <w:lang w:val="en-US" w:eastAsia="zh-CN"/>
        </w:rPr>
        <w:t>11</w:t>
      </w:r>
      <w:r>
        <w:rPr>
          <w:rFonts w:hint="eastAsia" w:asciiTheme="minorAscii"/>
          <w:color w:val="auto"/>
          <w:sz w:val="21"/>
          <w:szCs w:val="21"/>
          <w:highlight w:val="none"/>
          <w:lang w:eastAsia="zh-CN"/>
        </w:rPr>
        <w:t>.招标文件要求的其他资格证明材料。</w:t>
      </w:r>
    </w:p>
    <w:p w14:paraId="7AF53E55">
      <w:pPr>
        <w:spacing w:line="360" w:lineRule="auto"/>
        <w:jc w:val="left"/>
        <w:outlineLvl w:val="0"/>
        <w:rPr>
          <w:b/>
          <w:color w:val="auto"/>
          <w:sz w:val="35"/>
          <w:highlight w:val="none"/>
          <w:lang w:eastAsia="zh-CN"/>
        </w:rPr>
      </w:pPr>
      <w:bookmarkStart w:id="10" w:name="OLE_LINK12"/>
      <w:r>
        <w:rPr>
          <w:rFonts w:hint="eastAsia"/>
          <w:b/>
          <w:color w:val="auto"/>
          <w:sz w:val="35"/>
          <w:highlight w:val="none"/>
          <w:lang w:val="en-US" w:eastAsia="zh-CN"/>
        </w:rPr>
        <w:t>四</w:t>
      </w:r>
      <w:r>
        <w:rPr>
          <w:rFonts w:hint="eastAsia"/>
          <w:b/>
          <w:color w:val="auto"/>
          <w:sz w:val="35"/>
          <w:highlight w:val="none"/>
          <w:lang w:eastAsia="zh-CN"/>
        </w:rPr>
        <w:t>、商务技术标</w:t>
      </w:r>
    </w:p>
    <w:bookmarkEnd w:id="10"/>
    <w:p w14:paraId="58E99E15">
      <w:pPr>
        <w:spacing w:line="360" w:lineRule="auto"/>
        <w:rPr>
          <w:color w:val="auto"/>
          <w:highlight w:val="none"/>
          <w:lang w:eastAsia="zh-CN"/>
        </w:rPr>
      </w:pPr>
      <w:r>
        <w:rPr>
          <w:rFonts w:hint="eastAsia"/>
          <w:color w:val="auto"/>
          <w:highlight w:val="none"/>
          <w:lang w:eastAsia="zh-CN"/>
        </w:rPr>
        <w:t>1.</w:t>
      </w:r>
      <w:r>
        <w:rPr>
          <w:rFonts w:hint="eastAsia"/>
          <w:color w:val="auto"/>
          <w:highlight w:val="none"/>
          <w:lang w:val="en-US" w:eastAsia="zh-CN"/>
        </w:rPr>
        <w:t>技术部分</w:t>
      </w:r>
      <w:r>
        <w:rPr>
          <w:rFonts w:hint="eastAsia"/>
          <w:color w:val="auto"/>
          <w:highlight w:val="none"/>
          <w:lang w:eastAsia="zh-CN"/>
        </w:rPr>
        <w:t>；</w:t>
      </w:r>
    </w:p>
    <w:p w14:paraId="5C049A8B">
      <w:pPr>
        <w:spacing w:line="360" w:lineRule="auto"/>
        <w:rPr>
          <w:color w:val="auto"/>
          <w:highlight w:val="none"/>
          <w:lang w:eastAsia="zh-CN"/>
        </w:rPr>
      </w:pPr>
      <w:r>
        <w:rPr>
          <w:rFonts w:hint="eastAsia"/>
          <w:color w:val="auto"/>
          <w:highlight w:val="none"/>
          <w:lang w:eastAsia="zh-CN"/>
        </w:rPr>
        <w:t>2.</w:t>
      </w:r>
      <w:r>
        <w:rPr>
          <w:rFonts w:hint="eastAsia"/>
          <w:color w:val="auto"/>
          <w:highlight w:val="none"/>
          <w:lang w:val="en-US" w:eastAsia="zh-CN"/>
        </w:rPr>
        <w:t>商务部分</w:t>
      </w:r>
      <w:r>
        <w:rPr>
          <w:rFonts w:hint="eastAsia"/>
          <w:color w:val="auto"/>
          <w:highlight w:val="none"/>
          <w:lang w:eastAsia="zh-CN"/>
        </w:rPr>
        <w:t>。</w:t>
      </w:r>
    </w:p>
    <w:p w14:paraId="586E7CCD">
      <w:pPr>
        <w:spacing w:line="360" w:lineRule="auto"/>
        <w:rPr>
          <w:rFonts w:hint="default"/>
          <w:color w:val="auto"/>
          <w:highlight w:val="none"/>
          <w:lang w:val="en-US" w:eastAsia="zh-CN"/>
        </w:rPr>
      </w:pPr>
      <w:r>
        <w:rPr>
          <w:rFonts w:hint="eastAsia"/>
          <w:color w:val="auto"/>
          <w:highlight w:val="none"/>
          <w:lang w:val="en-US" w:eastAsia="zh-CN"/>
        </w:rPr>
        <w:t>注：按技术部分和商务部分评分项编制。</w:t>
      </w:r>
    </w:p>
    <w:p w14:paraId="629CF0BA">
      <w:pPr>
        <w:spacing w:line="360" w:lineRule="auto"/>
        <w:jc w:val="left"/>
        <w:outlineLvl w:val="0"/>
        <w:rPr>
          <w:rFonts w:hint="eastAsia"/>
          <w:b/>
          <w:color w:val="auto"/>
          <w:sz w:val="35"/>
          <w:highlight w:val="none"/>
          <w:lang w:eastAsia="zh-CN"/>
        </w:rPr>
      </w:pPr>
      <w:r>
        <w:rPr>
          <w:color w:val="auto"/>
          <w:highlight w:val="none"/>
          <w:lang w:eastAsia="zh-CN"/>
        </w:rPr>
        <w:br w:type="page"/>
      </w:r>
      <w:r>
        <w:rPr>
          <w:rFonts w:hint="eastAsia"/>
          <w:b/>
          <w:color w:val="auto"/>
          <w:sz w:val="35"/>
          <w:highlight w:val="none"/>
          <w:lang w:eastAsia="zh-CN"/>
        </w:rPr>
        <w:t>五、价格标</w:t>
      </w:r>
    </w:p>
    <w:p w14:paraId="49EF0963">
      <w:pPr>
        <w:spacing w:line="360" w:lineRule="auto"/>
        <w:jc w:val="center"/>
        <w:outlineLvl w:val="0"/>
        <w:rPr>
          <w:b/>
          <w:color w:val="auto"/>
          <w:sz w:val="35"/>
          <w:highlight w:val="none"/>
          <w:lang w:eastAsia="zh-CN"/>
        </w:rPr>
      </w:pPr>
      <w:r>
        <w:rPr>
          <w:rFonts w:hint="eastAsia"/>
          <w:b/>
          <w:color w:val="auto"/>
          <w:sz w:val="35"/>
          <w:highlight w:val="none"/>
          <w:lang w:val="en-US" w:eastAsia="zh-CN"/>
        </w:rPr>
        <w:t>1</w:t>
      </w:r>
      <w:r>
        <w:rPr>
          <w:rFonts w:hint="eastAsia"/>
          <w:b/>
          <w:color w:val="auto"/>
          <w:sz w:val="35"/>
          <w:highlight w:val="none"/>
          <w:lang w:eastAsia="zh-CN"/>
        </w:rPr>
        <w:t>、投标函</w:t>
      </w:r>
    </w:p>
    <w:p w14:paraId="1BA3B31E">
      <w:pPr>
        <w:spacing w:line="360" w:lineRule="auto"/>
        <w:rPr>
          <w:color w:val="auto"/>
          <w:highlight w:val="none"/>
          <w:lang w:eastAsia="zh-CN"/>
        </w:rPr>
      </w:pPr>
      <w:r>
        <w:rPr>
          <w:rFonts w:hint="eastAsia"/>
          <w:color w:val="auto"/>
          <w:highlight w:val="none"/>
          <w:lang w:eastAsia="zh-CN"/>
        </w:rPr>
        <w:t>致：[招标人名称]、[江苏中润工程建设咨询有限公司]</w:t>
      </w:r>
    </w:p>
    <w:p w14:paraId="432CD314">
      <w:pPr>
        <w:spacing w:line="360" w:lineRule="auto"/>
        <w:rPr>
          <w:color w:val="auto"/>
          <w:highlight w:val="none"/>
          <w:lang w:eastAsia="zh-CN"/>
        </w:rPr>
      </w:pPr>
      <w:r>
        <w:rPr>
          <w:rFonts w:hint="eastAsia"/>
          <w:color w:val="auto"/>
          <w:highlight w:val="none"/>
          <w:lang w:eastAsia="zh-CN"/>
        </w:rPr>
        <w:t>根据贵方[项目名称]（项目编号：[项目编号]）招标文件，我方已详细研究并完全理解招标文件的所有要求，现自愿参与本项目投标，并作出如下承诺：</w:t>
      </w:r>
    </w:p>
    <w:p w14:paraId="09011DFC">
      <w:pPr>
        <w:spacing w:line="360" w:lineRule="auto"/>
        <w:rPr>
          <w:color w:val="auto"/>
          <w:highlight w:val="none"/>
          <w:lang w:eastAsia="zh-CN"/>
        </w:rPr>
      </w:pPr>
      <w:r>
        <w:rPr>
          <w:rFonts w:hint="eastAsia"/>
          <w:color w:val="auto"/>
          <w:highlight w:val="none"/>
          <w:lang w:eastAsia="zh-CN"/>
        </w:rPr>
        <w:t>1.我方同意以投标报价人民币（大写</w:t>
      </w:r>
      <w:bookmarkStart w:id="11" w:name="OLE_LINK5"/>
      <w:bookmarkStart w:id="12" w:name="OLE_LINK4"/>
      <w:r>
        <w:rPr>
          <w:rFonts w:hint="eastAsia"/>
          <w:color w:val="auto"/>
          <w:highlight w:val="none"/>
          <w:lang w:eastAsia="zh-CN"/>
        </w:rPr>
        <w:t>）_</w:t>
      </w:r>
      <w:r>
        <w:rPr>
          <w:color w:val="auto"/>
          <w:highlight w:val="none"/>
          <w:u w:val="single"/>
          <w:lang w:eastAsia="zh-CN"/>
        </w:rPr>
        <w:t xml:space="preserve">             </w:t>
      </w:r>
      <w:r>
        <w:rPr>
          <w:color w:val="auto"/>
          <w:highlight w:val="none"/>
          <w:lang w:eastAsia="zh-CN"/>
        </w:rPr>
        <w:t xml:space="preserve"> </w:t>
      </w:r>
      <w:bookmarkEnd w:id="11"/>
      <w:bookmarkEnd w:id="12"/>
      <w:r>
        <w:rPr>
          <w:rFonts w:hint="eastAsia"/>
          <w:color w:val="auto"/>
          <w:highlight w:val="none"/>
          <w:lang w:eastAsia="zh-CN"/>
        </w:rPr>
        <w:t>元（小写： _</w:t>
      </w:r>
      <w:r>
        <w:rPr>
          <w:color w:val="auto"/>
          <w:highlight w:val="none"/>
          <w:u w:val="single"/>
          <w:lang w:eastAsia="zh-CN"/>
        </w:rPr>
        <w:t xml:space="preserve">             </w:t>
      </w:r>
      <w:r>
        <w:rPr>
          <w:color w:val="auto"/>
          <w:highlight w:val="none"/>
          <w:lang w:eastAsia="zh-CN"/>
        </w:rPr>
        <w:t xml:space="preserve"> </w:t>
      </w:r>
      <w:r>
        <w:rPr>
          <w:rFonts w:hint="eastAsia"/>
          <w:color w:val="auto"/>
          <w:highlight w:val="none"/>
          <w:lang w:eastAsia="zh-CN"/>
        </w:rPr>
        <w:t>元），户均单价_</w:t>
      </w:r>
      <w:r>
        <w:rPr>
          <w:color w:val="auto"/>
          <w:highlight w:val="none"/>
          <w:u w:val="single"/>
          <w:lang w:eastAsia="zh-CN"/>
        </w:rPr>
        <w:t xml:space="preserve">             </w:t>
      </w:r>
      <w:r>
        <w:rPr>
          <w:color w:val="auto"/>
          <w:highlight w:val="none"/>
          <w:lang w:eastAsia="zh-CN"/>
        </w:rPr>
        <w:t xml:space="preserve"> </w:t>
      </w:r>
      <w:r>
        <w:rPr>
          <w:rFonts w:hint="eastAsia"/>
          <w:color w:val="auto"/>
          <w:highlight w:val="none"/>
          <w:lang w:eastAsia="zh-CN"/>
        </w:rPr>
        <w:t>元/户，承担本项目所有服务内容，并保证报价包含完成项目所需的全部成本及税费。</w:t>
      </w:r>
    </w:p>
    <w:p w14:paraId="055B5749">
      <w:pPr>
        <w:spacing w:line="360" w:lineRule="auto"/>
        <w:rPr>
          <w:color w:val="auto"/>
          <w:highlight w:val="none"/>
          <w:lang w:eastAsia="zh-CN"/>
        </w:rPr>
      </w:pPr>
      <w:r>
        <w:rPr>
          <w:rFonts w:hint="eastAsia"/>
          <w:color w:val="auto"/>
          <w:highlight w:val="none"/>
          <w:lang w:eastAsia="zh-CN"/>
        </w:rPr>
        <w:t>2.我方承诺服务期限为自合同签订之日起_</w:t>
      </w:r>
      <w:r>
        <w:rPr>
          <w:color w:val="auto"/>
          <w:highlight w:val="none"/>
          <w:u w:val="single"/>
          <w:lang w:eastAsia="zh-CN"/>
        </w:rPr>
        <w:t xml:space="preserve">             </w:t>
      </w:r>
      <w:r>
        <w:rPr>
          <w:color w:val="auto"/>
          <w:highlight w:val="none"/>
          <w:lang w:eastAsia="zh-CN"/>
        </w:rPr>
        <w:t xml:space="preserve"> </w:t>
      </w:r>
      <w:r>
        <w:rPr>
          <w:rFonts w:hint="eastAsia"/>
          <w:color w:val="auto"/>
          <w:highlight w:val="none"/>
          <w:lang w:eastAsia="zh-CN"/>
        </w:rPr>
        <w:t>个月内完成。</w:t>
      </w:r>
    </w:p>
    <w:p w14:paraId="3822507D">
      <w:pPr>
        <w:spacing w:line="360" w:lineRule="auto"/>
        <w:rPr>
          <w:color w:val="auto"/>
          <w:highlight w:val="none"/>
          <w:lang w:eastAsia="zh-CN"/>
        </w:rPr>
      </w:pPr>
      <w:r>
        <w:rPr>
          <w:rFonts w:hint="eastAsia"/>
          <w:color w:val="auto"/>
          <w:highlight w:val="none"/>
          <w:lang w:eastAsia="zh-CN"/>
        </w:rPr>
        <w:t>3.我方承诺所提供的投标文件及相关证明材料真实、有效，不存在虚假陈述或隐瞒重要信息的情况。</w:t>
      </w:r>
    </w:p>
    <w:p w14:paraId="3DC5448B">
      <w:pPr>
        <w:spacing w:line="360" w:lineRule="auto"/>
        <w:rPr>
          <w:color w:val="auto"/>
          <w:highlight w:val="none"/>
          <w:lang w:eastAsia="zh-CN"/>
        </w:rPr>
      </w:pPr>
      <w:r>
        <w:rPr>
          <w:rFonts w:hint="eastAsia"/>
          <w:color w:val="auto"/>
          <w:highlight w:val="none"/>
          <w:lang w:eastAsia="zh-CN"/>
        </w:rPr>
        <w:t>4.我方承诺严格遵守招标文件规定，若中标，将在收到中标通知书后30日内与招标人签订合同，并按合同约定履行义务。</w:t>
      </w:r>
    </w:p>
    <w:p w14:paraId="1984EB7E">
      <w:pPr>
        <w:spacing w:line="360" w:lineRule="auto"/>
        <w:rPr>
          <w:color w:val="auto"/>
          <w:highlight w:val="none"/>
          <w:lang w:eastAsia="zh-CN"/>
        </w:rPr>
      </w:pPr>
      <w:r>
        <w:rPr>
          <w:rFonts w:hint="eastAsia"/>
          <w:color w:val="auto"/>
          <w:highlight w:val="none"/>
          <w:lang w:eastAsia="zh-CN"/>
        </w:rPr>
        <w:t>5.我方同意投标有效期为投标截止之日起90天，在此期间内，我方的投标文件对我方具有约束力。</w:t>
      </w:r>
    </w:p>
    <w:p w14:paraId="54AD5559">
      <w:pPr>
        <w:spacing w:line="360" w:lineRule="auto"/>
        <w:rPr>
          <w:color w:val="auto"/>
          <w:highlight w:val="none"/>
          <w:lang w:eastAsia="zh-CN"/>
        </w:rPr>
      </w:pPr>
      <w:r>
        <w:rPr>
          <w:rFonts w:hint="eastAsia"/>
          <w:color w:val="auto"/>
          <w:highlight w:val="none"/>
          <w:lang w:eastAsia="zh-CN"/>
        </w:rPr>
        <w:t>6.若我方违反上述承诺，愿意承担相应的法律责任及招标文件规定的违约责任。</w:t>
      </w:r>
    </w:p>
    <w:p w14:paraId="56C8249E">
      <w:pPr>
        <w:spacing w:line="360" w:lineRule="auto"/>
        <w:jc w:val="left"/>
        <w:rPr>
          <w:color w:val="auto"/>
          <w:highlight w:val="none"/>
          <w:lang w:eastAsia="zh-CN"/>
        </w:rPr>
      </w:pPr>
    </w:p>
    <w:p w14:paraId="5746CA4E">
      <w:pPr>
        <w:spacing w:line="360" w:lineRule="auto"/>
        <w:jc w:val="left"/>
        <w:rPr>
          <w:color w:val="auto"/>
          <w:highlight w:val="none"/>
          <w:u w:val="single"/>
          <w:lang w:eastAsia="zh-CN"/>
        </w:rPr>
      </w:pPr>
      <w:r>
        <w:rPr>
          <w:rFonts w:hint="eastAsia"/>
          <w:color w:val="auto"/>
          <w:highlight w:val="none"/>
          <w:lang w:eastAsia="zh-CN"/>
        </w:rPr>
        <w:t xml:space="preserve">投标人名称（盖章）： </w:t>
      </w:r>
      <w:r>
        <w:rPr>
          <w:color w:val="auto"/>
          <w:highlight w:val="none"/>
          <w:lang w:eastAsia="zh-CN"/>
        </w:rPr>
        <w:t xml:space="preserve">  </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p>
    <w:p w14:paraId="64F563B4">
      <w:pPr>
        <w:spacing w:line="360" w:lineRule="auto"/>
        <w:jc w:val="left"/>
        <w:rPr>
          <w:color w:val="auto"/>
          <w:highlight w:val="none"/>
          <w:u w:val="single"/>
          <w:lang w:eastAsia="zh-CN"/>
        </w:rPr>
      </w:pPr>
      <w:r>
        <w:rPr>
          <w:rFonts w:hint="eastAsia"/>
          <w:color w:val="auto"/>
          <w:highlight w:val="none"/>
          <w:lang w:eastAsia="zh-CN"/>
        </w:rPr>
        <w:t>法定代表人或授权代表（签字）</w:t>
      </w:r>
      <w:r>
        <w:rPr>
          <w:color w:val="auto"/>
          <w:highlight w:val="none"/>
          <w:lang w:eastAsia="zh-CN"/>
        </w:rPr>
        <w:t xml:space="preserve">  </w:t>
      </w:r>
      <w:r>
        <w:rPr>
          <w:rFonts w:hint="eastAsia"/>
          <w:color w:val="auto"/>
          <w:highlight w:val="none"/>
          <w:lang w:eastAsia="zh-CN"/>
        </w:rPr>
        <w:t>：</w:t>
      </w:r>
      <w:r>
        <w:rPr>
          <w:color w:val="auto"/>
          <w:highlight w:val="none"/>
          <w:u w:val="single"/>
          <w:lang w:eastAsia="zh-CN"/>
        </w:rPr>
        <w:t xml:space="preserve">           </w:t>
      </w:r>
      <w:bookmarkStart w:id="13" w:name="OLE_LINK6"/>
      <w:bookmarkStart w:id="14" w:name="OLE_LINK7"/>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bookmarkEnd w:id="13"/>
      <w:bookmarkEnd w:id="14"/>
    </w:p>
    <w:p w14:paraId="10D104AC">
      <w:pPr>
        <w:spacing w:line="360" w:lineRule="auto"/>
        <w:jc w:val="left"/>
        <w:rPr>
          <w:color w:val="auto"/>
          <w:highlight w:val="none"/>
          <w:lang w:eastAsia="zh-CN"/>
        </w:rPr>
      </w:pPr>
      <w:r>
        <w:rPr>
          <w:rFonts w:hint="eastAsia"/>
          <w:color w:val="auto"/>
          <w:highlight w:val="none"/>
          <w:lang w:eastAsia="zh-CN"/>
        </w:rPr>
        <w:t>日期：</w:t>
      </w:r>
      <w:r>
        <w:rPr>
          <w:color w:val="auto"/>
          <w:highlight w:val="none"/>
          <w:u w:val="single"/>
          <w:lang w:eastAsia="zh-CN"/>
        </w:rPr>
        <w:t xml:space="preserve">          </w:t>
      </w:r>
      <w:r>
        <w:rPr>
          <w:rFonts w:hint="eastAsia"/>
          <w:color w:val="auto"/>
          <w:highlight w:val="none"/>
          <w:lang w:eastAsia="zh-CN"/>
        </w:rPr>
        <w:t>年</w:t>
      </w:r>
      <w:r>
        <w:rPr>
          <w:color w:val="auto"/>
          <w:highlight w:val="none"/>
          <w:u w:val="single"/>
          <w:lang w:eastAsia="zh-CN"/>
        </w:rPr>
        <w:t xml:space="preserve">          </w:t>
      </w:r>
      <w:r>
        <w:rPr>
          <w:rFonts w:hint="eastAsia"/>
          <w:color w:val="auto"/>
          <w:highlight w:val="none"/>
          <w:lang w:eastAsia="zh-CN"/>
        </w:rPr>
        <w:t>月</w:t>
      </w:r>
      <w:r>
        <w:rPr>
          <w:color w:val="auto"/>
          <w:highlight w:val="none"/>
          <w:u w:val="single"/>
          <w:lang w:eastAsia="zh-CN"/>
        </w:rPr>
        <w:t xml:space="preserve">          </w:t>
      </w:r>
      <w:r>
        <w:rPr>
          <w:rFonts w:hint="eastAsia"/>
          <w:color w:val="auto"/>
          <w:highlight w:val="none"/>
          <w:lang w:eastAsia="zh-CN"/>
        </w:rPr>
        <w:t>日</w:t>
      </w:r>
    </w:p>
    <w:p w14:paraId="77B62C91">
      <w:pPr>
        <w:spacing w:line="360" w:lineRule="auto"/>
        <w:rPr>
          <w:color w:val="auto"/>
          <w:highlight w:val="none"/>
          <w:lang w:eastAsia="zh-CN"/>
        </w:rPr>
      </w:pPr>
    </w:p>
    <w:p w14:paraId="674020A4">
      <w:pPr>
        <w:spacing w:after="200" w:line="276" w:lineRule="auto"/>
        <w:jc w:val="left"/>
        <w:rPr>
          <w:color w:val="auto"/>
          <w:highlight w:val="none"/>
          <w:lang w:eastAsia="zh-CN"/>
        </w:rPr>
      </w:pPr>
      <w:r>
        <w:rPr>
          <w:color w:val="auto"/>
          <w:highlight w:val="none"/>
          <w:lang w:eastAsia="zh-CN"/>
        </w:rPr>
        <w:br w:type="page"/>
      </w:r>
    </w:p>
    <w:p w14:paraId="6DD9F482">
      <w:pPr>
        <w:spacing w:line="360" w:lineRule="auto"/>
        <w:jc w:val="center"/>
        <w:outlineLvl w:val="0"/>
        <w:rPr>
          <w:rFonts w:hint="default"/>
          <w:b/>
          <w:color w:val="auto"/>
          <w:sz w:val="35"/>
          <w:highlight w:val="none"/>
          <w:lang w:val="en-US" w:eastAsia="zh-CN"/>
        </w:rPr>
      </w:pPr>
      <w:r>
        <w:rPr>
          <w:rFonts w:hint="eastAsia"/>
          <w:b/>
          <w:color w:val="auto"/>
          <w:sz w:val="35"/>
          <w:highlight w:val="none"/>
          <w:lang w:val="en-US" w:eastAsia="zh-CN"/>
        </w:rPr>
        <w:t>2.</w:t>
      </w:r>
      <w:r>
        <w:rPr>
          <w:rFonts w:hint="eastAsia"/>
          <w:b/>
          <w:color w:val="auto"/>
          <w:sz w:val="35"/>
          <w:highlight w:val="none"/>
          <w:lang w:eastAsia="zh-CN"/>
        </w:rPr>
        <w:t>报价明细单</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2"/>
        <w:gridCol w:w="1657"/>
        <w:gridCol w:w="1179"/>
        <w:gridCol w:w="1179"/>
        <w:gridCol w:w="876"/>
        <w:gridCol w:w="876"/>
        <w:gridCol w:w="2053"/>
      </w:tblGrid>
      <w:tr w14:paraId="57D927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26C896FF">
            <w:pPr>
              <w:spacing w:after="200"/>
              <w:jc w:val="center"/>
              <w:rPr>
                <w:color w:val="auto"/>
                <w:highlight w:val="none"/>
                <w:lang w:eastAsia="zh-CN"/>
              </w:rPr>
            </w:pPr>
            <w:r>
              <w:rPr>
                <w:rFonts w:hint="eastAsia"/>
                <w:color w:val="auto"/>
                <w:highlight w:val="none"/>
                <w:lang w:eastAsia="zh-CN"/>
              </w:rPr>
              <w:t>序号</w:t>
            </w:r>
          </w:p>
        </w:tc>
        <w:tc>
          <w:tcPr>
            <w:tcW w:w="1657" w:type="dxa"/>
            <w:vAlign w:val="center"/>
          </w:tcPr>
          <w:p w14:paraId="4CCA3823">
            <w:pPr>
              <w:spacing w:after="200"/>
              <w:jc w:val="center"/>
              <w:rPr>
                <w:color w:val="auto"/>
                <w:highlight w:val="none"/>
                <w:lang w:eastAsia="zh-CN"/>
              </w:rPr>
            </w:pPr>
            <w:r>
              <w:rPr>
                <w:rFonts w:hint="eastAsia"/>
                <w:color w:val="auto"/>
                <w:highlight w:val="none"/>
                <w:lang w:eastAsia="zh-CN"/>
              </w:rPr>
              <w:t>费用项目</w:t>
            </w:r>
          </w:p>
        </w:tc>
        <w:tc>
          <w:tcPr>
            <w:tcW w:w="1179" w:type="dxa"/>
            <w:vAlign w:val="center"/>
          </w:tcPr>
          <w:p w14:paraId="08068E82">
            <w:pPr>
              <w:jc w:val="center"/>
              <w:rPr>
                <w:color w:val="auto"/>
                <w:highlight w:val="none"/>
                <w:lang w:eastAsia="zh-CN"/>
              </w:rPr>
            </w:pPr>
            <w:r>
              <w:rPr>
                <w:rFonts w:hint="eastAsia"/>
                <w:color w:val="auto"/>
                <w:highlight w:val="none"/>
                <w:lang w:eastAsia="zh-CN"/>
              </w:rPr>
              <w:t>单位</w:t>
            </w:r>
          </w:p>
        </w:tc>
        <w:tc>
          <w:tcPr>
            <w:tcW w:w="1179" w:type="dxa"/>
            <w:vAlign w:val="center"/>
          </w:tcPr>
          <w:p w14:paraId="06E4B2A4">
            <w:pPr>
              <w:spacing w:after="200"/>
              <w:jc w:val="center"/>
              <w:rPr>
                <w:color w:val="auto"/>
                <w:highlight w:val="none"/>
                <w:lang w:eastAsia="zh-CN"/>
              </w:rPr>
            </w:pPr>
            <w:r>
              <w:rPr>
                <w:rFonts w:hint="eastAsia"/>
                <w:color w:val="auto"/>
                <w:highlight w:val="none"/>
                <w:lang w:eastAsia="zh-CN"/>
              </w:rPr>
              <w:t>数量</w:t>
            </w:r>
          </w:p>
        </w:tc>
        <w:tc>
          <w:tcPr>
            <w:tcW w:w="876" w:type="dxa"/>
            <w:vAlign w:val="center"/>
          </w:tcPr>
          <w:p w14:paraId="041E3856">
            <w:pPr>
              <w:jc w:val="center"/>
              <w:rPr>
                <w:color w:val="auto"/>
                <w:highlight w:val="none"/>
                <w:lang w:eastAsia="zh-CN"/>
              </w:rPr>
            </w:pPr>
            <w:r>
              <w:rPr>
                <w:rFonts w:hint="eastAsia"/>
                <w:color w:val="auto"/>
                <w:highlight w:val="none"/>
                <w:lang w:eastAsia="zh-CN"/>
              </w:rPr>
              <w:t>单价</w:t>
            </w:r>
          </w:p>
          <w:p w14:paraId="59393510">
            <w:pPr>
              <w:jc w:val="center"/>
              <w:rPr>
                <w:color w:val="auto"/>
                <w:highlight w:val="none"/>
                <w:lang w:eastAsia="zh-CN"/>
              </w:rPr>
            </w:pPr>
            <w:r>
              <w:rPr>
                <w:rFonts w:hint="eastAsia"/>
                <w:color w:val="auto"/>
                <w:highlight w:val="none"/>
                <w:lang w:eastAsia="zh-CN"/>
              </w:rPr>
              <w:t>（元）</w:t>
            </w:r>
          </w:p>
        </w:tc>
        <w:tc>
          <w:tcPr>
            <w:tcW w:w="876" w:type="dxa"/>
            <w:vAlign w:val="center"/>
          </w:tcPr>
          <w:p w14:paraId="643A644E">
            <w:pPr>
              <w:jc w:val="center"/>
              <w:rPr>
                <w:color w:val="auto"/>
                <w:highlight w:val="none"/>
                <w:lang w:eastAsia="zh-CN"/>
              </w:rPr>
            </w:pPr>
            <w:r>
              <w:rPr>
                <w:rFonts w:hint="eastAsia"/>
                <w:color w:val="auto"/>
                <w:highlight w:val="none"/>
                <w:lang w:eastAsia="zh-CN"/>
              </w:rPr>
              <w:t>总价</w:t>
            </w:r>
          </w:p>
          <w:p w14:paraId="621BC686">
            <w:pPr>
              <w:jc w:val="center"/>
              <w:rPr>
                <w:color w:val="auto"/>
                <w:highlight w:val="none"/>
                <w:lang w:eastAsia="zh-CN"/>
              </w:rPr>
            </w:pPr>
            <w:r>
              <w:rPr>
                <w:rFonts w:hint="eastAsia"/>
                <w:color w:val="auto"/>
                <w:highlight w:val="none"/>
                <w:lang w:eastAsia="zh-CN"/>
              </w:rPr>
              <w:t>（元）</w:t>
            </w:r>
          </w:p>
        </w:tc>
        <w:tc>
          <w:tcPr>
            <w:tcW w:w="2053" w:type="dxa"/>
            <w:vAlign w:val="center"/>
          </w:tcPr>
          <w:p w14:paraId="5D59ACF2">
            <w:pPr>
              <w:jc w:val="center"/>
              <w:rPr>
                <w:color w:val="auto"/>
                <w:highlight w:val="none"/>
                <w:lang w:eastAsia="zh-CN"/>
              </w:rPr>
            </w:pPr>
            <w:r>
              <w:rPr>
                <w:rFonts w:hint="eastAsia"/>
                <w:color w:val="auto"/>
                <w:highlight w:val="none"/>
                <w:lang w:eastAsia="zh-CN"/>
              </w:rPr>
              <w:t>备注（计费依据）</w:t>
            </w:r>
          </w:p>
        </w:tc>
      </w:tr>
      <w:tr w14:paraId="1F765F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7"/>
            <w:vAlign w:val="center"/>
          </w:tcPr>
          <w:p w14:paraId="450A8903">
            <w:pPr>
              <w:spacing w:after="200"/>
              <w:jc w:val="center"/>
              <w:rPr>
                <w:rFonts w:hint="default"/>
                <w:color w:val="auto"/>
                <w:highlight w:val="none"/>
                <w:lang w:val="en-US" w:eastAsia="zh-CN"/>
              </w:rPr>
            </w:pPr>
            <w:r>
              <w:rPr>
                <w:rFonts w:hint="eastAsia"/>
                <w:color w:val="auto"/>
                <w:highlight w:val="none"/>
                <w:lang w:val="en-US" w:eastAsia="zh-CN"/>
              </w:rPr>
              <w:t>（格式自拟）</w:t>
            </w:r>
          </w:p>
        </w:tc>
      </w:tr>
      <w:tr w14:paraId="0BCF8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7B0C6850">
            <w:pPr>
              <w:spacing w:after="200"/>
              <w:jc w:val="center"/>
              <w:rPr>
                <w:color w:val="auto"/>
                <w:highlight w:val="none"/>
                <w:lang w:eastAsia="zh-CN"/>
              </w:rPr>
            </w:pPr>
          </w:p>
        </w:tc>
        <w:tc>
          <w:tcPr>
            <w:tcW w:w="1657" w:type="dxa"/>
            <w:vAlign w:val="center"/>
          </w:tcPr>
          <w:p w14:paraId="2E95E32B">
            <w:pPr>
              <w:rPr>
                <w:color w:val="auto"/>
                <w:highlight w:val="none"/>
                <w:lang w:eastAsia="zh-CN"/>
              </w:rPr>
            </w:pPr>
          </w:p>
        </w:tc>
        <w:tc>
          <w:tcPr>
            <w:tcW w:w="1179" w:type="dxa"/>
            <w:vAlign w:val="center"/>
          </w:tcPr>
          <w:p w14:paraId="0B19E45F">
            <w:pPr>
              <w:spacing w:after="200"/>
              <w:jc w:val="center"/>
              <w:rPr>
                <w:color w:val="auto"/>
                <w:highlight w:val="none"/>
                <w:lang w:eastAsia="zh-CN"/>
              </w:rPr>
            </w:pPr>
          </w:p>
        </w:tc>
        <w:tc>
          <w:tcPr>
            <w:tcW w:w="1179" w:type="dxa"/>
            <w:vAlign w:val="center"/>
          </w:tcPr>
          <w:p w14:paraId="4155D8CC">
            <w:pPr>
              <w:spacing w:after="200"/>
              <w:jc w:val="center"/>
              <w:rPr>
                <w:color w:val="auto"/>
                <w:highlight w:val="none"/>
                <w:lang w:eastAsia="zh-CN"/>
              </w:rPr>
            </w:pPr>
          </w:p>
        </w:tc>
        <w:tc>
          <w:tcPr>
            <w:tcW w:w="876" w:type="dxa"/>
            <w:vAlign w:val="center"/>
          </w:tcPr>
          <w:p w14:paraId="717EE30C">
            <w:pPr>
              <w:spacing w:after="200"/>
              <w:jc w:val="center"/>
              <w:rPr>
                <w:color w:val="auto"/>
                <w:highlight w:val="none"/>
                <w:lang w:eastAsia="zh-CN"/>
              </w:rPr>
            </w:pPr>
          </w:p>
        </w:tc>
        <w:tc>
          <w:tcPr>
            <w:tcW w:w="876" w:type="dxa"/>
            <w:vAlign w:val="center"/>
          </w:tcPr>
          <w:p w14:paraId="21055D5B">
            <w:pPr>
              <w:spacing w:after="200"/>
              <w:jc w:val="center"/>
              <w:rPr>
                <w:color w:val="auto"/>
                <w:highlight w:val="none"/>
                <w:lang w:eastAsia="zh-CN"/>
              </w:rPr>
            </w:pPr>
          </w:p>
        </w:tc>
        <w:tc>
          <w:tcPr>
            <w:tcW w:w="2053" w:type="dxa"/>
            <w:vAlign w:val="center"/>
          </w:tcPr>
          <w:p w14:paraId="419DE2BF">
            <w:pPr>
              <w:spacing w:after="200"/>
              <w:rPr>
                <w:color w:val="auto"/>
                <w:highlight w:val="none"/>
                <w:lang w:eastAsia="zh-CN"/>
              </w:rPr>
            </w:pPr>
          </w:p>
        </w:tc>
      </w:tr>
      <w:tr w14:paraId="1BBD6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3AA42B7A">
            <w:pPr>
              <w:spacing w:after="200"/>
              <w:jc w:val="center"/>
              <w:rPr>
                <w:color w:val="auto"/>
                <w:highlight w:val="none"/>
                <w:lang w:eastAsia="zh-CN"/>
              </w:rPr>
            </w:pPr>
          </w:p>
        </w:tc>
        <w:tc>
          <w:tcPr>
            <w:tcW w:w="1657" w:type="dxa"/>
            <w:vAlign w:val="center"/>
          </w:tcPr>
          <w:p w14:paraId="2B3F4D2A">
            <w:pPr>
              <w:rPr>
                <w:color w:val="auto"/>
                <w:highlight w:val="none"/>
                <w:lang w:eastAsia="zh-CN"/>
              </w:rPr>
            </w:pPr>
          </w:p>
        </w:tc>
        <w:tc>
          <w:tcPr>
            <w:tcW w:w="1179" w:type="dxa"/>
            <w:vAlign w:val="center"/>
          </w:tcPr>
          <w:p w14:paraId="5827BBCA">
            <w:pPr>
              <w:spacing w:after="200"/>
              <w:jc w:val="center"/>
              <w:rPr>
                <w:color w:val="auto"/>
                <w:highlight w:val="none"/>
                <w:lang w:eastAsia="zh-CN"/>
              </w:rPr>
            </w:pPr>
          </w:p>
        </w:tc>
        <w:tc>
          <w:tcPr>
            <w:tcW w:w="1179" w:type="dxa"/>
            <w:vAlign w:val="center"/>
          </w:tcPr>
          <w:p w14:paraId="39B2E666">
            <w:pPr>
              <w:spacing w:after="200"/>
              <w:jc w:val="center"/>
              <w:rPr>
                <w:color w:val="auto"/>
                <w:highlight w:val="none"/>
                <w:lang w:eastAsia="zh-CN"/>
              </w:rPr>
            </w:pPr>
          </w:p>
        </w:tc>
        <w:tc>
          <w:tcPr>
            <w:tcW w:w="876" w:type="dxa"/>
            <w:vAlign w:val="center"/>
          </w:tcPr>
          <w:p w14:paraId="702EAAA3">
            <w:pPr>
              <w:spacing w:after="200"/>
              <w:jc w:val="center"/>
              <w:rPr>
                <w:color w:val="auto"/>
                <w:highlight w:val="none"/>
                <w:lang w:eastAsia="zh-CN"/>
              </w:rPr>
            </w:pPr>
          </w:p>
        </w:tc>
        <w:tc>
          <w:tcPr>
            <w:tcW w:w="876" w:type="dxa"/>
            <w:vAlign w:val="center"/>
          </w:tcPr>
          <w:p w14:paraId="4CD26FAA">
            <w:pPr>
              <w:spacing w:after="200"/>
              <w:jc w:val="center"/>
              <w:rPr>
                <w:color w:val="auto"/>
                <w:highlight w:val="none"/>
                <w:lang w:eastAsia="zh-CN"/>
              </w:rPr>
            </w:pPr>
          </w:p>
        </w:tc>
        <w:tc>
          <w:tcPr>
            <w:tcW w:w="2053" w:type="dxa"/>
            <w:vAlign w:val="center"/>
          </w:tcPr>
          <w:p w14:paraId="0FDD16D1">
            <w:pPr>
              <w:spacing w:after="200"/>
              <w:rPr>
                <w:color w:val="auto"/>
                <w:highlight w:val="none"/>
                <w:lang w:eastAsia="zh-CN"/>
              </w:rPr>
            </w:pPr>
          </w:p>
        </w:tc>
      </w:tr>
      <w:tr w14:paraId="205E1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171F7ABE">
            <w:pPr>
              <w:spacing w:after="200"/>
              <w:jc w:val="center"/>
              <w:rPr>
                <w:color w:val="auto"/>
                <w:highlight w:val="none"/>
                <w:lang w:eastAsia="zh-CN"/>
              </w:rPr>
            </w:pPr>
          </w:p>
        </w:tc>
        <w:tc>
          <w:tcPr>
            <w:tcW w:w="1657" w:type="dxa"/>
            <w:vAlign w:val="center"/>
          </w:tcPr>
          <w:p w14:paraId="7F7EF33F">
            <w:pPr>
              <w:rPr>
                <w:color w:val="auto"/>
                <w:highlight w:val="none"/>
                <w:lang w:eastAsia="zh-CN"/>
              </w:rPr>
            </w:pPr>
          </w:p>
        </w:tc>
        <w:tc>
          <w:tcPr>
            <w:tcW w:w="1179" w:type="dxa"/>
            <w:vAlign w:val="center"/>
          </w:tcPr>
          <w:p w14:paraId="3308FF0A">
            <w:pPr>
              <w:spacing w:after="200"/>
              <w:jc w:val="center"/>
              <w:rPr>
                <w:color w:val="auto"/>
                <w:highlight w:val="none"/>
                <w:lang w:eastAsia="zh-CN"/>
              </w:rPr>
            </w:pPr>
          </w:p>
        </w:tc>
        <w:tc>
          <w:tcPr>
            <w:tcW w:w="1179" w:type="dxa"/>
            <w:vAlign w:val="center"/>
          </w:tcPr>
          <w:p w14:paraId="7EE232D7">
            <w:pPr>
              <w:spacing w:after="200"/>
              <w:jc w:val="center"/>
              <w:rPr>
                <w:color w:val="auto"/>
                <w:highlight w:val="none"/>
                <w:lang w:eastAsia="zh-CN"/>
              </w:rPr>
            </w:pPr>
          </w:p>
        </w:tc>
        <w:tc>
          <w:tcPr>
            <w:tcW w:w="876" w:type="dxa"/>
            <w:vAlign w:val="center"/>
          </w:tcPr>
          <w:p w14:paraId="577A2FD8">
            <w:pPr>
              <w:spacing w:after="200"/>
              <w:jc w:val="center"/>
              <w:rPr>
                <w:color w:val="auto"/>
                <w:highlight w:val="none"/>
                <w:lang w:eastAsia="zh-CN"/>
              </w:rPr>
            </w:pPr>
          </w:p>
        </w:tc>
        <w:tc>
          <w:tcPr>
            <w:tcW w:w="876" w:type="dxa"/>
            <w:vAlign w:val="center"/>
          </w:tcPr>
          <w:p w14:paraId="25F6E193">
            <w:pPr>
              <w:spacing w:after="200"/>
              <w:jc w:val="center"/>
              <w:rPr>
                <w:color w:val="auto"/>
                <w:highlight w:val="none"/>
                <w:lang w:eastAsia="zh-CN"/>
              </w:rPr>
            </w:pPr>
          </w:p>
        </w:tc>
        <w:tc>
          <w:tcPr>
            <w:tcW w:w="2053" w:type="dxa"/>
            <w:vAlign w:val="center"/>
          </w:tcPr>
          <w:p w14:paraId="38027056">
            <w:pPr>
              <w:spacing w:after="200"/>
              <w:rPr>
                <w:color w:val="auto"/>
                <w:highlight w:val="none"/>
                <w:lang w:eastAsia="zh-CN"/>
              </w:rPr>
            </w:pPr>
          </w:p>
        </w:tc>
      </w:tr>
      <w:tr w14:paraId="7CD32C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6F4C89BB">
            <w:pPr>
              <w:spacing w:after="200"/>
              <w:jc w:val="center"/>
              <w:rPr>
                <w:color w:val="auto"/>
                <w:highlight w:val="none"/>
                <w:lang w:eastAsia="zh-CN"/>
              </w:rPr>
            </w:pPr>
          </w:p>
        </w:tc>
        <w:tc>
          <w:tcPr>
            <w:tcW w:w="1657" w:type="dxa"/>
            <w:vAlign w:val="center"/>
          </w:tcPr>
          <w:p w14:paraId="3928E176">
            <w:pPr>
              <w:rPr>
                <w:color w:val="auto"/>
                <w:highlight w:val="none"/>
                <w:lang w:eastAsia="zh-CN"/>
              </w:rPr>
            </w:pPr>
          </w:p>
        </w:tc>
        <w:tc>
          <w:tcPr>
            <w:tcW w:w="1179" w:type="dxa"/>
            <w:vAlign w:val="center"/>
          </w:tcPr>
          <w:p w14:paraId="311FEC72">
            <w:pPr>
              <w:spacing w:after="200"/>
              <w:jc w:val="center"/>
              <w:rPr>
                <w:color w:val="auto"/>
                <w:highlight w:val="none"/>
                <w:lang w:eastAsia="zh-CN"/>
              </w:rPr>
            </w:pPr>
          </w:p>
        </w:tc>
        <w:tc>
          <w:tcPr>
            <w:tcW w:w="1179" w:type="dxa"/>
            <w:vAlign w:val="center"/>
          </w:tcPr>
          <w:p w14:paraId="158ECBC1">
            <w:pPr>
              <w:spacing w:after="200"/>
              <w:jc w:val="center"/>
              <w:rPr>
                <w:color w:val="auto"/>
                <w:highlight w:val="none"/>
                <w:lang w:eastAsia="zh-CN"/>
              </w:rPr>
            </w:pPr>
          </w:p>
        </w:tc>
        <w:tc>
          <w:tcPr>
            <w:tcW w:w="876" w:type="dxa"/>
            <w:vAlign w:val="center"/>
          </w:tcPr>
          <w:p w14:paraId="35FD5CAD">
            <w:pPr>
              <w:spacing w:after="200"/>
              <w:jc w:val="center"/>
              <w:rPr>
                <w:color w:val="auto"/>
                <w:highlight w:val="none"/>
                <w:lang w:eastAsia="zh-CN"/>
              </w:rPr>
            </w:pPr>
          </w:p>
        </w:tc>
        <w:tc>
          <w:tcPr>
            <w:tcW w:w="876" w:type="dxa"/>
            <w:vAlign w:val="center"/>
          </w:tcPr>
          <w:p w14:paraId="1D43F6A4">
            <w:pPr>
              <w:spacing w:after="200"/>
              <w:jc w:val="center"/>
              <w:rPr>
                <w:color w:val="auto"/>
                <w:highlight w:val="none"/>
                <w:lang w:eastAsia="zh-CN"/>
              </w:rPr>
            </w:pPr>
          </w:p>
        </w:tc>
        <w:tc>
          <w:tcPr>
            <w:tcW w:w="2053" w:type="dxa"/>
            <w:vAlign w:val="center"/>
          </w:tcPr>
          <w:p w14:paraId="4825A198">
            <w:pPr>
              <w:spacing w:after="200"/>
              <w:rPr>
                <w:color w:val="auto"/>
                <w:highlight w:val="none"/>
                <w:lang w:eastAsia="zh-CN"/>
              </w:rPr>
            </w:pPr>
          </w:p>
        </w:tc>
      </w:tr>
      <w:tr w14:paraId="1C0B0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322ACBC3">
            <w:pPr>
              <w:spacing w:after="200"/>
              <w:jc w:val="center"/>
              <w:rPr>
                <w:color w:val="auto"/>
                <w:highlight w:val="none"/>
                <w:lang w:eastAsia="zh-CN"/>
              </w:rPr>
            </w:pPr>
          </w:p>
        </w:tc>
        <w:tc>
          <w:tcPr>
            <w:tcW w:w="1657" w:type="dxa"/>
            <w:vAlign w:val="center"/>
          </w:tcPr>
          <w:p w14:paraId="410D40B9">
            <w:pPr>
              <w:rPr>
                <w:color w:val="auto"/>
                <w:highlight w:val="none"/>
                <w:lang w:eastAsia="zh-CN"/>
              </w:rPr>
            </w:pPr>
          </w:p>
        </w:tc>
        <w:tc>
          <w:tcPr>
            <w:tcW w:w="1179" w:type="dxa"/>
            <w:vAlign w:val="center"/>
          </w:tcPr>
          <w:p w14:paraId="2A0F7CA4">
            <w:pPr>
              <w:spacing w:after="200"/>
              <w:jc w:val="center"/>
              <w:rPr>
                <w:color w:val="auto"/>
                <w:highlight w:val="none"/>
                <w:lang w:eastAsia="zh-CN"/>
              </w:rPr>
            </w:pPr>
          </w:p>
        </w:tc>
        <w:tc>
          <w:tcPr>
            <w:tcW w:w="1179" w:type="dxa"/>
            <w:vAlign w:val="center"/>
          </w:tcPr>
          <w:p w14:paraId="535DA1D8">
            <w:pPr>
              <w:spacing w:after="200"/>
              <w:jc w:val="center"/>
              <w:rPr>
                <w:color w:val="auto"/>
                <w:highlight w:val="none"/>
                <w:lang w:eastAsia="zh-CN"/>
              </w:rPr>
            </w:pPr>
          </w:p>
        </w:tc>
        <w:tc>
          <w:tcPr>
            <w:tcW w:w="876" w:type="dxa"/>
            <w:vAlign w:val="center"/>
          </w:tcPr>
          <w:p w14:paraId="14FF681A">
            <w:pPr>
              <w:spacing w:after="200"/>
              <w:jc w:val="center"/>
              <w:rPr>
                <w:color w:val="auto"/>
                <w:highlight w:val="none"/>
                <w:lang w:eastAsia="zh-CN"/>
              </w:rPr>
            </w:pPr>
          </w:p>
        </w:tc>
        <w:tc>
          <w:tcPr>
            <w:tcW w:w="876" w:type="dxa"/>
            <w:vAlign w:val="center"/>
          </w:tcPr>
          <w:p w14:paraId="739E2D4B">
            <w:pPr>
              <w:spacing w:after="200"/>
              <w:jc w:val="center"/>
              <w:rPr>
                <w:color w:val="auto"/>
                <w:highlight w:val="none"/>
                <w:lang w:eastAsia="zh-CN"/>
              </w:rPr>
            </w:pPr>
          </w:p>
        </w:tc>
        <w:tc>
          <w:tcPr>
            <w:tcW w:w="2053" w:type="dxa"/>
            <w:vAlign w:val="center"/>
          </w:tcPr>
          <w:p w14:paraId="71336DE8">
            <w:pPr>
              <w:spacing w:after="200"/>
              <w:rPr>
                <w:color w:val="auto"/>
                <w:highlight w:val="none"/>
                <w:lang w:eastAsia="zh-CN"/>
              </w:rPr>
            </w:pPr>
          </w:p>
        </w:tc>
      </w:tr>
      <w:tr w14:paraId="18956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46A53EBA">
            <w:pPr>
              <w:spacing w:after="200"/>
              <w:jc w:val="center"/>
              <w:rPr>
                <w:color w:val="auto"/>
                <w:highlight w:val="none"/>
                <w:lang w:eastAsia="zh-CN"/>
              </w:rPr>
            </w:pPr>
          </w:p>
        </w:tc>
        <w:tc>
          <w:tcPr>
            <w:tcW w:w="1657" w:type="dxa"/>
            <w:vAlign w:val="center"/>
          </w:tcPr>
          <w:p w14:paraId="78B5543A">
            <w:pPr>
              <w:rPr>
                <w:color w:val="auto"/>
                <w:highlight w:val="none"/>
                <w:lang w:eastAsia="zh-CN"/>
              </w:rPr>
            </w:pPr>
          </w:p>
        </w:tc>
        <w:tc>
          <w:tcPr>
            <w:tcW w:w="1179" w:type="dxa"/>
            <w:vAlign w:val="center"/>
          </w:tcPr>
          <w:p w14:paraId="2CF86A2D">
            <w:pPr>
              <w:spacing w:after="200"/>
              <w:jc w:val="center"/>
              <w:rPr>
                <w:color w:val="auto"/>
                <w:highlight w:val="none"/>
                <w:lang w:eastAsia="zh-CN"/>
              </w:rPr>
            </w:pPr>
          </w:p>
        </w:tc>
        <w:tc>
          <w:tcPr>
            <w:tcW w:w="1179" w:type="dxa"/>
            <w:vAlign w:val="center"/>
          </w:tcPr>
          <w:p w14:paraId="469CAE46">
            <w:pPr>
              <w:spacing w:after="200"/>
              <w:jc w:val="center"/>
              <w:rPr>
                <w:color w:val="auto"/>
                <w:highlight w:val="none"/>
                <w:lang w:eastAsia="zh-CN"/>
              </w:rPr>
            </w:pPr>
          </w:p>
        </w:tc>
        <w:tc>
          <w:tcPr>
            <w:tcW w:w="876" w:type="dxa"/>
            <w:vAlign w:val="center"/>
          </w:tcPr>
          <w:p w14:paraId="4D648DB5">
            <w:pPr>
              <w:spacing w:after="200"/>
              <w:jc w:val="center"/>
              <w:rPr>
                <w:color w:val="auto"/>
                <w:highlight w:val="none"/>
                <w:lang w:eastAsia="zh-CN"/>
              </w:rPr>
            </w:pPr>
          </w:p>
        </w:tc>
        <w:tc>
          <w:tcPr>
            <w:tcW w:w="876" w:type="dxa"/>
            <w:vAlign w:val="center"/>
          </w:tcPr>
          <w:p w14:paraId="4FE75C2B">
            <w:pPr>
              <w:spacing w:after="200"/>
              <w:jc w:val="center"/>
              <w:rPr>
                <w:color w:val="auto"/>
                <w:highlight w:val="none"/>
                <w:lang w:eastAsia="zh-CN"/>
              </w:rPr>
            </w:pPr>
          </w:p>
        </w:tc>
        <w:tc>
          <w:tcPr>
            <w:tcW w:w="2053" w:type="dxa"/>
            <w:vAlign w:val="center"/>
          </w:tcPr>
          <w:p w14:paraId="5BC78F5A">
            <w:pPr>
              <w:spacing w:after="200"/>
              <w:rPr>
                <w:color w:val="auto"/>
                <w:highlight w:val="none"/>
                <w:lang w:eastAsia="zh-CN"/>
              </w:rPr>
            </w:pPr>
          </w:p>
        </w:tc>
      </w:tr>
      <w:tr w14:paraId="453BC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57D8A521">
            <w:pPr>
              <w:spacing w:after="200"/>
              <w:jc w:val="center"/>
              <w:rPr>
                <w:color w:val="auto"/>
                <w:highlight w:val="none"/>
                <w:lang w:eastAsia="zh-CN"/>
              </w:rPr>
            </w:pPr>
          </w:p>
        </w:tc>
        <w:tc>
          <w:tcPr>
            <w:tcW w:w="1657" w:type="dxa"/>
            <w:vAlign w:val="center"/>
          </w:tcPr>
          <w:p w14:paraId="731C3508">
            <w:pPr>
              <w:rPr>
                <w:color w:val="auto"/>
                <w:highlight w:val="none"/>
                <w:lang w:eastAsia="zh-CN"/>
              </w:rPr>
            </w:pPr>
          </w:p>
        </w:tc>
        <w:tc>
          <w:tcPr>
            <w:tcW w:w="1179" w:type="dxa"/>
            <w:vAlign w:val="center"/>
          </w:tcPr>
          <w:p w14:paraId="14739F3B">
            <w:pPr>
              <w:spacing w:after="200"/>
              <w:jc w:val="center"/>
              <w:rPr>
                <w:color w:val="auto"/>
                <w:highlight w:val="none"/>
                <w:lang w:eastAsia="zh-CN"/>
              </w:rPr>
            </w:pPr>
          </w:p>
        </w:tc>
        <w:tc>
          <w:tcPr>
            <w:tcW w:w="1179" w:type="dxa"/>
            <w:vAlign w:val="center"/>
          </w:tcPr>
          <w:p w14:paraId="13D0A3C7">
            <w:pPr>
              <w:spacing w:after="200"/>
              <w:jc w:val="center"/>
              <w:rPr>
                <w:color w:val="auto"/>
                <w:highlight w:val="none"/>
                <w:lang w:eastAsia="zh-CN"/>
              </w:rPr>
            </w:pPr>
          </w:p>
        </w:tc>
        <w:tc>
          <w:tcPr>
            <w:tcW w:w="876" w:type="dxa"/>
            <w:vAlign w:val="center"/>
          </w:tcPr>
          <w:p w14:paraId="114D7432">
            <w:pPr>
              <w:spacing w:after="200"/>
              <w:jc w:val="center"/>
              <w:rPr>
                <w:color w:val="auto"/>
                <w:highlight w:val="none"/>
                <w:lang w:eastAsia="zh-CN"/>
              </w:rPr>
            </w:pPr>
          </w:p>
        </w:tc>
        <w:tc>
          <w:tcPr>
            <w:tcW w:w="876" w:type="dxa"/>
            <w:vAlign w:val="center"/>
          </w:tcPr>
          <w:p w14:paraId="6F56CDB2">
            <w:pPr>
              <w:spacing w:after="200"/>
              <w:jc w:val="center"/>
              <w:rPr>
                <w:color w:val="auto"/>
                <w:highlight w:val="none"/>
                <w:lang w:eastAsia="zh-CN"/>
              </w:rPr>
            </w:pPr>
          </w:p>
        </w:tc>
        <w:tc>
          <w:tcPr>
            <w:tcW w:w="2053" w:type="dxa"/>
            <w:vAlign w:val="center"/>
          </w:tcPr>
          <w:p w14:paraId="5914930E">
            <w:pPr>
              <w:spacing w:after="200"/>
              <w:rPr>
                <w:color w:val="auto"/>
                <w:highlight w:val="none"/>
                <w:lang w:eastAsia="zh-CN"/>
              </w:rPr>
            </w:pPr>
          </w:p>
        </w:tc>
      </w:tr>
      <w:tr w14:paraId="417F0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5475B66B">
            <w:pPr>
              <w:spacing w:after="200"/>
              <w:jc w:val="center"/>
              <w:rPr>
                <w:color w:val="auto"/>
                <w:highlight w:val="none"/>
                <w:lang w:eastAsia="zh-CN"/>
              </w:rPr>
            </w:pPr>
          </w:p>
        </w:tc>
        <w:tc>
          <w:tcPr>
            <w:tcW w:w="1657" w:type="dxa"/>
            <w:vAlign w:val="center"/>
          </w:tcPr>
          <w:p w14:paraId="06C13035">
            <w:pPr>
              <w:spacing w:after="200"/>
              <w:rPr>
                <w:color w:val="auto"/>
                <w:highlight w:val="none"/>
                <w:lang w:eastAsia="zh-CN"/>
              </w:rPr>
            </w:pPr>
          </w:p>
        </w:tc>
        <w:tc>
          <w:tcPr>
            <w:tcW w:w="1179" w:type="dxa"/>
            <w:vAlign w:val="center"/>
          </w:tcPr>
          <w:p w14:paraId="1F8480FB">
            <w:pPr>
              <w:spacing w:after="200"/>
              <w:jc w:val="center"/>
              <w:rPr>
                <w:color w:val="auto"/>
                <w:highlight w:val="none"/>
                <w:lang w:eastAsia="zh-CN"/>
              </w:rPr>
            </w:pPr>
          </w:p>
        </w:tc>
        <w:tc>
          <w:tcPr>
            <w:tcW w:w="1179" w:type="dxa"/>
            <w:vAlign w:val="center"/>
          </w:tcPr>
          <w:p w14:paraId="07F2608F">
            <w:pPr>
              <w:spacing w:after="200"/>
              <w:jc w:val="center"/>
              <w:rPr>
                <w:color w:val="auto"/>
                <w:highlight w:val="none"/>
                <w:lang w:eastAsia="zh-CN"/>
              </w:rPr>
            </w:pPr>
          </w:p>
        </w:tc>
        <w:tc>
          <w:tcPr>
            <w:tcW w:w="876" w:type="dxa"/>
            <w:vAlign w:val="center"/>
          </w:tcPr>
          <w:p w14:paraId="214B15D8">
            <w:pPr>
              <w:spacing w:after="200"/>
              <w:jc w:val="center"/>
              <w:rPr>
                <w:color w:val="auto"/>
                <w:highlight w:val="none"/>
                <w:lang w:eastAsia="zh-CN"/>
              </w:rPr>
            </w:pPr>
          </w:p>
        </w:tc>
        <w:tc>
          <w:tcPr>
            <w:tcW w:w="876" w:type="dxa"/>
            <w:vAlign w:val="center"/>
          </w:tcPr>
          <w:p w14:paraId="4B64CF79">
            <w:pPr>
              <w:spacing w:after="200"/>
              <w:jc w:val="center"/>
              <w:rPr>
                <w:color w:val="auto"/>
                <w:highlight w:val="none"/>
                <w:lang w:eastAsia="zh-CN"/>
              </w:rPr>
            </w:pPr>
          </w:p>
        </w:tc>
        <w:tc>
          <w:tcPr>
            <w:tcW w:w="2053" w:type="dxa"/>
            <w:vAlign w:val="center"/>
          </w:tcPr>
          <w:p w14:paraId="3D1BA586">
            <w:pPr>
              <w:spacing w:after="200"/>
              <w:rPr>
                <w:color w:val="auto"/>
                <w:highlight w:val="none"/>
                <w:lang w:eastAsia="zh-CN"/>
              </w:rPr>
            </w:pPr>
          </w:p>
        </w:tc>
      </w:tr>
      <w:tr w14:paraId="023C75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2" w:type="dxa"/>
            <w:vAlign w:val="center"/>
          </w:tcPr>
          <w:p w14:paraId="235E6BF5">
            <w:pPr>
              <w:spacing w:after="200"/>
              <w:jc w:val="center"/>
              <w:rPr>
                <w:color w:val="auto"/>
                <w:highlight w:val="none"/>
                <w:lang w:eastAsia="zh-CN"/>
              </w:rPr>
            </w:pPr>
          </w:p>
        </w:tc>
        <w:tc>
          <w:tcPr>
            <w:tcW w:w="1657" w:type="dxa"/>
            <w:vAlign w:val="center"/>
          </w:tcPr>
          <w:p w14:paraId="21ECBA39">
            <w:pPr>
              <w:spacing w:after="200"/>
              <w:rPr>
                <w:color w:val="auto"/>
                <w:highlight w:val="none"/>
                <w:lang w:eastAsia="zh-CN"/>
              </w:rPr>
            </w:pPr>
          </w:p>
        </w:tc>
        <w:tc>
          <w:tcPr>
            <w:tcW w:w="1179" w:type="dxa"/>
            <w:vAlign w:val="center"/>
          </w:tcPr>
          <w:p w14:paraId="2000D636">
            <w:pPr>
              <w:spacing w:after="200"/>
              <w:jc w:val="center"/>
              <w:rPr>
                <w:color w:val="auto"/>
                <w:highlight w:val="none"/>
                <w:lang w:eastAsia="zh-CN"/>
              </w:rPr>
            </w:pPr>
          </w:p>
        </w:tc>
        <w:tc>
          <w:tcPr>
            <w:tcW w:w="1179" w:type="dxa"/>
            <w:vAlign w:val="center"/>
          </w:tcPr>
          <w:p w14:paraId="0DD365A9">
            <w:pPr>
              <w:spacing w:after="200"/>
              <w:jc w:val="center"/>
              <w:rPr>
                <w:color w:val="auto"/>
                <w:highlight w:val="none"/>
                <w:lang w:eastAsia="zh-CN"/>
              </w:rPr>
            </w:pPr>
          </w:p>
        </w:tc>
        <w:tc>
          <w:tcPr>
            <w:tcW w:w="876" w:type="dxa"/>
            <w:vAlign w:val="center"/>
          </w:tcPr>
          <w:p w14:paraId="199DAD0F">
            <w:pPr>
              <w:spacing w:after="200"/>
              <w:jc w:val="center"/>
              <w:rPr>
                <w:color w:val="auto"/>
                <w:highlight w:val="none"/>
                <w:lang w:eastAsia="zh-CN"/>
              </w:rPr>
            </w:pPr>
          </w:p>
        </w:tc>
        <w:tc>
          <w:tcPr>
            <w:tcW w:w="876" w:type="dxa"/>
            <w:vAlign w:val="center"/>
          </w:tcPr>
          <w:p w14:paraId="33C42379">
            <w:pPr>
              <w:spacing w:after="200"/>
              <w:jc w:val="center"/>
              <w:rPr>
                <w:color w:val="auto"/>
                <w:highlight w:val="none"/>
                <w:lang w:eastAsia="zh-CN"/>
              </w:rPr>
            </w:pPr>
          </w:p>
        </w:tc>
        <w:tc>
          <w:tcPr>
            <w:tcW w:w="2053" w:type="dxa"/>
            <w:vAlign w:val="center"/>
          </w:tcPr>
          <w:p w14:paraId="6E5041E6">
            <w:pPr>
              <w:spacing w:after="200"/>
              <w:rPr>
                <w:color w:val="auto"/>
                <w:highlight w:val="none"/>
                <w:lang w:eastAsia="zh-CN"/>
              </w:rPr>
            </w:pPr>
          </w:p>
        </w:tc>
      </w:tr>
    </w:tbl>
    <w:p w14:paraId="1B9822B9">
      <w:pPr>
        <w:spacing w:after="200" w:line="276" w:lineRule="auto"/>
        <w:jc w:val="left"/>
        <w:rPr>
          <w:color w:val="auto"/>
          <w:highlight w:val="none"/>
          <w:lang w:eastAsia="zh-CN"/>
        </w:rPr>
      </w:pPr>
    </w:p>
    <w:p w14:paraId="145EE07B">
      <w:pPr>
        <w:spacing w:line="360" w:lineRule="auto"/>
        <w:rPr>
          <w:color w:val="auto"/>
          <w:highlight w:val="none"/>
          <w:lang w:eastAsia="zh-CN"/>
        </w:rPr>
      </w:pPr>
      <w:r>
        <w:rPr>
          <w:rFonts w:hint="eastAsia"/>
          <w:color w:val="auto"/>
          <w:highlight w:val="none"/>
          <w:lang w:eastAsia="zh-CN"/>
        </w:rPr>
        <w:t>投标人名称（盖章）：</w:t>
      </w:r>
      <w:r>
        <w:rPr>
          <w:color w:val="auto"/>
          <w:highlight w:val="none"/>
          <w:u w:val="single"/>
          <w:lang w:eastAsia="zh-CN"/>
        </w:rPr>
        <w:t xml:space="preserve">                                </w:t>
      </w:r>
      <w:r>
        <w:rPr>
          <w:rFonts w:hint="eastAsia"/>
          <w:color w:val="auto"/>
          <w:highlight w:val="none"/>
          <w:u w:val="single"/>
          <w:lang w:eastAsia="zh-CN"/>
        </w:rPr>
        <w:t>_</w:t>
      </w:r>
    </w:p>
    <w:p w14:paraId="1E2FA145">
      <w:pPr>
        <w:spacing w:line="360" w:lineRule="auto"/>
        <w:rPr>
          <w:color w:val="auto"/>
          <w:highlight w:val="none"/>
          <w:lang w:eastAsia="zh-CN"/>
        </w:rPr>
      </w:pPr>
      <w:r>
        <w:rPr>
          <w:rFonts w:hint="eastAsia"/>
          <w:color w:val="auto"/>
          <w:highlight w:val="none"/>
          <w:lang w:eastAsia="zh-CN"/>
        </w:rPr>
        <w:t>法定代表人或授权代表（签字）：</w:t>
      </w:r>
      <w:r>
        <w:rPr>
          <w:color w:val="auto"/>
          <w:highlight w:val="none"/>
          <w:u w:val="single"/>
          <w:lang w:eastAsia="zh-CN"/>
        </w:rPr>
        <w:t xml:space="preserve">                                </w:t>
      </w:r>
      <w:r>
        <w:rPr>
          <w:rFonts w:hint="eastAsia"/>
          <w:color w:val="auto"/>
          <w:highlight w:val="none"/>
          <w:u w:val="single"/>
          <w:lang w:eastAsia="zh-CN"/>
        </w:rPr>
        <w:t>_</w:t>
      </w:r>
    </w:p>
    <w:p w14:paraId="75A97056">
      <w:pPr>
        <w:spacing w:line="360" w:lineRule="auto"/>
        <w:rPr>
          <w:color w:val="auto"/>
          <w:highlight w:val="none"/>
          <w:lang w:eastAsia="zh-CN"/>
        </w:rPr>
      </w:pPr>
      <w:r>
        <w:rPr>
          <w:rFonts w:hint="eastAsia"/>
          <w:color w:val="auto"/>
          <w:highlight w:val="none"/>
          <w:lang w:eastAsia="zh-CN"/>
        </w:rPr>
        <w:t>日期：</w:t>
      </w:r>
      <w:r>
        <w:rPr>
          <w:color w:val="auto"/>
          <w:highlight w:val="none"/>
          <w:u w:val="single"/>
          <w:lang w:eastAsia="zh-CN"/>
        </w:rPr>
        <w:t xml:space="preserve">               </w:t>
      </w:r>
      <w:r>
        <w:rPr>
          <w:rFonts w:hint="eastAsia"/>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_</w:t>
      </w:r>
      <w:r>
        <w:rPr>
          <w:rFonts w:hint="eastAsia"/>
          <w:color w:val="auto"/>
          <w:highlight w:val="none"/>
          <w:lang w:eastAsia="zh-CN"/>
        </w:rPr>
        <w:t>月</w:t>
      </w:r>
      <w:r>
        <w:rPr>
          <w:color w:val="auto"/>
          <w:highlight w:val="none"/>
          <w:u w:val="single"/>
          <w:lang w:eastAsia="zh-CN"/>
        </w:rPr>
        <w:t xml:space="preserve">                 </w:t>
      </w:r>
      <w:r>
        <w:rPr>
          <w:rFonts w:hint="eastAsia"/>
          <w:color w:val="auto"/>
          <w:highlight w:val="none"/>
          <w:u w:val="single"/>
          <w:lang w:eastAsia="zh-CN"/>
        </w:rPr>
        <w:t>_</w:t>
      </w:r>
      <w:r>
        <w:rPr>
          <w:rFonts w:hint="eastAsia"/>
          <w:color w:val="auto"/>
          <w:highlight w:val="none"/>
          <w:lang w:eastAsia="zh-CN"/>
        </w:rPr>
        <w:t>日</w:t>
      </w:r>
    </w:p>
    <w:p w14:paraId="4664BE61">
      <w:pPr>
        <w:spacing w:after="200" w:line="276" w:lineRule="auto"/>
        <w:jc w:val="left"/>
        <w:rPr>
          <w:color w:val="auto"/>
          <w:highlight w:val="none"/>
          <w:lang w:eastAsia="zh-CN"/>
        </w:rPr>
      </w:pPr>
      <w:r>
        <w:rPr>
          <w:color w:val="auto"/>
          <w:highlight w:val="none"/>
          <w:lang w:eastAsia="zh-CN"/>
        </w:rPr>
        <w:br w:type="page"/>
      </w:r>
    </w:p>
    <w:p w14:paraId="1120ABB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b/>
          <w:color w:val="auto"/>
          <w:sz w:val="36"/>
          <w:szCs w:val="36"/>
          <w:highlight w:val="none"/>
          <w:lang w:eastAsia="zh-CN"/>
        </w:rPr>
      </w:pPr>
      <w:r>
        <w:rPr>
          <w:rFonts w:hint="eastAsia"/>
          <w:b/>
          <w:color w:val="auto"/>
          <w:sz w:val="36"/>
          <w:szCs w:val="36"/>
          <w:highlight w:val="none"/>
          <w:lang w:eastAsia="zh-CN"/>
        </w:rPr>
        <w:t>第六部分预算及付款条款</w:t>
      </w:r>
    </w:p>
    <w:p w14:paraId="266B9F6E">
      <w:pPr>
        <w:spacing w:line="360" w:lineRule="auto"/>
        <w:outlineLvl w:val="1"/>
        <w:rPr>
          <w:b/>
          <w:color w:val="auto"/>
          <w:sz w:val="28"/>
          <w:highlight w:val="none"/>
          <w:lang w:eastAsia="zh-CN"/>
        </w:rPr>
      </w:pPr>
      <w:r>
        <w:rPr>
          <w:rFonts w:hint="eastAsia"/>
          <w:b/>
          <w:color w:val="auto"/>
          <w:sz w:val="28"/>
          <w:highlight w:val="none"/>
          <w:lang w:eastAsia="zh-CN"/>
        </w:rPr>
        <w:t>一、预算构成说明</w:t>
      </w:r>
    </w:p>
    <w:p w14:paraId="6FC845F3">
      <w:pPr>
        <w:spacing w:line="360" w:lineRule="auto"/>
        <w:rPr>
          <w:color w:val="auto"/>
          <w:highlight w:val="none"/>
          <w:lang w:eastAsia="zh-CN"/>
        </w:rPr>
      </w:pPr>
      <w:r>
        <w:rPr>
          <w:rFonts w:hint="eastAsia"/>
          <w:color w:val="auto"/>
          <w:highlight w:val="none"/>
          <w:lang w:eastAsia="zh-CN"/>
        </w:rPr>
        <w:t>本项目预算包含原始数据重建、初始勘测、争议协调等所有前置及核心工作成本，报价需一次性涵盖人工、设备、材料、税费、质保等全部费用，采购人不额外支付任何费用。投标人应根据项目需求及自身实力合理报价，报价过高或过低导致无法完成项目的，由投标人自行承担责任。</w:t>
      </w:r>
    </w:p>
    <w:p w14:paraId="4E09BD42">
      <w:pPr>
        <w:numPr>
          <w:ilvl w:val="0"/>
          <w:numId w:val="1"/>
        </w:numPr>
        <w:spacing w:line="360" w:lineRule="auto"/>
        <w:outlineLvl w:val="1"/>
        <w:rPr>
          <w:rFonts w:hint="eastAsia"/>
          <w:b/>
          <w:color w:val="auto"/>
          <w:sz w:val="28"/>
          <w:highlight w:val="none"/>
          <w:lang w:eastAsia="zh-CN"/>
        </w:rPr>
      </w:pPr>
      <w:r>
        <w:rPr>
          <w:rFonts w:hint="eastAsia"/>
          <w:b/>
          <w:color w:val="auto"/>
          <w:sz w:val="28"/>
          <w:highlight w:val="none"/>
          <w:lang w:eastAsia="zh-CN"/>
        </w:rPr>
        <w:t>付款方式</w:t>
      </w:r>
    </w:p>
    <w:p w14:paraId="658B8372">
      <w:pPr>
        <w:pStyle w:val="2"/>
        <w:numPr>
          <w:ilvl w:val="0"/>
          <w:numId w:val="0"/>
        </w:numPr>
        <w:rPr>
          <w:color w:val="auto"/>
          <w:lang w:eastAsia="zh-CN"/>
        </w:rPr>
      </w:pPr>
      <w:r>
        <w:rPr>
          <w:rFonts w:hint="eastAsia" w:ascii="Calibri" w:hAnsi="Calibri" w:eastAsia="等线" w:cs="21"/>
          <w:color w:val="auto"/>
          <w:sz w:val="22"/>
          <w:szCs w:val="22"/>
          <w:highlight w:val="none"/>
          <w:lang w:val="en-US" w:eastAsia="zh-CN" w:bidi="ar-SA"/>
        </w:rPr>
        <w:t>1.预付款：合同签订后30个工作日内支付合同价的20%，用于设备采购、人员进场及原始数据收集准备工作；</w:t>
      </w:r>
    </w:p>
    <w:p w14:paraId="648D8883">
      <w:pPr>
        <w:spacing w:line="360" w:lineRule="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.进度款：完成原始数据重建工作、全域初始勘测、农户信息核查及合同签订工作，提交阶段性成果后支付</w:t>
      </w:r>
      <w:r>
        <w:rPr>
          <w:rFonts w:hint="eastAsia"/>
          <w:color w:val="auto"/>
          <w:highlight w:val="none"/>
          <w:lang w:val="en-US" w:eastAsia="zh-CN"/>
        </w:rPr>
        <w:t>合同价</w:t>
      </w:r>
      <w:r>
        <w:rPr>
          <w:rFonts w:hint="eastAsia"/>
          <w:color w:val="auto"/>
          <w:highlight w:val="none"/>
          <w:lang w:eastAsia="zh-CN"/>
        </w:rPr>
        <w:t>的</w:t>
      </w:r>
      <w:r>
        <w:rPr>
          <w:rFonts w:hint="eastAsia"/>
          <w:color w:val="auto"/>
          <w:highlight w:val="none"/>
          <w:lang w:val="en-US" w:eastAsia="zh-CN"/>
        </w:rPr>
        <w:t>5</w:t>
      </w:r>
      <w:r>
        <w:rPr>
          <w:rFonts w:hint="eastAsia"/>
          <w:color w:val="auto"/>
          <w:highlight w:val="none"/>
          <w:lang w:eastAsia="zh-CN"/>
        </w:rPr>
        <w:t>0%；</w:t>
      </w:r>
    </w:p>
    <w:p w14:paraId="49D75C4E">
      <w:pPr>
        <w:spacing w:line="360" w:lineRule="auto"/>
        <w:rPr>
          <w:color w:val="auto"/>
          <w:highlight w:val="none"/>
          <w:lang w:eastAsia="zh-CN"/>
        </w:rPr>
      </w:pPr>
      <w:r>
        <w:rPr>
          <w:rFonts w:hint="eastAsia"/>
          <w:color w:val="auto"/>
          <w:highlight w:val="none"/>
          <w:lang w:val="en-US" w:eastAsia="zh-CN"/>
        </w:rPr>
        <w:t>3</w:t>
      </w:r>
      <w:r>
        <w:rPr>
          <w:rFonts w:hint="eastAsia"/>
          <w:color w:val="auto"/>
          <w:highlight w:val="none"/>
          <w:lang w:eastAsia="zh-CN"/>
        </w:rPr>
        <w:t>.尾款：项目全部成果通过上级部门验收，完成档案入馆后，支付至结算价的</w:t>
      </w:r>
      <w:r>
        <w:rPr>
          <w:rFonts w:hint="eastAsia"/>
          <w:color w:val="auto"/>
          <w:highlight w:val="none"/>
          <w:lang w:val="en-US" w:eastAsia="zh-CN"/>
        </w:rPr>
        <w:t>100</w:t>
      </w:r>
      <w:r>
        <w:rPr>
          <w:rFonts w:hint="eastAsia"/>
          <w:color w:val="auto"/>
          <w:highlight w:val="none"/>
          <w:lang w:eastAsia="zh-CN"/>
        </w:rPr>
        <w:t>%。注：付款均以银行转账方式支付，中标人需提供合法有效的增值税发票。</w:t>
      </w:r>
    </w:p>
    <w:p w14:paraId="694ED93E">
      <w:pPr>
        <w:spacing w:line="360" w:lineRule="auto"/>
        <w:outlineLvl w:val="1"/>
        <w:rPr>
          <w:b/>
          <w:color w:val="auto"/>
          <w:sz w:val="28"/>
          <w:highlight w:val="none"/>
          <w:lang w:eastAsia="zh-CN"/>
        </w:rPr>
      </w:pPr>
      <w:r>
        <w:rPr>
          <w:rFonts w:hint="eastAsia"/>
          <w:b/>
          <w:color w:val="auto"/>
          <w:sz w:val="28"/>
          <w:highlight w:val="none"/>
          <w:lang w:eastAsia="zh-CN"/>
        </w:rPr>
        <w:t>三、</w:t>
      </w:r>
      <w:r>
        <w:rPr>
          <w:rFonts w:hint="eastAsia"/>
          <w:b/>
          <w:color w:val="auto"/>
          <w:sz w:val="28"/>
          <w:highlight w:val="none"/>
          <w:lang w:val="en-US" w:eastAsia="zh-CN"/>
        </w:rPr>
        <w:t>结算</w:t>
      </w:r>
      <w:r>
        <w:rPr>
          <w:rFonts w:hint="eastAsia"/>
          <w:b/>
          <w:color w:val="auto"/>
          <w:sz w:val="28"/>
          <w:highlight w:val="none"/>
          <w:lang w:eastAsia="zh-CN"/>
        </w:rPr>
        <w:t>调整机制</w:t>
      </w:r>
    </w:p>
    <w:p w14:paraId="3158F2D9">
      <w:pPr>
        <w:spacing w:line="360" w:lineRule="auto"/>
        <w:rPr>
          <w:color w:val="auto"/>
          <w:highlight w:val="none"/>
          <w:lang w:eastAsia="zh-CN"/>
        </w:rPr>
      </w:pPr>
      <w:r>
        <w:rPr>
          <w:rFonts w:hint="eastAsia"/>
          <w:color w:val="auto"/>
          <w:highlight w:val="none"/>
          <w:lang w:eastAsia="zh-CN"/>
        </w:rPr>
        <w:t>若实际原始数据缺失程度超出预估（如新增无台账农户</w:t>
      </w:r>
      <w:r>
        <w:rPr>
          <w:rFonts w:hint="eastAsia"/>
          <w:color w:val="auto"/>
          <w:highlight w:val="none"/>
          <w:lang w:val="en-US" w:eastAsia="zh-CN"/>
        </w:rPr>
        <w:t>户数</w:t>
      </w:r>
      <w:r>
        <w:rPr>
          <w:rFonts w:hint="eastAsia"/>
          <w:color w:val="auto"/>
          <w:highlight w:val="none"/>
          <w:lang w:eastAsia="zh-CN"/>
        </w:rPr>
        <w:t>占比超10%）或突发大规模权属争议，导致工作量显著增加，供应商可凭第三方监理报告（或采购人确认的工作量签证单）申请</w:t>
      </w:r>
      <w:r>
        <w:rPr>
          <w:rFonts w:hint="eastAsia"/>
          <w:color w:val="auto"/>
          <w:highlight w:val="none"/>
          <w:lang w:val="en-US" w:eastAsia="zh-CN"/>
        </w:rPr>
        <w:t>结算</w:t>
      </w:r>
      <w:r>
        <w:rPr>
          <w:rFonts w:hint="eastAsia"/>
          <w:color w:val="auto"/>
          <w:highlight w:val="none"/>
          <w:lang w:eastAsia="zh-CN"/>
        </w:rPr>
        <w:t>调整（</w:t>
      </w:r>
      <w:r>
        <w:rPr>
          <w:rFonts w:hint="eastAsia"/>
          <w:color w:val="auto"/>
          <w:highlight w:val="none"/>
          <w:lang w:val="en-US" w:eastAsia="zh-CN"/>
        </w:rPr>
        <w:t>工作量增加10%以内不追加费用）</w:t>
      </w:r>
      <w:r>
        <w:rPr>
          <w:rFonts w:hint="eastAsia"/>
          <w:color w:val="auto"/>
          <w:highlight w:val="none"/>
          <w:lang w:eastAsia="zh-CN"/>
        </w:rPr>
        <w:t>，</w:t>
      </w:r>
      <w:r>
        <w:rPr>
          <w:rFonts w:hint="eastAsia"/>
          <w:color w:val="auto"/>
          <w:highlight w:val="none"/>
          <w:lang w:val="en-US" w:eastAsia="zh-CN"/>
        </w:rPr>
        <w:t>结算总价增幅</w:t>
      </w:r>
      <w:r>
        <w:rPr>
          <w:rFonts w:hint="eastAsia"/>
          <w:color w:val="auto"/>
          <w:highlight w:val="none"/>
          <w:lang w:eastAsia="zh-CN"/>
        </w:rPr>
        <w:t>最高不超过</w:t>
      </w:r>
      <w:r>
        <w:rPr>
          <w:rFonts w:hint="eastAsia"/>
          <w:color w:val="auto"/>
          <w:highlight w:val="none"/>
          <w:lang w:val="en-US" w:eastAsia="zh-CN"/>
        </w:rPr>
        <w:t>合同价</w:t>
      </w:r>
      <w:r>
        <w:rPr>
          <w:rFonts w:hint="eastAsia"/>
          <w:color w:val="auto"/>
          <w:highlight w:val="none"/>
          <w:lang w:eastAsia="zh-CN"/>
        </w:rPr>
        <w:t>的1</w:t>
      </w:r>
      <w:r>
        <w:rPr>
          <w:rFonts w:hint="eastAsia"/>
          <w:color w:val="auto"/>
          <w:highlight w:val="none"/>
          <w:lang w:val="en-US" w:eastAsia="zh-CN"/>
        </w:rPr>
        <w:t>0</w:t>
      </w:r>
      <w:r>
        <w:rPr>
          <w:rFonts w:hint="eastAsia"/>
          <w:color w:val="auto"/>
          <w:highlight w:val="none"/>
          <w:lang w:eastAsia="zh-CN"/>
        </w:rPr>
        <w:t>%</w:t>
      </w:r>
      <w:r>
        <w:rPr>
          <w:rFonts w:hint="eastAsia"/>
          <w:color w:val="auto"/>
          <w:highlight w:val="none"/>
          <w:lang w:val="en-US" w:eastAsia="zh-CN"/>
        </w:rPr>
        <w:t>且不超过招标预算总价，但供应商必须完成本项目招标范围内所有技术服务工作量。结算增加</w:t>
      </w:r>
      <w:r>
        <w:rPr>
          <w:rFonts w:hint="eastAsia"/>
          <w:color w:val="auto"/>
          <w:highlight w:val="none"/>
          <w:lang w:eastAsia="zh-CN"/>
        </w:rPr>
        <w:t>需签订补充合同，作为原合同的组成部分。</w:t>
      </w:r>
    </w:p>
    <w:p w14:paraId="4FDE023B">
      <w:pPr>
        <w:spacing w:after="200" w:line="276" w:lineRule="auto"/>
        <w:jc w:val="left"/>
        <w:rPr>
          <w:color w:val="auto"/>
          <w:highlight w:val="none"/>
          <w:lang w:eastAsia="zh-CN"/>
        </w:rPr>
      </w:pPr>
      <w:r>
        <w:rPr>
          <w:color w:val="auto"/>
          <w:highlight w:val="none"/>
          <w:lang w:eastAsia="zh-CN"/>
        </w:rPr>
        <w:br w:type="page"/>
      </w:r>
    </w:p>
    <w:p w14:paraId="5CC4B0B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b/>
          <w:color w:val="auto"/>
          <w:sz w:val="36"/>
          <w:szCs w:val="36"/>
          <w:highlight w:val="none"/>
          <w:lang w:eastAsia="zh-CN"/>
        </w:rPr>
      </w:pPr>
      <w:r>
        <w:rPr>
          <w:rFonts w:hint="eastAsia"/>
          <w:b/>
          <w:color w:val="auto"/>
          <w:sz w:val="36"/>
          <w:szCs w:val="36"/>
          <w:highlight w:val="none"/>
          <w:lang w:eastAsia="zh-CN"/>
        </w:rPr>
        <w:t>第七部分合同主要条款</w:t>
      </w:r>
    </w:p>
    <w:p w14:paraId="0BE20E75">
      <w:pPr>
        <w:spacing w:line="360" w:lineRule="auto"/>
        <w:outlineLvl w:val="1"/>
        <w:rPr>
          <w:b/>
          <w:color w:val="auto"/>
          <w:sz w:val="28"/>
          <w:highlight w:val="none"/>
          <w:lang w:eastAsia="zh-CN"/>
        </w:rPr>
      </w:pPr>
      <w:r>
        <w:rPr>
          <w:rFonts w:hint="eastAsia"/>
          <w:b/>
          <w:color w:val="auto"/>
          <w:sz w:val="28"/>
          <w:highlight w:val="none"/>
          <w:lang w:eastAsia="zh-CN"/>
        </w:rPr>
        <w:t>一、合同双方</w:t>
      </w:r>
    </w:p>
    <w:p w14:paraId="712D709A">
      <w:pPr>
        <w:spacing w:line="360" w:lineRule="auto"/>
        <w:rPr>
          <w:color w:val="auto"/>
          <w:highlight w:val="none"/>
          <w:lang w:eastAsia="zh-CN"/>
        </w:rPr>
      </w:pPr>
      <w:r>
        <w:rPr>
          <w:rFonts w:hint="eastAsia"/>
          <w:color w:val="auto"/>
          <w:highlight w:val="none"/>
          <w:lang w:eastAsia="zh-CN"/>
        </w:rPr>
        <w:t>甲方（采购人）：[崇川区农业农村和水利局]</w:t>
      </w:r>
    </w:p>
    <w:p w14:paraId="67F74913">
      <w:pPr>
        <w:spacing w:line="360" w:lineRule="auto"/>
        <w:rPr>
          <w:color w:val="auto"/>
          <w:highlight w:val="none"/>
          <w:lang w:eastAsia="zh-CN"/>
        </w:rPr>
      </w:pPr>
      <w:r>
        <w:rPr>
          <w:rFonts w:hint="eastAsia"/>
          <w:color w:val="auto"/>
          <w:highlight w:val="none"/>
          <w:lang w:eastAsia="zh-CN"/>
        </w:rPr>
        <w:t>法定代表人/授权代表</w:t>
      </w:r>
      <w:bookmarkStart w:id="15" w:name="OLE_LINK16"/>
      <w:bookmarkStart w:id="16" w:name="OLE_LINK17"/>
      <w:r>
        <w:rPr>
          <w:rFonts w:hint="eastAsia"/>
          <w:color w:val="auto"/>
          <w:highlight w:val="none"/>
          <w:lang w:eastAsia="zh-CN"/>
        </w:rPr>
        <w:t>：</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bookmarkEnd w:id="15"/>
      <w:bookmarkEnd w:id="16"/>
    </w:p>
    <w:p w14:paraId="4B349731">
      <w:pPr>
        <w:spacing w:line="360" w:lineRule="auto"/>
        <w:rPr>
          <w:color w:val="auto"/>
          <w:highlight w:val="none"/>
          <w:lang w:eastAsia="zh-CN"/>
        </w:rPr>
      </w:pPr>
      <w:r>
        <w:rPr>
          <w:rFonts w:hint="eastAsia"/>
          <w:color w:val="auto"/>
          <w:highlight w:val="none"/>
          <w:lang w:eastAsia="zh-CN"/>
        </w:rPr>
        <w:t>地址：</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p>
    <w:p w14:paraId="5315B603">
      <w:pPr>
        <w:spacing w:line="360" w:lineRule="auto"/>
        <w:rPr>
          <w:color w:val="auto"/>
          <w:highlight w:val="none"/>
          <w:lang w:eastAsia="zh-CN"/>
        </w:rPr>
      </w:pPr>
      <w:r>
        <w:rPr>
          <w:rFonts w:hint="eastAsia"/>
          <w:color w:val="auto"/>
          <w:highlight w:val="none"/>
          <w:lang w:eastAsia="zh-CN"/>
        </w:rPr>
        <w:t>联系电话：</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p>
    <w:p w14:paraId="72D41FBF">
      <w:pPr>
        <w:spacing w:line="360" w:lineRule="auto"/>
        <w:rPr>
          <w:color w:val="auto"/>
          <w:highlight w:val="none"/>
          <w:lang w:eastAsia="zh-CN"/>
        </w:rPr>
      </w:pPr>
      <w:r>
        <w:rPr>
          <w:rFonts w:hint="eastAsia"/>
          <w:color w:val="auto"/>
          <w:highlight w:val="none"/>
          <w:lang w:eastAsia="zh-CN"/>
        </w:rPr>
        <w:t>乙方（中标人）：</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p>
    <w:p w14:paraId="5E8C9A6D">
      <w:pPr>
        <w:spacing w:line="360" w:lineRule="auto"/>
        <w:rPr>
          <w:color w:val="auto"/>
          <w:highlight w:val="none"/>
          <w:lang w:eastAsia="zh-CN"/>
        </w:rPr>
      </w:pPr>
      <w:r>
        <w:rPr>
          <w:rFonts w:hint="eastAsia"/>
          <w:color w:val="auto"/>
          <w:highlight w:val="none"/>
          <w:lang w:eastAsia="zh-CN"/>
        </w:rPr>
        <w:t>法定代表人/授权代表：</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p>
    <w:p w14:paraId="7EA7EF2B">
      <w:pPr>
        <w:spacing w:line="360" w:lineRule="auto"/>
        <w:rPr>
          <w:color w:val="auto"/>
          <w:highlight w:val="none"/>
          <w:lang w:eastAsia="zh-CN"/>
        </w:rPr>
      </w:pPr>
      <w:r>
        <w:rPr>
          <w:rFonts w:hint="eastAsia"/>
          <w:color w:val="auto"/>
          <w:highlight w:val="none"/>
          <w:lang w:eastAsia="zh-CN"/>
        </w:rPr>
        <w:t>地址：</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p>
    <w:p w14:paraId="5514BA6B">
      <w:pPr>
        <w:spacing w:line="360" w:lineRule="auto"/>
        <w:rPr>
          <w:color w:val="auto"/>
          <w:highlight w:val="none"/>
          <w:lang w:eastAsia="zh-CN"/>
        </w:rPr>
      </w:pPr>
      <w:r>
        <w:rPr>
          <w:rFonts w:hint="eastAsia"/>
          <w:color w:val="auto"/>
          <w:highlight w:val="none"/>
          <w:lang w:eastAsia="zh-CN"/>
        </w:rPr>
        <w:t>联系电话：</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r>
        <w:rPr>
          <w:color w:val="auto"/>
          <w:highlight w:val="none"/>
          <w:u w:val="single"/>
          <w:lang w:eastAsia="zh-CN"/>
        </w:rPr>
        <w:t xml:space="preserve">                 </w:t>
      </w:r>
      <w:r>
        <w:rPr>
          <w:rFonts w:hint="eastAsia"/>
          <w:color w:val="auto"/>
          <w:highlight w:val="none"/>
          <w:u w:val="single"/>
          <w:lang w:eastAsia="zh-CN"/>
        </w:rPr>
        <w:t>_</w:t>
      </w:r>
    </w:p>
    <w:p w14:paraId="54BF2EC9">
      <w:pPr>
        <w:spacing w:line="360" w:lineRule="auto"/>
        <w:outlineLvl w:val="1"/>
        <w:rPr>
          <w:b/>
          <w:color w:val="auto"/>
          <w:sz w:val="28"/>
          <w:highlight w:val="none"/>
          <w:lang w:eastAsia="zh-CN"/>
        </w:rPr>
      </w:pPr>
      <w:r>
        <w:rPr>
          <w:rFonts w:hint="eastAsia"/>
          <w:b/>
          <w:color w:val="auto"/>
          <w:sz w:val="28"/>
          <w:highlight w:val="none"/>
          <w:lang w:eastAsia="zh-CN"/>
        </w:rPr>
        <w:t>二、服务内容与要求</w:t>
      </w:r>
    </w:p>
    <w:p w14:paraId="0DFA3EBF">
      <w:pPr>
        <w:spacing w:line="360" w:lineRule="auto"/>
        <w:rPr>
          <w:color w:val="auto"/>
          <w:highlight w:val="none"/>
          <w:lang w:eastAsia="zh-CN"/>
        </w:rPr>
      </w:pPr>
      <w:r>
        <w:rPr>
          <w:rFonts w:hint="eastAsia"/>
          <w:color w:val="auto"/>
          <w:highlight w:val="none"/>
          <w:lang w:eastAsia="zh-CN"/>
        </w:rPr>
        <w:t>1.乙方应按照本招标文件第三部分“采购项目需求"及投标文件中的承诺，完成原始数据补充收集与重建、全域初始地籍调查、农户信息核查与合同签订、全材料档案整理、图档数据库建设、权属争议协调、成果验收及后续服务等全流程技术服务。</w:t>
      </w:r>
    </w:p>
    <w:p w14:paraId="0141281D">
      <w:pPr>
        <w:spacing w:line="360" w:lineRule="auto"/>
        <w:rPr>
          <w:color w:val="auto"/>
          <w:highlight w:val="none"/>
          <w:lang w:eastAsia="zh-CN"/>
        </w:rPr>
      </w:pPr>
      <w:r>
        <w:rPr>
          <w:rFonts w:hint="eastAsia"/>
          <w:color w:val="auto"/>
          <w:highlight w:val="none"/>
          <w:lang w:eastAsia="zh-CN"/>
        </w:rPr>
        <w:t>2.乙方提交的成果需符合招标文件规定的技术标准，通过甲方及上级部门的验收。</w:t>
      </w:r>
    </w:p>
    <w:p w14:paraId="236E4486">
      <w:pPr>
        <w:spacing w:line="360" w:lineRule="auto"/>
        <w:rPr>
          <w:color w:val="auto"/>
          <w:highlight w:val="none"/>
          <w:lang w:eastAsia="zh-CN"/>
        </w:rPr>
      </w:pPr>
      <w:r>
        <w:rPr>
          <w:rFonts w:hint="eastAsia"/>
          <w:color w:val="auto"/>
          <w:highlight w:val="none"/>
          <w:lang w:eastAsia="zh-CN"/>
        </w:rPr>
        <w:t>3.乙方应建立项目台账，定期向甲方汇报项目进展情况（每月至少1次）。</w:t>
      </w:r>
    </w:p>
    <w:p w14:paraId="07A55A68">
      <w:pPr>
        <w:spacing w:line="360" w:lineRule="auto"/>
        <w:outlineLvl w:val="1"/>
        <w:rPr>
          <w:b/>
          <w:color w:val="auto"/>
          <w:sz w:val="28"/>
          <w:highlight w:val="none"/>
          <w:lang w:eastAsia="zh-CN"/>
        </w:rPr>
      </w:pPr>
      <w:r>
        <w:rPr>
          <w:rFonts w:hint="eastAsia"/>
          <w:b/>
          <w:color w:val="auto"/>
          <w:sz w:val="28"/>
          <w:highlight w:val="none"/>
          <w:lang w:eastAsia="zh-CN"/>
        </w:rPr>
        <w:t>三、服务期限与成果交付</w:t>
      </w:r>
    </w:p>
    <w:p w14:paraId="1E01283B">
      <w:pPr>
        <w:spacing w:line="360" w:lineRule="auto"/>
        <w:rPr>
          <w:color w:val="auto"/>
          <w:highlight w:val="none"/>
          <w:lang w:eastAsia="zh-CN"/>
        </w:rPr>
      </w:pPr>
      <w:r>
        <w:rPr>
          <w:rFonts w:hint="eastAsia"/>
          <w:color w:val="auto"/>
          <w:highlight w:val="none"/>
          <w:lang w:eastAsia="zh-CN"/>
        </w:rPr>
        <w:t>1.服务期限：自合同签订之日起12个月，若需延长，双方另行协商并签订补充合同。</w:t>
      </w:r>
    </w:p>
    <w:p w14:paraId="6F8B0486">
      <w:pPr>
        <w:spacing w:line="360" w:lineRule="auto"/>
        <w:rPr>
          <w:color w:val="auto"/>
          <w:highlight w:val="none"/>
          <w:lang w:eastAsia="zh-CN"/>
        </w:rPr>
      </w:pPr>
      <w:r>
        <w:rPr>
          <w:rFonts w:hint="eastAsia"/>
          <w:color w:val="auto"/>
          <w:highlight w:val="none"/>
          <w:lang w:eastAsia="zh-CN"/>
        </w:rPr>
        <w:t>2.成果交付：乙方应在服务期限内提交本招标文件第三部分要求的全部成果，包括纸质版及电子版，并配合甲方完成成果验收及档案归档工作。</w:t>
      </w:r>
    </w:p>
    <w:p w14:paraId="0A2413AD">
      <w:pPr>
        <w:spacing w:line="360" w:lineRule="auto"/>
        <w:outlineLvl w:val="1"/>
        <w:rPr>
          <w:b/>
          <w:color w:val="auto"/>
          <w:sz w:val="28"/>
          <w:highlight w:val="none"/>
          <w:lang w:eastAsia="zh-CN"/>
        </w:rPr>
      </w:pPr>
      <w:r>
        <w:rPr>
          <w:rFonts w:hint="eastAsia"/>
          <w:b/>
          <w:color w:val="auto"/>
          <w:sz w:val="28"/>
          <w:highlight w:val="none"/>
          <w:lang w:eastAsia="zh-CN"/>
        </w:rPr>
        <w:t>四、费用支付</w:t>
      </w:r>
    </w:p>
    <w:p w14:paraId="07BCDAE5">
      <w:pPr>
        <w:spacing w:line="360" w:lineRule="auto"/>
        <w:rPr>
          <w:color w:val="auto"/>
          <w:highlight w:val="none"/>
          <w:lang w:eastAsia="zh-CN"/>
        </w:rPr>
      </w:pPr>
      <w:r>
        <w:rPr>
          <w:rFonts w:hint="eastAsia"/>
          <w:color w:val="auto"/>
          <w:highlight w:val="none"/>
          <w:lang w:eastAsia="zh-CN"/>
        </w:rPr>
        <w:t>按本招标文件第六部分“预算及付款条款”的规定执行。</w:t>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303234"/>
      <w:docPartObj>
        <w:docPartGallery w:val="autotext"/>
      </w:docPartObj>
    </w:sdtPr>
    <w:sdtContent>
      <w:p w14:paraId="342D596B">
        <w:pPr>
          <w:pStyle w:val="12"/>
          <w:jc w:val="center"/>
        </w:pPr>
        <w:r>
          <w:fldChar w:fldCharType="begin"/>
        </w:r>
        <w:r>
          <w:instrText xml:space="preserve">PAGE   \* MERGEFORMAT</w:instrText>
        </w:r>
        <w:r>
          <w:fldChar w:fldCharType="separate"/>
        </w:r>
        <w:r>
          <w:rPr>
            <w:lang w:val="zh-CN" w:eastAsia="zh-CN"/>
          </w:rPr>
          <w:t>16</w:t>
        </w:r>
        <w:r>
          <w:fldChar w:fldCharType="end"/>
        </w:r>
      </w:p>
    </w:sdtContent>
  </w:sdt>
  <w:p w14:paraId="751304CD">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0BE6C"/>
    <w:multiLevelType w:val="singleLevel"/>
    <w:tmpl w:val="1640BE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D3"/>
    <w:rsid w:val="000124C3"/>
    <w:rsid w:val="00016BB3"/>
    <w:rsid w:val="00022C69"/>
    <w:rsid w:val="00033F5D"/>
    <w:rsid w:val="00040321"/>
    <w:rsid w:val="0004240F"/>
    <w:rsid w:val="00043B65"/>
    <w:rsid w:val="00056DED"/>
    <w:rsid w:val="000724A8"/>
    <w:rsid w:val="000756D0"/>
    <w:rsid w:val="000927C5"/>
    <w:rsid w:val="0009280E"/>
    <w:rsid w:val="000A00E1"/>
    <w:rsid w:val="000E5A85"/>
    <w:rsid w:val="001055AA"/>
    <w:rsid w:val="00112B6C"/>
    <w:rsid w:val="00113B2E"/>
    <w:rsid w:val="00147880"/>
    <w:rsid w:val="001B0CC7"/>
    <w:rsid w:val="001D2993"/>
    <w:rsid w:val="001F13EE"/>
    <w:rsid w:val="00281901"/>
    <w:rsid w:val="002960BE"/>
    <w:rsid w:val="002960FC"/>
    <w:rsid w:val="002A07BF"/>
    <w:rsid w:val="002A1B53"/>
    <w:rsid w:val="002A35E2"/>
    <w:rsid w:val="002E0C2B"/>
    <w:rsid w:val="00310643"/>
    <w:rsid w:val="003F1A08"/>
    <w:rsid w:val="004162C8"/>
    <w:rsid w:val="00421DC2"/>
    <w:rsid w:val="00432BD9"/>
    <w:rsid w:val="0044453D"/>
    <w:rsid w:val="004603FD"/>
    <w:rsid w:val="00463E89"/>
    <w:rsid w:val="00472F14"/>
    <w:rsid w:val="00475EEA"/>
    <w:rsid w:val="004B428A"/>
    <w:rsid w:val="004B69D9"/>
    <w:rsid w:val="004C3387"/>
    <w:rsid w:val="004C7DF6"/>
    <w:rsid w:val="00516F15"/>
    <w:rsid w:val="00531920"/>
    <w:rsid w:val="00580F9B"/>
    <w:rsid w:val="00591F72"/>
    <w:rsid w:val="005B3D4A"/>
    <w:rsid w:val="005D3481"/>
    <w:rsid w:val="005E2161"/>
    <w:rsid w:val="005E3FAB"/>
    <w:rsid w:val="00657064"/>
    <w:rsid w:val="006B282C"/>
    <w:rsid w:val="006C4D05"/>
    <w:rsid w:val="006E5623"/>
    <w:rsid w:val="0073012E"/>
    <w:rsid w:val="00782BC2"/>
    <w:rsid w:val="007A7F45"/>
    <w:rsid w:val="007B5CCA"/>
    <w:rsid w:val="007C3FFA"/>
    <w:rsid w:val="007D48EC"/>
    <w:rsid w:val="007D59DA"/>
    <w:rsid w:val="00811425"/>
    <w:rsid w:val="00823BBC"/>
    <w:rsid w:val="0083172F"/>
    <w:rsid w:val="0083481A"/>
    <w:rsid w:val="00834E1C"/>
    <w:rsid w:val="00873F0D"/>
    <w:rsid w:val="008A2509"/>
    <w:rsid w:val="008B3E5C"/>
    <w:rsid w:val="008D3951"/>
    <w:rsid w:val="008D69A2"/>
    <w:rsid w:val="008F7C03"/>
    <w:rsid w:val="0091437B"/>
    <w:rsid w:val="009208D5"/>
    <w:rsid w:val="00920A7D"/>
    <w:rsid w:val="00932A7E"/>
    <w:rsid w:val="009344B3"/>
    <w:rsid w:val="00945976"/>
    <w:rsid w:val="00947D47"/>
    <w:rsid w:val="00962E22"/>
    <w:rsid w:val="009905D7"/>
    <w:rsid w:val="0099744D"/>
    <w:rsid w:val="009A5008"/>
    <w:rsid w:val="009C3A17"/>
    <w:rsid w:val="00A11C3D"/>
    <w:rsid w:val="00A20247"/>
    <w:rsid w:val="00A222AE"/>
    <w:rsid w:val="00A33E75"/>
    <w:rsid w:val="00A47ACB"/>
    <w:rsid w:val="00A60825"/>
    <w:rsid w:val="00A77DA4"/>
    <w:rsid w:val="00A8259A"/>
    <w:rsid w:val="00AA2046"/>
    <w:rsid w:val="00AA7F70"/>
    <w:rsid w:val="00AB4E7C"/>
    <w:rsid w:val="00AE4C94"/>
    <w:rsid w:val="00B04889"/>
    <w:rsid w:val="00B140D3"/>
    <w:rsid w:val="00B40271"/>
    <w:rsid w:val="00B63FBE"/>
    <w:rsid w:val="00B81194"/>
    <w:rsid w:val="00B961B5"/>
    <w:rsid w:val="00BA7339"/>
    <w:rsid w:val="00BC2760"/>
    <w:rsid w:val="00BD792A"/>
    <w:rsid w:val="00BF0DA6"/>
    <w:rsid w:val="00C37C09"/>
    <w:rsid w:val="00CC08E8"/>
    <w:rsid w:val="00CC3698"/>
    <w:rsid w:val="00CD3E89"/>
    <w:rsid w:val="00CE47CE"/>
    <w:rsid w:val="00CE5098"/>
    <w:rsid w:val="00D048C2"/>
    <w:rsid w:val="00D66081"/>
    <w:rsid w:val="00DE18D5"/>
    <w:rsid w:val="00DF10CC"/>
    <w:rsid w:val="00E47F64"/>
    <w:rsid w:val="00EA604F"/>
    <w:rsid w:val="00EB1E32"/>
    <w:rsid w:val="00EC03A6"/>
    <w:rsid w:val="00EC0734"/>
    <w:rsid w:val="00EC6E4F"/>
    <w:rsid w:val="00F02225"/>
    <w:rsid w:val="00F2532B"/>
    <w:rsid w:val="04E92281"/>
    <w:rsid w:val="050A0E32"/>
    <w:rsid w:val="06182210"/>
    <w:rsid w:val="09943CA5"/>
    <w:rsid w:val="1299596E"/>
    <w:rsid w:val="158E76DC"/>
    <w:rsid w:val="17712D13"/>
    <w:rsid w:val="18E21187"/>
    <w:rsid w:val="19A558B8"/>
    <w:rsid w:val="1EAA7FE5"/>
    <w:rsid w:val="1F91728D"/>
    <w:rsid w:val="209C2837"/>
    <w:rsid w:val="25341526"/>
    <w:rsid w:val="27FF01AF"/>
    <w:rsid w:val="285F624C"/>
    <w:rsid w:val="2903193C"/>
    <w:rsid w:val="29AE6C85"/>
    <w:rsid w:val="2A8A3CFA"/>
    <w:rsid w:val="30EE0767"/>
    <w:rsid w:val="312C6C5E"/>
    <w:rsid w:val="31994BEB"/>
    <w:rsid w:val="340F03DF"/>
    <w:rsid w:val="3B3D1FB5"/>
    <w:rsid w:val="3B4C7172"/>
    <w:rsid w:val="3B9876ED"/>
    <w:rsid w:val="446C3B1B"/>
    <w:rsid w:val="45513D03"/>
    <w:rsid w:val="46CA3F80"/>
    <w:rsid w:val="4D5F0F87"/>
    <w:rsid w:val="522B768A"/>
    <w:rsid w:val="53220F3C"/>
    <w:rsid w:val="59FD190B"/>
    <w:rsid w:val="5ABD18CE"/>
    <w:rsid w:val="5B2976D9"/>
    <w:rsid w:val="600C15DA"/>
    <w:rsid w:val="60D65C95"/>
    <w:rsid w:val="620A50AF"/>
    <w:rsid w:val="65AB0005"/>
    <w:rsid w:val="68A0144E"/>
    <w:rsid w:val="6B7624F2"/>
    <w:rsid w:val="6C226716"/>
    <w:rsid w:val="6ED97CE3"/>
    <w:rsid w:val="6F8B7345"/>
    <w:rsid w:val="718B3000"/>
    <w:rsid w:val="72CA1870"/>
    <w:rsid w:val="73B77B79"/>
    <w:rsid w:val="74716D26"/>
    <w:rsid w:val="751F20C8"/>
    <w:rsid w:val="75314518"/>
    <w:rsid w:val="777F6FDE"/>
    <w:rsid w:val="77D63D8A"/>
    <w:rsid w:val="789E52DB"/>
    <w:rsid w:val="7C991510"/>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0" w:line="240" w:lineRule="auto"/>
      <w:jc w:val="both"/>
    </w:pPr>
    <w:rPr>
      <w:rFonts w:ascii="Calibri" w:hAnsi="Calibri" w:eastAsia="等线" w:cs="21"/>
      <w:sz w:val="22"/>
      <w:szCs w:val="22"/>
      <w:lang w:val="en-US" w:eastAsia="en-US" w:bidi="ar-SA"/>
    </w:rPr>
  </w:style>
  <w:style w:type="paragraph" w:styleId="5">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6">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7">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8">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left="765"/>
    </w:pPr>
    <w:rPr>
      <w:rFonts w:ascii="仿宋_GB2312" w:eastAsia="仿宋_GB2312"/>
      <w:kern w:val="0"/>
      <w:sz w:val="28"/>
      <w:szCs w:val="20"/>
    </w:rPr>
  </w:style>
  <w:style w:type="paragraph" w:styleId="4">
    <w:name w:val="envelope return"/>
    <w:basedOn w:val="1"/>
    <w:unhideWhenUsed/>
    <w:qFormat/>
    <w:uiPriority w:val="99"/>
    <w:pPr>
      <w:snapToGrid w:val="0"/>
    </w:pPr>
    <w:rPr>
      <w:rFonts w:ascii="Arial" w:hAnsi="Arial"/>
    </w:rPr>
  </w:style>
  <w:style w:type="paragraph" w:styleId="9">
    <w:name w:val="Normal Indent"/>
    <w:basedOn w:val="1"/>
    <w:unhideWhenUsed/>
    <w:qFormat/>
    <w:uiPriority w:val="99"/>
    <w:pPr>
      <w:ind w:left="720"/>
    </w:pPr>
  </w:style>
  <w:style w:type="paragraph" w:styleId="10">
    <w:name w:val="caption"/>
    <w:basedOn w:val="1"/>
    <w:next w:val="1"/>
    <w:semiHidden/>
    <w:unhideWhenUsed/>
    <w:qFormat/>
    <w:uiPriority w:val="35"/>
    <w:rPr>
      <w:b/>
      <w:bCs/>
      <w:color w:val="5B9BD5" w:themeColor="accent1"/>
      <w:sz w:val="18"/>
      <w:szCs w:val="18"/>
      <w14:textFill>
        <w14:solidFill>
          <w14:schemeClr w14:val="accent1"/>
        </w14:solidFill>
      </w14:textFill>
    </w:rPr>
  </w:style>
  <w:style w:type="paragraph" w:styleId="11">
    <w:name w:val="Balloon Text"/>
    <w:basedOn w:val="1"/>
    <w:link w:val="29"/>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tabs>
        <w:tab w:val="center" w:pos="4680"/>
        <w:tab w:val="right" w:pos="9360"/>
      </w:tabs>
    </w:pPr>
  </w:style>
  <w:style w:type="paragraph" w:styleId="14">
    <w:name w:val="Subtitle"/>
    <w:basedOn w:val="1"/>
    <w:next w:val="1"/>
    <w:link w:val="26"/>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paragraph" w:styleId="15">
    <w:name w:val="Title"/>
    <w:basedOn w:val="1"/>
    <w:next w:val="1"/>
    <w:link w:val="27"/>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table" w:styleId="17">
    <w:name w:val="Table Grid"/>
    <w:basedOn w:val="1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Emphasis"/>
    <w:basedOn w:val="18"/>
    <w:qFormat/>
    <w:uiPriority w:val="20"/>
    <w:rPr>
      <w:i/>
      <w:i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页眉 字符"/>
    <w:basedOn w:val="18"/>
    <w:link w:val="13"/>
    <w:qFormat/>
    <w:uiPriority w:val="99"/>
  </w:style>
  <w:style w:type="character" w:customStyle="1" w:styleId="22">
    <w:name w:val="标题 1 字符"/>
    <w:basedOn w:val="18"/>
    <w:link w:val="5"/>
    <w:qFormat/>
    <w:uiPriority w:val="9"/>
    <w:rPr>
      <w:rFonts w:asciiTheme="majorHAnsi" w:hAnsiTheme="majorHAnsi" w:eastAsiaTheme="majorEastAsia" w:cstheme="majorBidi"/>
      <w:b/>
      <w:bCs/>
      <w:color w:val="2E75B6" w:themeColor="accent1" w:themeShade="BF"/>
      <w:sz w:val="28"/>
      <w:szCs w:val="28"/>
    </w:rPr>
  </w:style>
  <w:style w:type="character" w:customStyle="1" w:styleId="23">
    <w:name w:val="标题 2 字符"/>
    <w:basedOn w:val="18"/>
    <w:link w:val="6"/>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4">
    <w:name w:val="标题 3 字符"/>
    <w:basedOn w:val="18"/>
    <w:link w:val="7"/>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5">
    <w:name w:val="标题 4 字符"/>
    <w:basedOn w:val="18"/>
    <w:link w:val="8"/>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6">
    <w:name w:val="副标题 字符"/>
    <w:basedOn w:val="18"/>
    <w:link w:val="14"/>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7">
    <w:name w:val="标题 字符"/>
    <w:basedOn w:val="18"/>
    <w:link w:val="15"/>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28">
    <w:name w:val="页脚 字符"/>
    <w:basedOn w:val="18"/>
    <w:link w:val="12"/>
    <w:qFormat/>
    <w:uiPriority w:val="99"/>
    <w:rPr>
      <w:rFonts w:ascii="Calibri" w:hAnsi="Calibri" w:eastAsia="等线" w:cs="21"/>
      <w:sz w:val="18"/>
      <w:szCs w:val="18"/>
    </w:rPr>
  </w:style>
  <w:style w:type="character" w:customStyle="1" w:styleId="29">
    <w:name w:val="批注框文本 字符"/>
    <w:basedOn w:val="18"/>
    <w:link w:val="11"/>
    <w:semiHidden/>
    <w:qFormat/>
    <w:uiPriority w:val="99"/>
    <w:rPr>
      <w:rFonts w:ascii="Calibri" w:hAnsi="Calibri" w:eastAsia="等线" w:cs="21"/>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5c7ec841-7ebb-45b9-ac90-c0ef0e37ecda</errorID>
      <errorWord>：</errorWord>
      <group>L1_Format</group>
      <groupName>格式问题</groupName>
      <ability>L2_HalfPunc</ability>
      <abilityName>全半角检查</abilityName>
      <candidateList>
        <item>:</item>
      </candidateList>
      <explain>文本全半角错误。</explain>
      <paraID>75877344</paraID>
      <start>38</start>
      <end>39</end>
      <status>unmodified</status>
      <modifiedWord/>
      <trackRevisions>false</trackRevisions>
    </reviewItem>
    <reviewItem>
      <errorID>bd8a7f86-6412-4727-8273-6f1f3e745cbe</errorID>
      <errorWord>：</errorWord>
      <group>L1_Format</group>
      <groupName>格式问题</groupName>
      <ability>L2_HalfPunc</ability>
      <abilityName>全半角检查</abilityName>
      <candidateList>
        <item>:</item>
      </candidateList>
      <explain>文本全半角错误。</explain>
      <paraID>75877344</paraID>
      <start>44</start>
      <end>45</end>
      <status>unmodified</status>
      <modifiedWord/>
      <trackRevisions>false</trackRevisions>
    </reviewItem>
    <reviewItem>
      <errorID>7f8791b9-2be1-4f94-9680-ccb763303669</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75877344</paraID>
      <start>48</start>
      <end>55</end>
      <status>unmodified</status>
      <modifiedWord/>
      <trackRevisions>false</trackRevisions>
    </reviewItem>
    <reviewItem>
      <errorID>ce1fc366-9ea5-4d42-8d0d-77f4baae6ce0</errorID>
      <errorWord>：</errorWord>
      <group>L1_Format</group>
      <groupName>格式问题</groupName>
      <ability>L2_HalfPunc</ability>
      <abilityName>全半角检查</abilityName>
      <candidateList>
        <item>:</item>
      </candidateList>
      <explain>文本全半角错误。</explain>
      <paraID>75877344</paraID>
      <start>58</start>
      <end>59</end>
      <status>unmodified</status>
      <modifiedWord/>
      <trackRevisions>false</trackRevisions>
    </reviewItem>
    <reviewItem>
      <errorID>57c9255a-0628-4c6a-be40-515bd2fc6631</errorID>
      <errorWord>"</errorWord>
      <group>L1_Format</group>
      <groupName>格式问题</groupName>
      <ability>L2_HalfPunc</ability>
      <abilityName>全半角检查</abilityName>
      <candidateList>
        <item>“</item>
      </candidateList>
      <explain>文本全半角错误。</explain>
      <paraID>4BCAE4BE</paraID>
      <start>11</start>
      <end>12</end>
      <status>unmodified</status>
      <modifiedWord/>
      <trackRevisions>false</trackRevisions>
    </reviewItem>
    <reviewItem>
      <errorID>3b3a7843-6e09-45e6-ac9c-6716e31deaa2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4BCAE4BE</paraID>
      <start>18</start>
      <end>19</end>
      <status>unmodified</status>
      <modifiedWord/>
      <trackRevisions>false</trackRevisions>
    </reviewItem>
    <reviewItem>
      <errorID>3472cea0-bab9-459c-bc71-90352210b1a8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510DFFE</paraID>
      <start>24</start>
      <end>26</end>
      <status>modified</status>
      <modifiedWord>”“</modifiedWord>
      <trackRevisions>false</trackRevisions>
    </reviewItem>
    <reviewItem>
      <errorID>96a80350-d4bc-423f-a274-6a05695a4cf4</errorID>
      <errorWord>果</errorWord>
      <group>L1_Word</group>
      <groupName>字词问题</groupName>
      <ability>L2_Typo</ability>
      <abilityName>字词错误</abilityName>
      <candidateList>
        <item>果由</item>
      </candidateList>
      <explain/>
      <paraID>1A2E247E</paraID>
      <start>33</start>
      <end>34</end>
      <status>unmodified</status>
      <modifiedWord/>
      <trackRevisions>false</trackRevisions>
    </reviewItem>
    <reviewItem>
      <errorID>d12968b3-1f98-4c94-9fe4-4f1a45427612</errorID>
      <errorWord>"</errorWord>
      <group>L1_Format</group>
      <groupName>格式问题</groupName>
      <ability>L2_HalfPunc</ability>
      <abilityName>全半角检查</abilityName>
      <candidateList>
        <item>“</item>
      </candidateList>
      <explain>文本全半角错误。</explain>
      <paraID>3A64D377</paraID>
      <start>149</start>
      <end>150</end>
      <status>unmodified</status>
      <modifiedWord/>
      <trackRevisions>false</trackRevisions>
    </reviewItem>
    <reviewItem>
      <errorID>3550cb64-3bec-4612-bbfe-7d25e4798009</errorID>
      <errorWord>"</errorWord>
      <group>L1_Format</group>
      <groupName>格式问题</groupName>
      <ability>L2_HalfPunc</ability>
      <abilityName>全半角检查</abilityName>
      <candidateList>
        <item>”</item>
      </candidateList>
      <explain>文本全半角错误。</explain>
      <paraID>3A64D377</paraID>
      <start>154</start>
      <end>155</end>
      <status>unmodified</status>
      <modifiedWord/>
      <trackRevisions>false</trackRevisions>
    </reviewItem>
    <reviewItem>
      <errorID>f42f4573-220e-46a3-99b0-22809c529c20</errorID>
      <errorWord>"</errorWord>
      <group>L1_Format</group>
      <groupName>格式问题</groupName>
      <ability>L2_HalfPunc</ability>
      <abilityName>全半角检查</abilityName>
      <candidateList>
        <item>“</item>
      </candidateList>
      <explain>文本全半角错误。</explain>
      <paraID>555E43FC</paraID>
      <start>35</start>
      <end>36</end>
      <status>unmodified</status>
      <modifiedWord/>
      <trackRevisions>false</trackRevisions>
    </reviewItem>
    <reviewItem>
      <errorID>6c5e7acb-a79b-404c-bbbc-fd60385e90cd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555E43FC</paraID>
      <start>43</start>
      <end>44</end>
      <status>unmodified</status>
      <modifiedWord/>
      <trackRevisions>false</trackRevisions>
    </reviewItem>
    <reviewItem>
      <errorID>ddca7927-02db-4086-923e-2c2f8627b7ef</errorID>
      <errorWord>-</errorWord>
      <group>L1_Format</group>
      <groupName>格式问题</groupName>
      <ability>L2_HalfPunc</ability>
      <abilityName>全半角检查</abilityName>
      <candidateList>
        <item>－</item>
      </candidateList>
      <explain>文本全半角错误。</explain>
      <paraID>3A82E1E8</paraID>
      <start>15</start>
      <end>16</end>
      <status>unmodified</status>
      <modifiedWord/>
      <trackRevisions>false</trackRevisions>
    </reviewItem>
    <reviewItem>
      <errorID>50396e57-7aff-4df6-b9f5-ad377109115a</errorID>
      <errorWord>，</errorWord>
      <group>L1_Word</group>
      <groupName>字词问题</groupName>
      <ability>L2_Typo</ability>
      <abilityName>字词错误</abilityName>
      <candidateList>
        <item>，针</item>
      </candidateList>
      <explain/>
      <paraID>2BA15DB0</paraID>
      <start>16</start>
      <end>17</end>
      <status>unmodified</status>
      <modifiedWord/>
      <trackRevisions>false</trackRevisions>
    </reviewItem>
    <reviewItem>
      <errorID>7404bc82-06d4-410a-9c25-716183c7507a</errorID>
      <errorWord>:</errorWord>
      <group>L1_Format</group>
      <groupName>格式问题</groupName>
      <ability>L2_HalfPunc</ability>
      <abilityName>全半角检查</abilityName>
      <candidateList>
        <item>：</item>
      </candidateList>
      <explain>文本全半角错误。</explain>
      <paraID>4C6047BF</paraID>
      <start>43</start>
      <end>44</end>
      <status>unmodified</status>
      <modifiedWord/>
      <trackRevisions>false</trackRevisions>
    </reviewItem>
    <reviewItem>
      <errorID>51f61ae4-6da9-4b9a-b7bb-5d6c0b3a4448</errorID>
      <errorWord>：</errorWord>
      <group>L1_Format</group>
      <groupName>格式问题</groupName>
      <ability>L2_HalfPunc</ability>
      <abilityName>全半角检查</abilityName>
      <candidateList>
        <item>:</item>
      </candidateList>
      <explain>文本全半角错误。</explain>
      <paraID>2CA55DAF</paraID>
      <start>9</start>
      <end>10</end>
      <status>unmodified</status>
      <modifiedWord/>
      <trackRevisions>false</trackRevisions>
    </reviewItem>
    <reviewItem>
      <errorID>09e2c9c0-455e-4cad-a642-60f214c2b59a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4601C39</paraID>
      <start>4</start>
      <end>5</end>
      <status>unmodified</status>
      <modifiedWord/>
      <trackRevisions>false</trackRevisions>
    </reviewItem>
    <reviewItem>
      <errorID>9578dd52-7d48-4ed6-b129-e4dd421ff377</errorID>
      <errorWord>的的</errorWord>
      <group>L1_Word</group>
      <groupName>字词问题</groupName>
      <ability>L2_Typo</ability>
      <abilityName>字词错误</abilityName>
      <candidateList>
        <item>的</item>
      </candidateList>
      <explain>“的”常用于连接修饰语与名词性中心语，表示属性、所属或描述。</explain>
      <paraID>4ED0E128</paraID>
      <start>21</start>
      <end>22</end>
      <status>modified</status>
      <modifiedWord>的</modifiedWord>
      <trackRevisions>false</trackRevisions>
    </reviewItem>
    <reviewItem>
      <errorID>2f1916b1-e579-4f8a-9b3d-72dd12e7476b</errorID>
      <errorWord>其它成员</errorWord>
      <group>L1_Word</group>
      <groupName>字词问题</groupName>
      <ability>L2_Alias</ability>
      <abilityName>也作/曾用词</abilityName>
      <candidateList>
        <item>其他成员</item>
      </candidateList>
      <explain>词汇[其它成员]为不规范表述或旧称，其规范书面表述为[其他成员]。</explain>
      <paraID>668508C1</paraID>
      <start>5</start>
      <end>9</end>
      <status>modified</status>
      <modifiedWord>其他成员</modifiedWord>
      <trackRevisions>false</trackRevisions>
    </reviewItem>
    <reviewItem>
      <errorID>112c5b4d-b5ba-4a09-828b-cc90c145f708</errorID>
      <errorWord>(</errorWord>
      <group>L1_Format</group>
      <groupName>格式问题</groupName>
      <ability>L2_HalfPunc</ability>
      <abilityName>全半角检查</abilityName>
      <candidateList>
        <item>（</item>
      </candidateList>
      <explain>文本全半角错误。</explain>
      <paraID>43C4FB8E</paraID>
      <start>17</start>
      <end>18</end>
      <status>unmodified</status>
      <modifiedWord/>
      <trackRevisions>false</trackRevisions>
    </reviewItem>
    <reviewItem>
      <errorID>017a6ae2-6fda-4116-a3a3-455c76df47e0</errorID>
      <errorWord>)</errorWord>
      <group>L1_Format</group>
      <groupName>格式问题</groupName>
      <ability>L2_HalfPunc</ability>
      <abilityName>全半角检查</abilityName>
      <candidateList>
        <item>）</item>
      </candidateList>
      <explain>文本全半角错误。</explain>
      <paraID>43C4FB8E</paraID>
      <start>24</start>
      <end>25</end>
      <status>unmodified</status>
      <modifiedWord/>
      <trackRevisions>false</trackRevisions>
    </reviewItem>
    <reviewItem>
      <errorID>b24cd77d-4d23-4df7-84d6-c960b8fc2342</errorID>
      <errorWord>..</errorWord>
      <group>L1_Punc</group>
      <groupName>标点问题</groupName>
      <ability>L2_Punc</ability>
      <abilityName>标点符号检查</abilityName>
      <candidateList>
        <item>.</item>
      </candidateList>
      <explain/>
      <paraID>50880646</paraID>
      <start>2</start>
      <end>4</end>
      <status>unmodified</status>
      <modifiedWord/>
      <trackRevisions>false</trackRevisions>
    </reviewItem>
    <reviewItem>
      <errorID>2d499da9-9937-4ee0-9c0a-ede041fe5076</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629CF0BA</paraID>
      <start>5</start>
      <end>6</end>
      <status>unmodified</status>
      <modifiedWord/>
      <trackRevisions>false</trackRevisions>
    </reviewItem>
    <reviewItem>
      <errorID>68fa52ed-3f21-4169-90f6-4f71574ac264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49EF0963</paraID>
      <start>0</start>
      <end>2</end>
      <status>unmodified</status>
      <modifiedWord/>
      <trackRevisions>false</trackRevisions>
    </reviewItem>
    <reviewItem>
      <errorID>973d33a4-a666-4f10-9963-3b15023a3b4b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DFA3EBF</paraID>
      <start>16</start>
      <end>17</end>
      <status>unmodified</status>
      <modifiedWord/>
      <trackRevisions>false</trackRevisions>
    </reviewItem>
    <reviewItem>
      <errorID>15a28fcd-af97-4219-ab40-277b7383f8d0</errorID>
      <errorWord>"</errorWord>
      <group>L1_Format</group>
      <groupName>格式问题</groupName>
      <ability>L2_HalfPunc</ability>
      <abilityName>全半角检查</abilityName>
      <candidateList>
        <item>”</item>
      </candidateList>
      <explain>文本全半角错误。</explain>
      <paraID> DFA3EBF</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2BE18689-9186-4CB9-8FE4-CE7DD5363EB1}">
  <ds:schemaRefs/>
</ds:datastoreItem>
</file>

<file path=customXml/itemProps2.xml><?xml version="1.0" encoding="utf-8"?>
<ds:datastoreItem xmlns:ds="http://schemas.openxmlformats.org/officeDocument/2006/customXml" ds:itemID="{1d6b71d7-ea45-439e-89b4-7a2b238d9dd6}">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6916</Words>
  <Characters>7289</Characters>
  <Lines>80</Lines>
  <Paragraphs>22</Paragraphs>
  <TotalTime>65</TotalTime>
  <ScaleCrop>false</ScaleCrop>
  <LinksUpToDate>false</LinksUpToDate>
  <CharactersWithSpaces>7299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2026-01-29T07:25:00Z</dcterms:created>
  <dc:creator>Lenovo</dc:creator>
  <cp:lastModifiedBy>Syan</cp:lastModifiedBy>
  <cp:lastPrinted>2026-02-14T02:13:00Z</cp:lastPrinted>
  <dcterms:modified xsi:type="dcterms:W3CDTF">2026-02-26T03:08:49Z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eyJoZGlkIjoiMTg3N2UwNmNjMDJkYTRlMWQ4ZDQ4MDZkYWJkNDA4Y2MiLCJ1c2VySWQiOiIzNTQ2OTAxMzkifQ==</vt:lpwstr>
  </property>
  <property fmtid="{D5CDD505-2E9C-101B-9397-08002B2CF9AE}" pid="4" name="ICV">
    <vt:lpwstr>65F04AEFEEF949BAA07B309746ADD44D_13</vt:lpwstr>
  </property>
</Properties>
</file>