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64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64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lang w:val="en-US" w:eastAsia="zh-CN"/>
        </w:rPr>
        <w:t>“政府公众开放月”活动任务分解表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248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重点内容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毫不松懈抓好疫情防控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卫健委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各疫情防控专项工作组成员单位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全面推动经济回升向好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发改委、工信局、商务局、地方金融监管局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多向发力厚植强劲动能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政府办、发改委、工信局、商务局、科技局、行政审批局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加快提升城市能级品质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住建局、城管局、市政局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突出重点推进乡村振兴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农水局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持续改善生态环境质量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持之以恒保障改善民生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人社局、发改委、教体局、卫健委、文旅局、民政局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坚决防范化解重大风险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公安分局、信访局、区域社会治理现代化指挥中心、应急管理局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NmZkNDQxZTk1MjIzMDk3MmJlZmIyYWI1ODA2MzIifQ=="/>
  </w:docVars>
  <w:rsids>
    <w:rsidRoot w:val="21786B7D"/>
    <w:rsid w:val="217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2022-11-02T07:38:00Z</dcterms:created>
  <dc:creator>Nothing</dc:creator>
  <cp:lastModifiedBy>Nothing</cp:lastModifiedBy>
  <dcterms:modified xsi:type="dcterms:W3CDTF">2022-11-02T07:38:37Z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0EC4B8D48E9B4763A57221713341D78A</vt:lpwstr>
  </property>
</Properties>
</file>