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6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150" w:afterAutospacing="0" w:line="6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“政府公众开放月”活动任务分解表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48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重点内容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毫不松懈抓好疫情防控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卫健委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各疫情防控专项工作组成员单位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全面推动经济回升向好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发改委、工信局、商务局、地方金融监管局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lang w:val="en-US" w:eastAsia="zh-CN"/>
              </w:rPr>
              <w:t>多向发力厚植强劲动能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政府办、发改委、工信局、商务局、科技局、行政审批局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加快提升城市能级品质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住建局、城管局、市政局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突出重点推进乡村振兴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农水局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持续改善生态环境质量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持之以恒保障改善民生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人社局、发改委、教体局、卫健委、文旅局、民政局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坚决防范化解重大风险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公安分局、信访局、区域社会治理现代化指挥中心、应急管理局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21786B7D"/>
    <w:rsid w:val="217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2022-11-02T07:38:00Z</dcterms:created>
  <dc:creator>Nothing</dc:creator>
  <cp:lastModifiedBy>Nothing</cp:lastModifiedBy>
  <dcterms:modified xsi:type="dcterms:W3CDTF">2022-11-02T07:38:37Z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0EC4B8D48E9B4763A57221713341D78A</vt:lpwstr>
  </property>
</Properties>
</file>