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bCs/>
          <w:color w:val="000000" w:themeColor="text1"/>
          <w:sz w:val="56"/>
          <w:szCs w:val="56"/>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崇川区桃</w:t>
      </w:r>
      <w:r>
        <w:rPr>
          <w:rFonts w:hint="eastAsia" w:ascii="宋体" w:hAnsi="宋体" w:cs="宋体"/>
          <w:b/>
          <w:sz w:val="40"/>
          <w:szCs w:val="40"/>
        </w:rPr>
        <w:t>坞路街景提升改造工程设计</w:t>
      </w:r>
    </w:p>
    <w:p>
      <w:pPr>
        <w:spacing w:line="360" w:lineRule="auto"/>
        <w:jc w:val="center"/>
        <w:rPr>
          <w:rFonts w:ascii="宋体" w:hAnsi="宋体" w:cs="宋体"/>
          <w:bCs/>
          <w:color w:val="000000" w:themeColor="text1"/>
          <w:sz w:val="52"/>
          <w:szCs w:val="52"/>
          <w14:textFill>
            <w14:solidFill>
              <w14:schemeClr w14:val="tx1"/>
            </w14:solidFill>
          </w14:textFill>
        </w:rPr>
      </w:pPr>
    </w:p>
    <w:p>
      <w:pPr>
        <w:spacing w:line="360" w:lineRule="auto"/>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招标文件</w:t>
      </w:r>
    </w:p>
    <w:p>
      <w:pPr>
        <w:spacing w:line="360" w:lineRule="auto"/>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（资格后审）</w:t>
      </w:r>
    </w:p>
    <w:p>
      <w:pPr>
        <w:spacing w:line="360" w:lineRule="auto"/>
        <w:ind w:firstLine="790" w:firstLineChars="246"/>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项目编号：</w:t>
      </w:r>
      <w:r>
        <w:rPr>
          <w:rFonts w:hint="eastAsia"/>
          <w:sz w:val="32"/>
          <w:szCs w:val="32"/>
          <w:highlight w:val="none"/>
        </w:rPr>
        <w:t>CCGGB202</w:t>
      </w:r>
      <w:r>
        <w:rPr>
          <w:rFonts w:hint="eastAsia"/>
          <w:sz w:val="32"/>
          <w:szCs w:val="32"/>
          <w:highlight w:val="none"/>
          <w:lang w:val="en-US" w:eastAsia="zh-CN"/>
        </w:rPr>
        <w:t>3</w:t>
      </w:r>
      <w:r>
        <w:rPr>
          <w:rFonts w:hint="eastAsia"/>
          <w:sz w:val="32"/>
          <w:szCs w:val="32"/>
          <w:highlight w:val="none"/>
        </w:rPr>
        <w:t>-</w:t>
      </w:r>
      <w:r>
        <w:rPr>
          <w:rFonts w:hint="eastAsia"/>
          <w:sz w:val="32"/>
          <w:szCs w:val="32"/>
          <w:highlight w:val="none"/>
          <w:lang w:val="en-US" w:eastAsia="zh-CN"/>
        </w:rPr>
        <w:t>51</w:t>
      </w:r>
    </w:p>
    <w:p>
      <w:pPr>
        <w:spacing w:line="360" w:lineRule="auto"/>
        <w:jc w:val="center"/>
        <w:rPr>
          <w:rFonts w:ascii="宋体" w:hAnsi="宋体" w:cs="宋体"/>
          <w:bCs/>
          <w:color w:val="000000" w:themeColor="text1"/>
          <w:sz w:val="36"/>
          <w:szCs w:val="36"/>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ind w:firstLine="790" w:firstLineChars="246"/>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　标　人：南通市崇川区城市管理局</w:t>
      </w:r>
    </w:p>
    <w:p>
      <w:pPr>
        <w:spacing w:line="360" w:lineRule="auto"/>
        <w:ind w:firstLine="790" w:firstLineChars="246"/>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招标代理人：江苏中润工程建设咨询有限公司</w:t>
      </w:r>
    </w:p>
    <w:p>
      <w:pPr>
        <w:tabs>
          <w:tab w:val="left" w:pos="3990"/>
        </w:tabs>
        <w:spacing w:after="120"/>
        <w:ind w:firstLine="643" w:firstLineChars="200"/>
        <w:jc w:val="center"/>
        <w:rPr>
          <w:rFonts w:ascii="宋体" w:hAnsi="宋体" w:cs="宋体"/>
          <w:b/>
          <w:bCs/>
          <w:color w:val="000000" w:themeColor="text1"/>
          <w:spacing w:val="32"/>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二〇二三年</w:t>
      </w:r>
      <w:r>
        <w:rPr>
          <w:rFonts w:hint="eastAsia" w:ascii="宋体" w:hAnsi="宋体" w:cs="宋体"/>
          <w:b/>
          <w:color w:val="000000" w:themeColor="text1"/>
          <w:sz w:val="32"/>
          <w:szCs w:val="32"/>
          <w:lang w:eastAsia="zh-CN"/>
          <w14:textFill>
            <w14:solidFill>
              <w14:schemeClr w14:val="tx1"/>
            </w14:solidFill>
          </w14:textFill>
        </w:rPr>
        <w:t>四</w:t>
      </w:r>
      <w:r>
        <w:rPr>
          <w:rFonts w:hint="eastAsia" w:ascii="宋体" w:hAnsi="宋体" w:cs="宋体"/>
          <w:b/>
          <w:color w:val="000000" w:themeColor="text1"/>
          <w:sz w:val="32"/>
          <w:szCs w:val="32"/>
          <w14:textFill>
            <w14:solidFill>
              <w14:schemeClr w14:val="tx1"/>
            </w14:solidFill>
          </w14:textFill>
        </w:rPr>
        <w:t>月</w:t>
      </w:r>
    </w:p>
    <w:p>
      <w:pPr>
        <w:tabs>
          <w:tab w:val="left" w:pos="3990"/>
        </w:tabs>
        <w:spacing w:after="120"/>
        <w:jc w:val="center"/>
        <w:rPr>
          <w:rFonts w:ascii="宋体" w:hAnsi="宋体" w:cs="宋体"/>
          <w:color w:val="000000" w:themeColor="text1"/>
          <w:spacing w:val="32"/>
          <w:sz w:val="44"/>
          <w14:textFill>
            <w14:solidFill>
              <w14:schemeClr w14:val="tx1"/>
            </w14:solidFill>
          </w14:textFill>
        </w:rPr>
      </w:pPr>
    </w:p>
    <w:p>
      <w:pPr>
        <w:tabs>
          <w:tab w:val="left" w:pos="3990"/>
        </w:tabs>
        <w:spacing w:after="120"/>
        <w:jc w:val="center"/>
        <w:rPr>
          <w:rFonts w:ascii="宋体" w:hAnsi="宋体" w:cs="宋体"/>
          <w:color w:val="000000" w:themeColor="text1"/>
          <w:spacing w:val="32"/>
          <w:sz w:val="44"/>
          <w14:textFill>
            <w14:solidFill>
              <w14:schemeClr w14:val="tx1"/>
            </w14:solidFill>
          </w14:textFill>
        </w:rPr>
      </w:pPr>
    </w:p>
    <w:p>
      <w:pPr>
        <w:spacing w:line="480" w:lineRule="auto"/>
        <w:rPr>
          <w:rFonts w:ascii="宋体" w:hAnsi="宋体" w:cs="宋体"/>
          <w:color w:val="000000" w:themeColor="text1"/>
          <w:sz w:val="28"/>
          <w:szCs w:val="28"/>
          <w14:textFill>
            <w14:solidFill>
              <w14:schemeClr w14:val="tx1"/>
            </w14:solidFill>
          </w14:textFill>
        </w:rPr>
      </w:pPr>
    </w:p>
    <w:p>
      <w:pPr>
        <w:spacing w:line="48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目录</w:t>
      </w:r>
    </w:p>
    <w:p>
      <w:pPr>
        <w:pStyle w:val="34"/>
        <w:tabs>
          <w:tab w:val="right" w:leader="dot" w:pos="8978"/>
        </w:tabs>
        <w:rPr>
          <w:rFonts w:ascii="宋体" w:hAnsi="宋体" w:cs="宋体"/>
          <w:b w:val="0"/>
          <w:bCs w:val="0"/>
          <w:caps w:val="0"/>
          <w:color w:val="000000" w:themeColor="text1"/>
          <w:sz w:val="24"/>
          <w:szCs w:val="24"/>
          <w14:textFill>
            <w14:solidFill>
              <w14:schemeClr w14:val="tx1"/>
            </w14:solidFill>
          </w14:textFill>
        </w:rPr>
      </w:pPr>
      <w:r>
        <w:rPr>
          <w:rFonts w:hint="eastAsia" w:ascii="宋体" w:hAnsi="宋体" w:cs="宋体"/>
          <w:b w:val="0"/>
          <w:bCs w:val="0"/>
          <w:caps w:val="0"/>
          <w:color w:val="000000" w:themeColor="text1"/>
          <w:kern w:val="0"/>
          <w:sz w:val="24"/>
          <w:szCs w:val="24"/>
          <w14:textFill>
            <w14:solidFill>
              <w14:schemeClr w14:val="tx1"/>
            </w14:solidFill>
          </w14:textFill>
        </w:rPr>
        <w:fldChar w:fldCharType="begin"/>
      </w:r>
      <w:r>
        <w:rPr>
          <w:rFonts w:hint="eastAsia" w:ascii="宋体" w:hAnsi="宋体" w:cs="宋体"/>
          <w:b w:val="0"/>
          <w:bCs w:val="0"/>
          <w:caps w:val="0"/>
          <w:color w:val="000000" w:themeColor="text1"/>
          <w:kern w:val="0"/>
          <w:sz w:val="24"/>
          <w:szCs w:val="24"/>
          <w14:textFill>
            <w14:solidFill>
              <w14:schemeClr w14:val="tx1"/>
            </w14:solidFill>
          </w14:textFill>
        </w:rPr>
        <w:instrText xml:space="preserve"> TOC \o "1-3" \h \z \u </w:instrText>
      </w:r>
      <w:r>
        <w:rPr>
          <w:rFonts w:hint="eastAsia" w:ascii="宋体" w:hAnsi="宋体" w:cs="宋体"/>
          <w:b w:val="0"/>
          <w:bCs w:val="0"/>
          <w:caps w:val="0"/>
          <w:color w:val="000000" w:themeColor="text1"/>
          <w:kern w:val="0"/>
          <w:sz w:val="24"/>
          <w:szCs w:val="24"/>
          <w14:textFill>
            <w14:solidFill>
              <w14:schemeClr w14:val="tx1"/>
            </w14:solidFill>
          </w14:textFill>
        </w:rPr>
        <w:fldChar w:fldCharType="separate"/>
      </w:r>
      <w:r>
        <w:fldChar w:fldCharType="begin"/>
      </w:r>
      <w:r>
        <w:instrText xml:space="preserve"> HYPERLINK \l "_Toc25659011"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第一章招标公告</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_Toc25659011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4</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4"/>
        <w:tabs>
          <w:tab w:val="right" w:leader="dot" w:pos="8978"/>
        </w:tabs>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"_Toc25659012"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第二章投标人须知及投标人须知前附表</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_Toc25659012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6</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9"/>
        <w:tabs>
          <w:tab w:val="right" w:leader="dot" w:pos="8978"/>
        </w:tabs>
        <w:rPr>
          <w:rFonts w:ascii="宋体" w:hAnsi="宋体" w:cs="宋体"/>
          <w:smallCaps w:val="0"/>
          <w:color w:val="000000" w:themeColor="text1"/>
          <w:sz w:val="24"/>
          <w:szCs w:val="24"/>
          <w14:textFill>
            <w14:solidFill>
              <w14:schemeClr w14:val="tx1"/>
            </w14:solidFill>
          </w14:textFill>
        </w:rPr>
      </w:pPr>
      <w:r>
        <w:fldChar w:fldCharType="begin"/>
      </w:r>
      <w:r>
        <w:instrText xml:space="preserve"> HYPERLINK \l "_Toc25659013" </w:instrText>
      </w:r>
      <w:r>
        <w:fldChar w:fldCharType="separate"/>
      </w:r>
      <w:r>
        <w:rPr>
          <w:rStyle w:val="57"/>
          <w:rFonts w:hint="eastAsia" w:ascii="宋体" w:hAnsi="宋体" w:cs="宋体"/>
          <w:bCs/>
          <w:color w:val="000000" w:themeColor="text1"/>
          <w:sz w:val="24"/>
          <w:szCs w:val="24"/>
          <w14:textFill>
            <w14:solidFill>
              <w14:schemeClr w14:val="tx1"/>
            </w14:solidFill>
          </w14:textFill>
        </w:rPr>
        <w:t>一、投标人须知前附表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_Toc25659013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39"/>
        <w:tabs>
          <w:tab w:val="right" w:leader="dot" w:pos="8978"/>
        </w:tabs>
        <w:rPr>
          <w:rFonts w:ascii="宋体" w:hAnsi="宋体" w:cs="宋体"/>
          <w:smallCaps w:val="0"/>
          <w:color w:val="000000" w:themeColor="text1"/>
          <w:sz w:val="24"/>
          <w:szCs w:val="24"/>
          <w14:textFill>
            <w14:solidFill>
              <w14:schemeClr w14:val="tx1"/>
            </w14:solidFill>
          </w14:textFill>
        </w:rPr>
      </w:pPr>
      <w:r>
        <w:fldChar w:fldCharType="begin"/>
      </w:r>
      <w:r>
        <w:instrText xml:space="preserve"> HYPERLINK \l "_Toc25659014" </w:instrText>
      </w:r>
      <w:r>
        <w:fldChar w:fldCharType="separate"/>
      </w:r>
      <w:r>
        <w:rPr>
          <w:rStyle w:val="57"/>
          <w:rFonts w:hint="eastAsia" w:ascii="宋体" w:hAnsi="宋体" w:cs="宋体"/>
          <w:color w:val="000000" w:themeColor="text1"/>
          <w:sz w:val="24"/>
          <w:szCs w:val="24"/>
          <w14:textFill>
            <w14:solidFill>
              <w14:schemeClr w14:val="tx1"/>
            </w14:solidFill>
          </w14:textFill>
        </w:rPr>
        <w:t>二、投标须知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_Toc25659014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25"/>
        <w:tabs>
          <w:tab w:val="right" w:leader="dot" w:pos="8978"/>
        </w:tabs>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"_Toc25659015"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（一）总则</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_Toc25659015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9</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25"/>
        <w:tabs>
          <w:tab w:val="right" w:leader="dot" w:pos="8978"/>
        </w:tabs>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"_Toc25659016"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（二）招标文件内容、澄清及修改</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_Toc25659016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10</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25"/>
        <w:tabs>
          <w:tab w:val="right" w:leader="dot" w:pos="8978"/>
        </w:tabs>
        <w:ind w:firstLine="100" w:firstLineChars="50"/>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"_Toc25659017"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(三)投标报价</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_Toc25659017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11</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25"/>
        <w:tabs>
          <w:tab w:val="right" w:leader="dot" w:pos="8978"/>
        </w:tabs>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"_Toc25659018"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（四）投标文件</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_Toc25659018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12</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25"/>
        <w:tabs>
          <w:tab w:val="right" w:leader="dot" w:pos="8978"/>
        </w:tabs>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"_Toc25659019"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（五）投标文件的递交</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_Toc25659019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14</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25"/>
        <w:tabs>
          <w:tab w:val="right" w:leader="dot" w:pos="8978"/>
        </w:tabs>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"_Toc25659020"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（六）开标、评标、定标</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_Toc25659020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15</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25"/>
        <w:tabs>
          <w:tab w:val="right" w:leader="dot" w:pos="8978"/>
        </w:tabs>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"_Toc25659021"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（七）授予合同</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_Toc25659021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18</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25"/>
        <w:tabs>
          <w:tab w:val="right" w:leader="dot" w:pos="8978"/>
        </w:tabs>
        <w:rPr>
          <w:rFonts w:ascii="宋体" w:hAnsi="宋体" w:cs="宋体"/>
          <w:i w:val="0"/>
          <w:iCs w:val="0"/>
          <w:color w:val="000000" w:themeColor="text1"/>
          <w:sz w:val="24"/>
          <w:szCs w:val="24"/>
          <w14:textFill>
            <w14:solidFill>
              <w14:schemeClr w14:val="tx1"/>
            </w14:solidFill>
          </w14:textFill>
        </w:rPr>
      </w:pPr>
      <w:r>
        <w:fldChar w:fldCharType="begin"/>
      </w:r>
      <w:r>
        <w:instrText xml:space="preserve"> HYPERLINK \l "_Toc25659022" </w:instrText>
      </w:r>
      <w:r>
        <w:fldChar w:fldCharType="separate"/>
      </w:r>
      <w:r>
        <w:rPr>
          <w:rStyle w:val="57"/>
          <w:rFonts w:hint="eastAsia" w:ascii="宋体" w:hAnsi="宋体" w:cs="宋体"/>
          <w:i w:val="0"/>
          <w:color w:val="000000" w:themeColor="text1"/>
          <w:sz w:val="24"/>
          <w:szCs w:val="24"/>
          <w14:textFill>
            <w14:solidFill>
              <w14:schemeClr w14:val="tx1"/>
            </w14:solidFill>
          </w14:textFill>
        </w:rPr>
        <w:t>（八）关于投标人异议和投诉</w:t>
      </w:r>
      <w:r>
        <w:rPr>
          <w:rFonts w:hint="eastAsia" w:ascii="宋体" w:hAnsi="宋体" w:cs="宋体"/>
          <w:i w:val="0"/>
          <w:color w:val="000000" w:themeColor="text1"/>
          <w:sz w:val="24"/>
          <w:szCs w:val="24"/>
          <w14:textFill>
            <w14:solidFill>
              <w14:schemeClr w14:val="tx1"/>
            </w14:solidFill>
          </w14:textFill>
        </w:rPr>
        <w:tab/>
      </w:r>
      <w:r>
        <w:rPr>
          <w:rFonts w:hint="eastAsia" w:ascii="宋体" w:hAnsi="宋体" w:cs="宋体"/>
          <w:i w:val="0"/>
          <w:color w:val="000000" w:themeColor="text1"/>
          <w:sz w:val="24"/>
          <w:szCs w:val="24"/>
          <w14:textFill>
            <w14:solidFill>
              <w14:schemeClr w14:val="tx1"/>
            </w14:solidFill>
          </w14:textFill>
        </w:rPr>
        <w:fldChar w:fldCharType="begin"/>
      </w:r>
      <w:r>
        <w:rPr>
          <w:rFonts w:hint="eastAsia" w:ascii="宋体" w:hAnsi="宋体" w:cs="宋体"/>
          <w:i w:val="0"/>
          <w:color w:val="000000" w:themeColor="text1"/>
          <w:sz w:val="24"/>
          <w:szCs w:val="24"/>
          <w14:textFill>
            <w14:solidFill>
              <w14:schemeClr w14:val="tx1"/>
            </w14:solidFill>
          </w14:textFill>
        </w:rPr>
        <w:instrText xml:space="preserve"> PAGEREF _Toc25659022 \h </w:instrText>
      </w:r>
      <w:r>
        <w:rPr>
          <w:rFonts w:hint="eastAsia" w:ascii="宋体" w:hAnsi="宋体" w:cs="宋体"/>
          <w:i w:val="0"/>
          <w:color w:val="000000" w:themeColor="text1"/>
          <w:sz w:val="24"/>
          <w:szCs w:val="24"/>
          <w14:textFill>
            <w14:solidFill>
              <w14:schemeClr w14:val="tx1"/>
            </w14:solidFill>
          </w14:textFill>
        </w:rPr>
        <w:fldChar w:fldCharType="separate"/>
      </w:r>
      <w:r>
        <w:rPr>
          <w:rFonts w:hint="eastAsia" w:ascii="宋体" w:hAnsi="宋体" w:cs="宋体"/>
          <w:i w:val="0"/>
          <w:color w:val="000000" w:themeColor="text1"/>
          <w:sz w:val="24"/>
          <w:szCs w:val="24"/>
          <w14:textFill>
            <w14:solidFill>
              <w14:schemeClr w14:val="tx1"/>
            </w14:solidFill>
          </w14:textFill>
        </w:rPr>
        <w:t>18</w:t>
      </w:r>
      <w:r>
        <w:rPr>
          <w:rFonts w:hint="eastAsia" w:ascii="宋体" w:hAnsi="宋体" w:cs="宋体"/>
          <w:i w:val="0"/>
          <w:color w:val="000000" w:themeColor="text1"/>
          <w:sz w:val="24"/>
          <w:szCs w:val="24"/>
          <w14:textFill>
            <w14:solidFill>
              <w14:schemeClr w14:val="tx1"/>
            </w14:solidFill>
          </w14:textFill>
        </w:rPr>
        <w:fldChar w:fldCharType="end"/>
      </w:r>
      <w:r>
        <w:rPr>
          <w:rFonts w:hint="eastAsia" w:ascii="宋体" w:hAnsi="宋体" w:cs="宋体"/>
          <w:i w:val="0"/>
          <w:color w:val="000000" w:themeColor="text1"/>
          <w:sz w:val="24"/>
          <w:szCs w:val="24"/>
          <w14:textFill>
            <w14:solidFill>
              <w14:schemeClr w14:val="tx1"/>
            </w14:solidFill>
          </w14:textFill>
        </w:rPr>
        <w:fldChar w:fldCharType="end"/>
      </w:r>
    </w:p>
    <w:p>
      <w:pPr>
        <w:pStyle w:val="34"/>
        <w:tabs>
          <w:tab w:val="right" w:leader="dot" w:pos="8978"/>
        </w:tabs>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"_Toc25659023"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第三章 设计任务书</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_Toc25659023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20</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4"/>
        <w:tabs>
          <w:tab w:val="right" w:leader="dot" w:pos="8978"/>
        </w:tabs>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"_Toc25659024"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第四章 合同条款及格式</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_Toc25659024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20</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4"/>
        <w:tabs>
          <w:tab w:val="right" w:leader="dot" w:pos="8978"/>
        </w:tabs>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"_Toc25659025"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第五章 投标文件格式</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_Toc25659025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32</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4"/>
        <w:tabs>
          <w:tab w:val="right" w:leader="dot" w:pos="8978"/>
        </w:tabs>
        <w:ind w:firstLine="201" w:firstLineChars="100"/>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"_Toc25659026"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一、商务报价文件格式</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_Toc25659026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32</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4"/>
        <w:tabs>
          <w:tab w:val="right" w:leader="dot" w:pos="8978"/>
        </w:tabs>
        <w:ind w:firstLine="201" w:firstLineChars="100"/>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"_Toc25659027"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二、资格证明文件格式</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_Toc25659027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35</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4"/>
        <w:tabs>
          <w:tab w:val="right" w:leader="dot" w:pos="8978"/>
        </w:tabs>
        <w:ind w:firstLine="201" w:firstLineChars="100"/>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"_Toc25659028"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三、技术文件格式</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_Toc25659028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41</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pStyle w:val="34"/>
        <w:tabs>
          <w:tab w:val="right" w:leader="dot" w:pos="8978"/>
        </w:tabs>
        <w:rPr>
          <w:rFonts w:ascii="宋体" w:hAnsi="宋体" w:cs="宋体"/>
          <w:b w:val="0"/>
          <w:bCs w:val="0"/>
          <w:caps w:val="0"/>
          <w:color w:val="000000" w:themeColor="text1"/>
          <w:sz w:val="24"/>
          <w:szCs w:val="24"/>
          <w14:textFill>
            <w14:solidFill>
              <w14:schemeClr w14:val="tx1"/>
            </w14:solidFill>
          </w14:textFill>
        </w:rPr>
      </w:pPr>
      <w:r>
        <w:fldChar w:fldCharType="begin"/>
      </w:r>
      <w:r>
        <w:instrText xml:space="preserve"> HYPERLINK \l "_Toc25659029" </w:instrText>
      </w:r>
      <w:r>
        <w:fldChar w:fldCharType="separate"/>
      </w:r>
      <w:r>
        <w:rPr>
          <w:rStyle w:val="57"/>
          <w:rFonts w:hint="eastAsia" w:ascii="宋体" w:hAnsi="宋体" w:cs="宋体"/>
          <w:b w:val="0"/>
          <w:color w:val="000000" w:themeColor="text1"/>
          <w:sz w:val="24"/>
          <w:szCs w:val="24"/>
          <w14:textFill>
            <w14:solidFill>
              <w14:schemeClr w14:val="tx1"/>
            </w14:solidFill>
          </w14:textFill>
        </w:rPr>
        <w:t>第六章评标办法(综合评分法)</w:t>
      </w:r>
      <w:r>
        <w:rPr>
          <w:rFonts w:hint="eastAsia" w:ascii="宋体" w:hAnsi="宋体" w:cs="宋体"/>
          <w:b w:val="0"/>
          <w:color w:val="000000" w:themeColor="text1"/>
          <w:sz w:val="24"/>
          <w:szCs w:val="24"/>
          <w14:textFill>
            <w14:solidFill>
              <w14:schemeClr w14:val="tx1"/>
            </w14:solidFill>
          </w14:textFill>
        </w:rPr>
        <w:tab/>
      </w:r>
      <w:r>
        <w:rPr>
          <w:rFonts w:hint="eastAsia" w:ascii="宋体" w:hAnsi="宋体" w:cs="宋体"/>
          <w:b w:val="0"/>
          <w:color w:val="000000" w:themeColor="text1"/>
          <w:sz w:val="24"/>
          <w:szCs w:val="24"/>
          <w14:textFill>
            <w14:solidFill>
              <w14:schemeClr w14:val="tx1"/>
            </w14:solidFill>
          </w14:textFill>
        </w:rPr>
        <w:fldChar w:fldCharType="begin"/>
      </w:r>
      <w:r>
        <w:rPr>
          <w:rFonts w:hint="eastAsia" w:ascii="宋体" w:hAnsi="宋体" w:cs="宋体"/>
          <w:b w:val="0"/>
          <w:color w:val="000000" w:themeColor="text1"/>
          <w:sz w:val="24"/>
          <w:szCs w:val="24"/>
          <w14:textFill>
            <w14:solidFill>
              <w14:schemeClr w14:val="tx1"/>
            </w14:solidFill>
          </w14:textFill>
        </w:rPr>
        <w:instrText xml:space="preserve"> PAGEREF _Toc25659029 \h </w:instrText>
      </w:r>
      <w:r>
        <w:rPr>
          <w:rFonts w:hint="eastAsia" w:ascii="宋体" w:hAnsi="宋体" w:cs="宋体"/>
          <w:b w:val="0"/>
          <w:color w:val="000000" w:themeColor="text1"/>
          <w:sz w:val="24"/>
          <w:szCs w:val="24"/>
          <w14:textFill>
            <w14:solidFill>
              <w14:schemeClr w14:val="tx1"/>
            </w14:solidFill>
          </w14:textFill>
        </w:rPr>
        <w:fldChar w:fldCharType="separate"/>
      </w:r>
      <w:r>
        <w:rPr>
          <w:rFonts w:hint="eastAsia" w:ascii="宋体" w:hAnsi="宋体" w:cs="宋体"/>
          <w:b w:val="0"/>
          <w:color w:val="000000" w:themeColor="text1"/>
          <w:sz w:val="24"/>
          <w:szCs w:val="24"/>
          <w14:textFill>
            <w14:solidFill>
              <w14:schemeClr w14:val="tx1"/>
            </w14:solidFill>
          </w14:textFill>
        </w:rPr>
        <w:t>43</w:t>
      </w:r>
      <w:r>
        <w:rPr>
          <w:rFonts w:hint="eastAsia" w:ascii="宋体" w:hAnsi="宋体" w:cs="宋体"/>
          <w:b w:val="0"/>
          <w:color w:val="000000" w:themeColor="text1"/>
          <w:sz w:val="24"/>
          <w:szCs w:val="24"/>
          <w14:textFill>
            <w14:solidFill>
              <w14:schemeClr w14:val="tx1"/>
            </w14:solidFill>
          </w14:textFill>
        </w:rPr>
        <w:fldChar w:fldCharType="end"/>
      </w:r>
      <w:r>
        <w:rPr>
          <w:rFonts w:hint="eastAsia" w:ascii="宋体" w:hAnsi="宋体" w:cs="宋体"/>
          <w:b w:val="0"/>
          <w:color w:val="000000" w:themeColor="text1"/>
          <w:sz w:val="24"/>
          <w:szCs w:val="24"/>
          <w14:textFill>
            <w14:solidFill>
              <w14:schemeClr w14:val="tx1"/>
            </w14:solidFill>
          </w14:textFill>
        </w:rPr>
        <w:fldChar w:fldCharType="end"/>
      </w:r>
    </w:p>
    <w:p>
      <w:pPr>
        <w:spacing w:line="48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Cs/>
          <w:caps/>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br w:type="page"/>
      </w:r>
      <w:bookmarkStart w:id="0" w:name="_Toc19192"/>
      <w:bookmarkStart w:id="1" w:name="_Toc19335"/>
      <w:r>
        <w:rPr>
          <w:rFonts w:hint="eastAsia" w:ascii="宋体" w:hAnsi="宋体" w:cs="宋体"/>
          <w:b/>
          <w:bCs/>
          <w:color w:val="000000" w:themeColor="text1"/>
          <w:sz w:val="36"/>
          <w:szCs w:val="36"/>
          <w14:textFill>
            <w14:solidFill>
              <w14:schemeClr w14:val="tx1"/>
            </w14:solidFill>
          </w14:textFill>
        </w:rPr>
        <w:t>招标文件备案表</w:t>
      </w:r>
    </w:p>
    <w:tbl>
      <w:tblPr>
        <w:tblStyle w:val="45"/>
        <w:tblW w:w="91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spacing w:line="360" w:lineRule="auto"/>
              <w:ind w:firstLine="1875" w:firstLineChars="750"/>
              <w:jc w:val="left"/>
              <w:rPr>
                <w:rFonts w:ascii="宋体" w:hAnsi="宋体" w:cs="宋体"/>
                <w:color w:val="000000" w:themeColor="text1"/>
                <w:sz w:val="25"/>
                <w14:textFill>
                  <w14:solidFill>
                    <w14:schemeClr w14:val="tx1"/>
                  </w14:solidFill>
                </w14:textFill>
              </w:rPr>
            </w:pPr>
            <w:r>
              <w:rPr>
                <w:rFonts w:hint="eastAsia" w:ascii="宋体" w:hAnsi="宋体" w:cs="宋体"/>
                <w:color w:val="000000" w:themeColor="text1"/>
                <w:sz w:val="25"/>
                <w14:textFill>
                  <w14:solidFill>
                    <w14:schemeClr w14:val="tx1"/>
                  </w14:solidFill>
                </w14:textFill>
              </w:rPr>
              <w:t>编制人（组长签字）：</w:t>
            </w:r>
          </w:p>
          <w:p>
            <w:pPr>
              <w:spacing w:line="360" w:lineRule="auto"/>
              <w:ind w:firstLine="840"/>
              <w:rPr>
                <w:rFonts w:ascii="宋体" w:hAnsi="宋体" w:cs="宋体"/>
                <w:color w:val="000000" w:themeColor="text1"/>
                <w:sz w:val="25"/>
                <w14:textFill>
                  <w14:solidFill>
                    <w14:schemeClr w14:val="tx1"/>
                  </w14:solidFill>
                </w14:textFill>
              </w:rPr>
            </w:pPr>
          </w:p>
          <w:p>
            <w:pPr>
              <w:spacing w:line="360" w:lineRule="auto"/>
              <w:ind w:firstLine="1840" w:firstLineChars="736"/>
              <w:rPr>
                <w:rFonts w:ascii="宋体" w:hAnsi="宋体" w:cs="宋体"/>
                <w:color w:val="000000" w:themeColor="text1"/>
                <w:sz w:val="25"/>
                <w14:textFill>
                  <w14:solidFill>
                    <w14:schemeClr w14:val="tx1"/>
                  </w14:solidFill>
                </w14:textFill>
              </w:rPr>
            </w:pPr>
            <w:r>
              <w:rPr>
                <w:rFonts w:hint="eastAsia" w:ascii="宋体" w:hAnsi="宋体" w:cs="宋体"/>
                <w:color w:val="000000" w:themeColor="text1"/>
                <w:sz w:val="25"/>
                <w14:textFill>
                  <w14:solidFill>
                    <w14:schemeClr w14:val="tx1"/>
                  </w14:solidFill>
                </w14:textFill>
              </w:rPr>
              <w:t>日期： 2023年</w:t>
            </w:r>
            <w:r>
              <w:rPr>
                <w:rFonts w:hint="eastAsia" w:ascii="宋体" w:hAnsi="宋体" w:cs="宋体"/>
                <w:color w:val="000000" w:themeColor="text1"/>
                <w:sz w:val="25"/>
                <w:lang w:val="en-US" w:eastAsia="zh-CN"/>
                <w14:textFill>
                  <w14:solidFill>
                    <w14:schemeClr w14:val="tx1"/>
                  </w14:solidFill>
                </w14:textFill>
              </w:rPr>
              <w:t>04</w:t>
            </w:r>
            <w:r>
              <w:rPr>
                <w:rFonts w:hint="eastAsia" w:ascii="宋体" w:hAnsi="宋体" w:cs="宋体"/>
                <w:color w:val="000000" w:themeColor="text1"/>
                <w:sz w:val="25"/>
                <w14:textFill>
                  <w14:solidFill>
                    <w14:schemeClr w14:val="tx1"/>
                  </w14:solidFill>
                </w14:textFill>
              </w:rPr>
              <w:t>月</w:t>
            </w:r>
            <w:r>
              <w:rPr>
                <w:rFonts w:hint="eastAsia" w:ascii="宋体" w:hAnsi="宋体" w:cs="宋体"/>
                <w:color w:val="000000" w:themeColor="text1"/>
                <w:sz w:val="25"/>
                <w:lang w:val="en-US" w:eastAsia="zh-CN"/>
                <w14:textFill>
                  <w14:solidFill>
                    <w14:schemeClr w14:val="tx1"/>
                  </w14:solidFill>
                </w14:textFill>
              </w:rPr>
              <w:t>03</w:t>
            </w:r>
            <w:r>
              <w:rPr>
                <w:rFonts w:hint="eastAsia" w:ascii="宋体" w:hAnsi="宋体" w:cs="宋体"/>
                <w:color w:val="000000" w:themeColor="text1"/>
                <w:sz w:val="25"/>
                <w14:textFill>
                  <w14:solidFill>
                    <w14:schemeClr w14:val="tx1"/>
                  </w14:solidFill>
                </w14:textFill>
              </w:rPr>
              <w:t>日</w:t>
            </w:r>
          </w:p>
          <w:p>
            <w:pPr>
              <w:spacing w:line="360" w:lineRule="auto"/>
              <w:ind w:firstLine="840"/>
              <w:rPr>
                <w:rFonts w:ascii="宋体" w:hAnsi="宋体" w:cs="宋体"/>
                <w:color w:val="000000" w:themeColor="text1"/>
                <w:sz w:val="2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spacing w:line="360" w:lineRule="auto"/>
              <w:ind w:firstLine="875" w:firstLineChars="350"/>
              <w:rPr>
                <w:rFonts w:ascii="宋体" w:hAnsi="宋体" w:cs="宋体"/>
                <w:color w:val="000000" w:themeColor="text1"/>
                <w:sz w:val="25"/>
                <w14:textFill>
                  <w14:solidFill>
                    <w14:schemeClr w14:val="tx1"/>
                  </w14:solidFill>
                </w14:textFill>
              </w:rPr>
            </w:pPr>
            <w:r>
              <w:rPr>
                <w:rFonts w:hint="eastAsia" w:ascii="宋体" w:hAnsi="宋体" w:cs="宋体"/>
                <w:color w:val="000000" w:themeColor="text1"/>
                <w:sz w:val="25"/>
                <w14:textFill>
                  <w14:solidFill>
                    <w14:schemeClr w14:val="tx1"/>
                  </w14:solidFill>
                </w14:textFill>
              </w:rPr>
              <w:t>招标人（盖章）法定代表人或其授权委托人（签字）</w:t>
            </w:r>
          </w:p>
          <w:p>
            <w:pPr>
              <w:spacing w:line="360" w:lineRule="auto"/>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spacing w:line="360" w:lineRule="auto"/>
              <w:ind w:firstLine="875" w:firstLineChars="350"/>
              <w:rPr>
                <w:rFonts w:ascii="宋体" w:hAnsi="宋体" w:cs="宋体"/>
                <w:color w:val="000000" w:themeColor="text1"/>
                <w:sz w:val="25"/>
                <w14:textFill>
                  <w14:solidFill>
                    <w14:schemeClr w14:val="tx1"/>
                  </w14:solidFill>
                </w14:textFill>
              </w:rPr>
            </w:pPr>
            <w:r>
              <w:rPr>
                <w:rFonts w:hint="eastAsia" w:ascii="宋体" w:hAnsi="宋体" w:cs="宋体"/>
                <w:color w:val="000000" w:themeColor="text1"/>
                <w:sz w:val="25"/>
                <w14:textFill>
                  <w14:solidFill>
                    <w14:schemeClr w14:val="tx1"/>
                  </w14:solidFill>
                </w14:textFill>
              </w:rPr>
              <w:t>招标代理机构（盖章）法定代表人（签字）</w:t>
            </w:r>
          </w:p>
          <w:p>
            <w:pPr>
              <w:spacing w:line="360" w:lineRule="auto"/>
              <w:ind w:firstLine="875" w:firstLineChars="350"/>
              <w:rPr>
                <w:rFonts w:ascii="宋体" w:hAnsi="宋体" w:cs="宋体"/>
                <w:color w:val="000000" w:themeColor="text1"/>
                <w:sz w:val="25"/>
                <w14:textFill>
                  <w14:solidFill>
                    <w14:schemeClr w14:val="tx1"/>
                  </w14:solidFill>
                </w14:textFill>
              </w:rPr>
            </w:pPr>
          </w:p>
          <w:p>
            <w:pPr>
              <w:spacing w:line="360" w:lineRule="auto"/>
              <w:ind w:firstLine="1840" w:firstLineChars="736"/>
              <w:rPr>
                <w:rFonts w:ascii="宋体" w:hAnsi="宋体" w:cs="宋体"/>
                <w:color w:val="000000" w:themeColor="text1"/>
                <w:sz w:val="25"/>
                <w14:textFill>
                  <w14:solidFill>
                    <w14:schemeClr w14:val="tx1"/>
                  </w14:solidFill>
                </w14:textFill>
              </w:rPr>
            </w:pPr>
            <w:r>
              <w:rPr>
                <w:rFonts w:hint="eastAsia" w:ascii="宋体" w:hAnsi="宋体" w:cs="宋体"/>
                <w:color w:val="000000" w:themeColor="text1"/>
                <w:sz w:val="25"/>
                <w14:textFill>
                  <w14:solidFill>
                    <w14:schemeClr w14:val="tx1"/>
                  </w14:solidFill>
                </w14:textFill>
              </w:rPr>
              <w:t>日期：2023年</w:t>
            </w:r>
            <w:r>
              <w:rPr>
                <w:rFonts w:hint="eastAsia" w:ascii="宋体" w:hAnsi="宋体" w:cs="宋体"/>
                <w:color w:val="000000" w:themeColor="text1"/>
                <w:sz w:val="25"/>
                <w:lang w:val="en-US" w:eastAsia="zh-CN"/>
                <w14:textFill>
                  <w14:solidFill>
                    <w14:schemeClr w14:val="tx1"/>
                  </w14:solidFill>
                </w14:textFill>
              </w:rPr>
              <w:t>04</w:t>
            </w:r>
            <w:r>
              <w:rPr>
                <w:rFonts w:hint="eastAsia" w:ascii="宋体" w:hAnsi="宋体" w:cs="宋体"/>
                <w:color w:val="000000" w:themeColor="text1"/>
                <w:sz w:val="25"/>
                <w14:textFill>
                  <w14:solidFill>
                    <w14:schemeClr w14:val="tx1"/>
                  </w14:solidFill>
                </w14:textFill>
              </w:rPr>
              <w:t>月</w:t>
            </w:r>
            <w:r>
              <w:rPr>
                <w:rFonts w:hint="eastAsia" w:ascii="宋体" w:hAnsi="宋体" w:cs="宋体"/>
                <w:color w:val="000000" w:themeColor="text1"/>
                <w:sz w:val="25"/>
                <w:lang w:val="en-US" w:eastAsia="zh-CN"/>
                <w14:textFill>
                  <w14:solidFill>
                    <w14:schemeClr w14:val="tx1"/>
                  </w14:solidFill>
                </w14:textFill>
              </w:rPr>
              <w:t>03</w:t>
            </w:r>
            <w:r>
              <w:rPr>
                <w:rFonts w:hint="eastAsia" w:ascii="宋体" w:hAnsi="宋体" w:cs="宋体"/>
                <w:color w:val="000000" w:themeColor="text1"/>
                <w:sz w:val="25"/>
                <w14:textFill>
                  <w14:solidFill>
                    <w14:schemeClr w14:val="tx1"/>
                  </w14:solidFill>
                </w14:textFill>
              </w:rPr>
              <w:t>日</w:t>
            </w:r>
          </w:p>
          <w:p>
            <w:pPr>
              <w:spacing w:line="360" w:lineRule="auto"/>
              <w:rPr>
                <w:rFonts w:ascii="宋体" w:hAnsi="宋体" w:cs="宋体"/>
                <w:color w:val="000000" w:themeColor="text1"/>
                <w:sz w:val="2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0"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p>
          <w:p>
            <w:pPr>
              <w:spacing w:line="360" w:lineRule="auto"/>
              <w:jc w:val="center"/>
              <w:rPr>
                <w:rFonts w:ascii="宋体" w:hAnsi="宋体" w:cs="宋体"/>
                <w:color w:val="000000" w:themeColor="text1"/>
                <w:sz w:val="25"/>
                <w14:textFill>
                  <w14:solidFill>
                    <w14:schemeClr w14:val="tx1"/>
                  </w14:solidFill>
                </w14:textFill>
              </w:rPr>
            </w:pPr>
            <w:r>
              <w:rPr>
                <w:rFonts w:hint="eastAsia" w:hAnsi="宋体" w:eastAsia="仿宋_GB2312" w:cs="宋体"/>
                <w:color w:val="000000"/>
                <w:kern w:val="0"/>
                <w:sz w:val="28"/>
                <w:szCs w:val="28"/>
              </w:rPr>
              <w:t>南通市崇川区公共资源交易管理办公室（备案）</w:t>
            </w:r>
          </w:p>
          <w:p>
            <w:pPr>
              <w:spacing w:line="360" w:lineRule="auto"/>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p>
            <w:pPr>
              <w:jc w:val="center"/>
              <w:rPr>
                <w:rFonts w:ascii="宋体" w:hAnsi="宋体" w:cs="宋体"/>
                <w:color w:val="000000" w:themeColor="text1"/>
                <w:sz w:val="25"/>
                <w14:textFill>
                  <w14:solidFill>
                    <w14:schemeClr w14:val="tx1"/>
                  </w14:solidFill>
                </w14:textFill>
              </w:rPr>
            </w:pPr>
          </w:p>
          <w:p>
            <w:pPr>
              <w:jc w:val="center"/>
              <w:rPr>
                <w:rFonts w:ascii="宋体" w:hAnsi="宋体" w:cs="宋体"/>
                <w:color w:val="000000" w:themeColor="text1"/>
                <w:sz w:val="25"/>
                <w14:textFill>
                  <w14:solidFill>
                    <w14:schemeClr w14:val="tx1"/>
                  </w14:solidFill>
                </w14:textFill>
              </w:rPr>
            </w:pPr>
          </w:p>
          <w:p>
            <w:pPr>
              <w:spacing w:line="360" w:lineRule="auto"/>
              <w:rPr>
                <w:rFonts w:ascii="宋体" w:hAnsi="宋体" w:cs="宋体"/>
                <w:color w:val="000000" w:themeColor="text1"/>
                <w:sz w:val="25"/>
                <w14:textFill>
                  <w14:solidFill>
                    <w14:schemeClr w14:val="tx1"/>
                  </w14:solidFill>
                </w14:textFill>
              </w:rPr>
            </w:pPr>
          </w:p>
        </w:tc>
      </w:tr>
    </w:tbl>
    <w:p>
      <w:pPr>
        <w:snapToGrid w:val="0"/>
        <w:spacing w:line="360" w:lineRule="auto"/>
        <w:jc w:val="center"/>
        <w:rPr>
          <w:rFonts w:ascii="宋体" w:hAnsi="宋体" w:cs="宋体"/>
          <w:b/>
          <w:color w:val="000000" w:themeColor="text1"/>
          <w:sz w:val="32"/>
          <w:szCs w:val="32"/>
          <w14:textFill>
            <w14:solidFill>
              <w14:schemeClr w14:val="tx1"/>
            </w14:solidFill>
          </w14:textFill>
        </w:rPr>
      </w:pPr>
    </w:p>
    <w:p>
      <w:pPr>
        <w:spacing w:line="480" w:lineRule="auto"/>
        <w:jc w:val="center"/>
        <w:outlineLvl w:val="0"/>
        <w:rPr>
          <w:rFonts w:hint="eastAsia" w:ascii="宋体" w:hAnsi="宋体" w:eastAsia="宋体" w:cs="宋体"/>
          <w:b/>
          <w:bCs/>
          <w:color w:val="000000" w:themeColor="text1"/>
          <w:sz w:val="36"/>
          <w:szCs w:val="36"/>
          <w:lang w:eastAsia="zh-CN"/>
          <w14:textFill>
            <w14:solidFill>
              <w14:schemeClr w14:val="tx1"/>
            </w14:solidFill>
          </w14:textFill>
        </w:rPr>
      </w:pPr>
      <w:bookmarkStart w:id="2" w:name="_Toc25659011"/>
      <w:r>
        <w:rPr>
          <w:rFonts w:hint="eastAsia" w:ascii="宋体" w:hAnsi="宋体" w:cs="宋体"/>
          <w:b/>
          <w:bCs/>
          <w:color w:val="000000" w:themeColor="text1"/>
          <w:sz w:val="36"/>
          <w:szCs w:val="36"/>
          <w14:textFill>
            <w14:solidFill>
              <w14:schemeClr w14:val="tx1"/>
            </w14:solidFill>
          </w14:textFill>
        </w:rPr>
        <w:t>第一章 招标</w:t>
      </w:r>
      <w:bookmarkEnd w:id="2"/>
      <w:r>
        <w:rPr>
          <w:rFonts w:hint="eastAsia" w:ascii="宋体" w:hAnsi="宋体" w:cs="宋体"/>
          <w:b/>
          <w:bCs/>
          <w:color w:val="000000" w:themeColor="text1"/>
          <w:sz w:val="36"/>
          <w:szCs w:val="36"/>
          <w:lang w:eastAsia="zh-CN"/>
          <w14:textFill>
            <w14:solidFill>
              <w14:schemeClr w14:val="tx1"/>
            </w14:solidFill>
          </w14:textFill>
        </w:rPr>
        <w:t>公告</w:t>
      </w:r>
    </w:p>
    <w:p>
      <w:pPr>
        <w:pStyle w:val="97"/>
        <w:spacing w:line="440" w:lineRule="exact"/>
        <w:ind w:firstLine="480"/>
        <w:jc w:val="left"/>
        <w:rPr>
          <w:rFonts w:ascii="宋体" w:hAnsi="宋体" w:cs="宋体"/>
          <w:kern w:val="0"/>
          <w:sz w:val="24"/>
          <w:szCs w:val="24"/>
        </w:rPr>
      </w:pPr>
      <w:r>
        <w:rPr>
          <w:rFonts w:hint="eastAsia" w:ascii="宋体" w:hAnsi="宋体" w:cs="宋体"/>
          <w:bCs/>
          <w:color w:val="000000" w:themeColor="text1"/>
          <w:kern w:val="0"/>
          <w:sz w:val="24"/>
          <w:szCs w:val="24"/>
          <w14:textFill>
            <w14:solidFill>
              <w14:schemeClr w14:val="tx1"/>
            </w14:solidFill>
          </w14:textFill>
        </w:rPr>
        <w:t>一、</w:t>
      </w:r>
      <w:r>
        <w:rPr>
          <w:rFonts w:hint="eastAsia" w:ascii="宋体" w:hAnsi="宋体" w:cs="宋体"/>
          <w:b/>
          <w:bCs/>
          <w:color w:val="000000" w:themeColor="text1"/>
          <w:kern w:val="0"/>
          <w:sz w:val="24"/>
          <w:szCs w:val="24"/>
          <w:u w:val="single"/>
          <w14:textFill>
            <w14:solidFill>
              <w14:schemeClr w14:val="tx1"/>
            </w14:solidFill>
          </w14:textFill>
        </w:rPr>
        <w:t>崇川区</w:t>
      </w:r>
      <w:r>
        <w:rPr>
          <w:rFonts w:hint="eastAsia" w:ascii="宋体" w:hAnsi="宋体" w:cs="宋体"/>
          <w:b/>
          <w:bCs/>
          <w:kern w:val="0"/>
          <w:sz w:val="24"/>
          <w:szCs w:val="24"/>
          <w:u w:val="single"/>
        </w:rPr>
        <w:t>桃坞路街景提升改造工程项目</w:t>
      </w:r>
      <w:r>
        <w:rPr>
          <w:rFonts w:hint="eastAsia" w:ascii="宋体" w:hAnsi="宋体" w:cs="宋体"/>
          <w:kern w:val="0"/>
          <w:sz w:val="24"/>
          <w:szCs w:val="24"/>
        </w:rPr>
        <w:t>已经由相关部门批准建设，招标人为</w:t>
      </w:r>
      <w:r>
        <w:rPr>
          <w:rFonts w:hint="eastAsia" w:ascii="宋体" w:hAnsi="宋体" w:cs="宋体"/>
          <w:b/>
          <w:bCs/>
          <w:kern w:val="0"/>
          <w:sz w:val="24"/>
          <w:szCs w:val="24"/>
          <w:u w:val="single"/>
        </w:rPr>
        <w:t xml:space="preserve">南通市崇川区城市管理局 </w:t>
      </w:r>
      <w:r>
        <w:rPr>
          <w:rFonts w:hint="eastAsia" w:ascii="宋体" w:hAnsi="宋体" w:cs="宋体"/>
          <w:kern w:val="0"/>
          <w:sz w:val="24"/>
          <w:szCs w:val="24"/>
        </w:rPr>
        <w:t>。工程所需资金来源为</w:t>
      </w:r>
      <w:r>
        <w:rPr>
          <w:rFonts w:hint="eastAsia" w:ascii="宋体" w:hAnsi="宋体" w:cs="宋体"/>
          <w:b/>
          <w:bCs/>
          <w:kern w:val="0"/>
          <w:sz w:val="24"/>
          <w:szCs w:val="24"/>
          <w:u w:val="single"/>
        </w:rPr>
        <w:t>财政拨款</w:t>
      </w:r>
      <w:r>
        <w:rPr>
          <w:rFonts w:hint="eastAsia" w:ascii="宋体" w:hAnsi="宋体" w:cs="宋体"/>
          <w:kern w:val="0"/>
          <w:sz w:val="24"/>
          <w:szCs w:val="24"/>
        </w:rPr>
        <w:t>。现对</w:t>
      </w:r>
      <w:r>
        <w:rPr>
          <w:rFonts w:hint="eastAsia" w:ascii="宋体" w:hAnsi="宋体" w:cs="宋体"/>
          <w:b/>
          <w:bCs/>
          <w:kern w:val="0"/>
          <w:sz w:val="24"/>
          <w:szCs w:val="24"/>
          <w:u w:val="single"/>
        </w:rPr>
        <w:t>崇川区桃坞路街景提升改造工程设计</w:t>
      </w:r>
      <w:r>
        <w:rPr>
          <w:rFonts w:hint="eastAsia" w:ascii="宋体" w:hAnsi="宋体" w:cs="宋体"/>
          <w:kern w:val="0"/>
          <w:sz w:val="24"/>
          <w:szCs w:val="24"/>
        </w:rPr>
        <w:t>进行公开招标，邀请合格的投标人参加本工程的投标。</w:t>
      </w:r>
    </w:p>
    <w:p>
      <w:pPr>
        <w:pStyle w:val="97"/>
        <w:numPr>
          <w:ilvl w:val="0"/>
          <w:numId w:val="1"/>
        </w:numPr>
        <w:spacing w:line="440" w:lineRule="exact"/>
        <w:ind w:firstLineChars="0"/>
        <w:jc w:val="left"/>
        <w:rPr>
          <w:rFonts w:ascii="宋体" w:hAnsi="宋体" w:cs="宋体"/>
          <w:kern w:val="0"/>
          <w:sz w:val="24"/>
          <w:szCs w:val="24"/>
        </w:rPr>
      </w:pPr>
      <w:r>
        <w:rPr>
          <w:rFonts w:hint="eastAsia" w:ascii="宋体" w:hAnsi="宋体" w:cs="宋体"/>
          <w:b/>
          <w:bCs/>
          <w:kern w:val="0"/>
          <w:sz w:val="24"/>
          <w:szCs w:val="24"/>
          <w:u w:val="single"/>
        </w:rPr>
        <w:t>江苏中润工程建设咨询有限公司</w:t>
      </w:r>
      <w:r>
        <w:rPr>
          <w:rFonts w:hint="eastAsia" w:ascii="宋体" w:hAnsi="宋体" w:cs="宋体"/>
          <w:kern w:val="0"/>
          <w:sz w:val="24"/>
          <w:szCs w:val="24"/>
        </w:rPr>
        <w:t>受招标人委托具体负责本工程的招标事宜。</w:t>
      </w:r>
    </w:p>
    <w:p>
      <w:pPr>
        <w:pStyle w:val="97"/>
        <w:spacing w:line="440" w:lineRule="exact"/>
        <w:ind w:left="284" w:firstLine="0" w:firstLineChars="0"/>
        <w:jc w:val="left"/>
        <w:rPr>
          <w:rFonts w:ascii="宋体" w:hAnsi="宋体" w:cs="宋体"/>
          <w:kern w:val="0"/>
          <w:sz w:val="24"/>
          <w:szCs w:val="24"/>
        </w:rPr>
      </w:pPr>
      <w:r>
        <w:rPr>
          <w:rFonts w:hint="eastAsia" w:ascii="宋体" w:hAnsi="宋体" w:cs="宋体"/>
          <w:b/>
          <w:bCs/>
          <w:kern w:val="0"/>
          <w:sz w:val="24"/>
          <w:szCs w:val="24"/>
        </w:rPr>
        <w:t>三、工程概况</w:t>
      </w:r>
      <w:r>
        <w:rPr>
          <w:rFonts w:hint="eastAsia" w:ascii="宋体" w:hAnsi="宋体" w:cs="宋体"/>
          <w:kern w:val="0"/>
          <w:sz w:val="24"/>
          <w:szCs w:val="24"/>
        </w:rPr>
        <w:t>: </w:t>
      </w:r>
    </w:p>
    <w:p>
      <w:pPr>
        <w:spacing w:line="44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1、工程地点：</w:t>
      </w:r>
      <w:r>
        <w:rPr>
          <w:rFonts w:hint="eastAsia" w:ascii="宋体" w:hAnsi="宋体" w:cs="宋体"/>
          <w:sz w:val="24"/>
          <w:szCs w:val="24"/>
          <w:u w:val="single"/>
        </w:rPr>
        <w:t>南通市崇川区桃坞路</w:t>
      </w:r>
      <w:r>
        <w:rPr>
          <w:rFonts w:hint="eastAsia" w:ascii="宋体" w:hAnsi="宋体" w:cs="宋体"/>
          <w:kern w:val="0"/>
          <w:sz w:val="24"/>
          <w:szCs w:val="24"/>
          <w:u w:val="single"/>
        </w:rPr>
        <w:t>。</w:t>
      </w:r>
    </w:p>
    <w:p>
      <w:pPr>
        <w:spacing w:line="440" w:lineRule="exact"/>
        <w:ind w:firstLine="480" w:firstLineChars="200"/>
        <w:jc w:val="left"/>
        <w:rPr>
          <w:rFonts w:ascii="宋体" w:hAnsi="宋体" w:cs="宋体"/>
          <w:kern w:val="0"/>
          <w:sz w:val="24"/>
          <w:szCs w:val="24"/>
          <w:u w:val="single"/>
        </w:rPr>
      </w:pPr>
      <w:r>
        <w:rPr>
          <w:rFonts w:hint="eastAsia" w:ascii="宋体" w:hAnsi="宋体" w:cs="宋体"/>
          <w:sz w:val="24"/>
          <w:szCs w:val="24"/>
        </w:rPr>
        <w:t>2、</w:t>
      </w:r>
      <w:r>
        <w:rPr>
          <w:rFonts w:hint="eastAsia" w:ascii="宋体" w:hAnsi="宋体" w:cs="宋体"/>
          <w:kern w:val="0"/>
          <w:sz w:val="24"/>
          <w:szCs w:val="24"/>
        </w:rPr>
        <w:t>工程规模：</w:t>
      </w:r>
      <w:r>
        <w:rPr>
          <w:rFonts w:hint="eastAsia" w:ascii="宋体" w:hAnsi="宋体" w:cs="宋体"/>
          <w:kern w:val="0"/>
          <w:sz w:val="24"/>
          <w:szCs w:val="24"/>
          <w:u w:val="single"/>
        </w:rPr>
        <w:t>南通市崇川区桃坞路，西起姚港路，东至跃龙路，道路全长约520米。本次设计的内容主要包括莘园大厦、更俗剧院、桃坞路服饰城及沿街二楼以下的建筑物综合改造提升。投资额约1000万元。</w:t>
      </w:r>
    </w:p>
    <w:p>
      <w:pPr>
        <w:spacing w:line="44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3、设计周期:</w:t>
      </w:r>
      <w:r>
        <w:rPr>
          <w:rFonts w:hint="eastAsia" w:ascii="宋体" w:hAnsi="宋体" w:cs="宋体"/>
          <w:kern w:val="0"/>
          <w:sz w:val="24"/>
          <w:szCs w:val="24"/>
          <w:u w:val="single"/>
        </w:rPr>
        <w:t>自合同签订之日起90天内完成设计内容，并提交成果并完成全部审图。</w:t>
      </w:r>
    </w:p>
    <w:p>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4.服务质量：</w:t>
      </w:r>
    </w:p>
    <w:p>
      <w:pPr>
        <w:spacing w:line="440" w:lineRule="exact"/>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kern w:val="0"/>
          <w:sz w:val="24"/>
          <w:szCs w:val="24"/>
          <w:u w:val="single"/>
        </w:rPr>
        <w:t>（1）所有工程设计须符合现行国家、行业、地方的相关设计规范、标准</w:t>
      </w:r>
      <w:r>
        <w:rPr>
          <w:rFonts w:hint="eastAsia" w:ascii="宋体" w:hAnsi="宋体" w:cs="宋体"/>
          <w:color w:val="000000" w:themeColor="text1"/>
          <w:kern w:val="0"/>
          <w:sz w:val="24"/>
          <w:szCs w:val="24"/>
          <w:u w:val="single"/>
          <w14:textFill>
            <w14:solidFill>
              <w14:schemeClr w14:val="tx1"/>
            </w14:solidFill>
          </w14:textFill>
        </w:rPr>
        <w:t>、规定等要求。</w:t>
      </w:r>
    </w:p>
    <w:p>
      <w:pPr>
        <w:spacing w:line="440" w:lineRule="exact"/>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（2）确保所有设计文件通过审查。</w:t>
      </w:r>
    </w:p>
    <w:p>
      <w:pPr>
        <w:spacing w:line="440" w:lineRule="exact"/>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（3）负责各设计图纸送审、对接及配合并按要求进行修改到位，直至合格。</w:t>
      </w:r>
    </w:p>
    <w:p>
      <w:pPr>
        <w:spacing w:line="440" w:lineRule="exact"/>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kern w:val="0"/>
          <w:sz w:val="24"/>
          <w:szCs w:val="24"/>
          <w:u w:val="single"/>
          <w:lang w:val="en-US" w:eastAsia="zh-CN"/>
          <w14:textFill>
            <w14:solidFill>
              <w14:schemeClr w14:val="tx1"/>
            </w14:solidFill>
          </w14:textFill>
        </w:rPr>
        <w:t>4</w:t>
      </w:r>
      <w:r>
        <w:rPr>
          <w:rFonts w:hint="eastAsia" w:ascii="宋体" w:hAnsi="宋体" w:cs="宋体"/>
          <w:color w:val="000000" w:themeColor="text1"/>
          <w:kern w:val="0"/>
          <w:sz w:val="24"/>
          <w:szCs w:val="24"/>
          <w:u w:val="single"/>
          <w14:textFill>
            <w14:solidFill>
              <w14:schemeClr w14:val="tx1"/>
            </w14:solidFill>
          </w14:textFill>
        </w:rPr>
        <w:t>）招标人提出的其他标准。</w:t>
      </w:r>
    </w:p>
    <w:p>
      <w:pPr>
        <w:spacing w:line="440" w:lineRule="exact"/>
        <w:ind w:firstLine="480" w:firstLineChars="200"/>
        <w:jc w:val="left"/>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5、招标范围(包含但不仅限于</w:t>
      </w:r>
      <w:r>
        <w:rPr>
          <w:rFonts w:hint="eastAsia" w:ascii="宋体" w:hAnsi="宋体" w:cs="宋体"/>
          <w:color w:val="000000" w:themeColor="text1"/>
          <w:kern w:val="0"/>
          <w:sz w:val="24"/>
          <w:szCs w:val="24"/>
          <w:highlight w:val="none"/>
          <w14:textFill>
            <w14:solidFill>
              <w14:schemeClr w14:val="tx1"/>
            </w14:solidFill>
          </w14:textFill>
        </w:rPr>
        <w:t>以下)</w:t>
      </w:r>
      <w:r>
        <w:rPr>
          <w:rFonts w:hint="eastAsia" w:ascii="宋体" w:hAnsi="宋体" w:eastAsia="宋体" w:cs="宋体"/>
          <w:color w:val="000000" w:themeColor="text1"/>
          <w:kern w:val="0"/>
          <w:sz w:val="24"/>
          <w:szCs w:val="24"/>
          <w:highlight w:val="none"/>
          <w:u w:val="single"/>
          <w14:textFill>
            <w14:solidFill>
              <w14:schemeClr w14:val="tx1"/>
            </w14:solidFill>
          </w14:textFill>
        </w:rPr>
        <w:t>：包括总平设计、方案设计、扩初设计、施工图设计</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施工图电子文件等本工程所需的设计成果文件、施工过程的现场配合等后续设计服务以及竣工图绘制；还包括其它设计服务内容：须委派专人确保设计各阶段的报批、各类评审等技术服务工作，详见设计任务书。</w:t>
      </w:r>
    </w:p>
    <w:p>
      <w:pPr>
        <w:pStyle w:val="97"/>
        <w:spacing w:line="440" w:lineRule="exact"/>
        <w:ind w:left="284" w:firstLine="0" w:firstLineChars="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四、本次招标工程共分壹个标段。</w:t>
      </w:r>
    </w:p>
    <w:p>
      <w:pPr>
        <w:pStyle w:val="97"/>
        <w:spacing w:line="440" w:lineRule="exact"/>
        <w:ind w:left="284" w:firstLine="0" w:firstLineChars="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五、申请人应当具备的主要资格条件</w:t>
      </w:r>
      <w:r>
        <w:rPr>
          <w:rFonts w:hint="eastAsia" w:ascii="宋体" w:hAnsi="宋体" w:cs="宋体"/>
          <w:color w:val="000000" w:themeColor="text1"/>
          <w:kern w:val="0"/>
          <w:sz w:val="24"/>
          <w:szCs w:val="24"/>
          <w14:textFill>
            <w14:solidFill>
              <w14:schemeClr w14:val="tx1"/>
            </w14:solidFill>
          </w14:textFill>
        </w:rPr>
        <w:t>：</w:t>
      </w:r>
    </w:p>
    <w:p>
      <w:pPr>
        <w:pStyle w:val="42"/>
        <w:shd w:val="clear" w:color="auto" w:fill="FFFFFF"/>
        <w:spacing w:before="0" w:beforeAutospacing="0" w:after="0" w:afterAutospacing="0" w:line="460" w:lineRule="atLeast"/>
        <w:ind w:firstLine="42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1.申请人资质类别和等级：</w:t>
      </w:r>
      <w:r>
        <w:rPr>
          <w:rFonts w:hint="eastAsia"/>
          <w:color w:val="000000" w:themeColor="text1"/>
          <w:szCs w:val="24"/>
          <w:u w:val="single"/>
          <w14:textFill>
            <w14:solidFill>
              <w14:schemeClr w14:val="tx1"/>
            </w14:solidFill>
          </w14:textFill>
        </w:rPr>
        <w:t>必须持有营业执照或事业单位法人证书并取得法人资格；且具备①或②：</w:t>
      </w:r>
    </w:p>
    <w:p>
      <w:pPr>
        <w:pStyle w:val="42"/>
        <w:shd w:val="clear" w:color="auto" w:fill="FFFFFF"/>
        <w:spacing w:before="0" w:beforeAutospacing="0" w:after="0" w:afterAutospacing="0" w:line="460" w:lineRule="atLeast"/>
        <w:ind w:firstLine="422"/>
        <w:rPr>
          <w:color w:val="000000" w:themeColor="text1"/>
          <w:szCs w:val="24"/>
          <w:u w:val="single"/>
          <w14:textFill>
            <w14:solidFill>
              <w14:schemeClr w14:val="tx1"/>
            </w14:solidFill>
          </w14:textFill>
        </w:rPr>
      </w:pPr>
      <w:r>
        <w:rPr>
          <w:rFonts w:hint="eastAsia"/>
          <w:color w:val="000000" w:themeColor="text1"/>
          <w:szCs w:val="24"/>
          <w:u w:val="single"/>
          <w14:textFill>
            <w14:solidFill>
              <w14:schemeClr w14:val="tx1"/>
            </w14:solidFill>
          </w14:textFill>
        </w:rPr>
        <w:t>①工程设计综合甲级资质或建筑行业设计乙级及以上资质或建筑行业（建筑工程）专业设计乙级及以上资质；</w:t>
      </w:r>
    </w:p>
    <w:p>
      <w:pPr>
        <w:pStyle w:val="42"/>
        <w:shd w:val="clear" w:color="auto" w:fill="FFFFFF"/>
        <w:spacing w:before="0" w:beforeAutospacing="0" w:after="0" w:afterAutospacing="0" w:line="460" w:lineRule="atLeast"/>
        <w:ind w:firstLine="422"/>
        <w:rPr>
          <w:color w:val="000000" w:themeColor="text1"/>
          <w:szCs w:val="24"/>
          <w:u w:val="single"/>
          <w14:textFill>
            <w14:solidFill>
              <w14:schemeClr w14:val="tx1"/>
            </w14:solidFill>
          </w14:textFill>
        </w:rPr>
      </w:pPr>
      <w:r>
        <w:rPr>
          <w:rFonts w:hint="eastAsia"/>
          <w:color w:val="000000" w:themeColor="text1"/>
          <w:szCs w:val="24"/>
          <w:u w:val="single"/>
          <w14:textFill>
            <w14:solidFill>
              <w14:schemeClr w14:val="tx1"/>
            </w14:solidFill>
          </w14:textFill>
        </w:rPr>
        <w:t>②照明工程设计专项乙级及以上资质。</w:t>
      </w:r>
    </w:p>
    <w:p>
      <w:pPr>
        <w:pStyle w:val="42"/>
        <w:shd w:val="clear" w:color="auto" w:fill="FFFFFF"/>
        <w:spacing w:before="0" w:beforeAutospacing="0" w:after="0" w:afterAutospacing="0" w:line="460" w:lineRule="atLeast"/>
        <w:ind w:firstLine="422"/>
        <w:rPr>
          <w:color w:val="000000" w:themeColor="text1"/>
          <w:szCs w:val="24"/>
          <w:highlight w:val="none"/>
          <w14:textFill>
            <w14:solidFill>
              <w14:schemeClr w14:val="tx1"/>
            </w14:solidFill>
          </w14:textFill>
        </w:rPr>
      </w:pPr>
      <w:r>
        <w:rPr>
          <w:rFonts w:hint="eastAsia"/>
          <w:color w:val="000000" w:themeColor="text1"/>
          <w:szCs w:val="24"/>
          <w14:textFill>
            <w14:solidFill>
              <w14:schemeClr w14:val="tx1"/>
            </w14:solidFill>
          </w14:textFill>
        </w:rPr>
        <w:t>2.拟派项目设计负责人资格</w:t>
      </w:r>
      <w:r>
        <w:rPr>
          <w:rFonts w:hint="eastAsia"/>
          <w:color w:val="000000" w:themeColor="text1"/>
          <w:szCs w:val="24"/>
          <w:highlight w:val="none"/>
          <w14:textFill>
            <w14:solidFill>
              <w14:schemeClr w14:val="tx1"/>
            </w14:solidFill>
          </w14:textFill>
        </w:rPr>
        <w:t>要求：</w:t>
      </w:r>
      <w:r>
        <w:rPr>
          <w:rFonts w:hint="eastAsia"/>
          <w:color w:val="000000" w:themeColor="text1"/>
          <w:szCs w:val="24"/>
          <w:highlight w:val="none"/>
          <w:u w:val="single"/>
          <w14:textFill>
            <w14:solidFill>
              <w14:schemeClr w14:val="tx1"/>
            </w14:solidFill>
          </w14:textFill>
        </w:rPr>
        <w:t>具备国家一级注册建筑师执业资格（须在注册有效期内且注册单位为所投标单位）或工程类工程师高级及以上技术职称。（如为联合体投标，项目负责人须来自联合体牵头人）；</w:t>
      </w:r>
    </w:p>
    <w:p>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3.资格审查的必要合格条件</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3.1 具有独立订立合同及履行合同的能力；</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3.2 未处于被责令停业、投标资格被取消或者财产被接管、冻结和破产状态；</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 企业没有因骗取中标或者严重违约以及发生重大工程质量、安全生产事故等问题，被有关部门暂停投标资格并在暂停期内的；</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 企业的资质类别、等级和项目设计负责人的资质等级满足招标要求；</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3.5 投标文件中的重要内容没有失实或者弄虚作假；</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3.6</w:t>
      </w:r>
      <w:r>
        <w:rPr>
          <w:rFonts w:hint="eastAsia" w:ascii="宋体" w:hAnsi="宋体" w:cs="宋体"/>
          <w:color w:val="000000" w:themeColor="text1"/>
          <w:kern w:val="0"/>
          <w:sz w:val="24"/>
          <w:szCs w:val="24"/>
          <w14:textFill>
            <w14:solidFill>
              <w14:schemeClr w14:val="tx1"/>
            </w14:solidFill>
          </w14:textFill>
        </w:rPr>
        <w:t xml:space="preserve">本次招标接受联合体投标。  </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若为联合体投标，还应满足下列要求： </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A.联合体所有成员数量不得超过2家，投标过程由联合体牵头人负责； </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B.联合体各方应按招标文件提供的格式签订联合体协议书，明确联合体牵头人和各方权利义务，并承诺就中标项目向招标人承担连带责任； </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C.由同一专业的单位组成的联合体，按照资质等级较低的单位确定资质等级； </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D.联合体各方不得再以自己名义单独或参加其他联合体进行投标； </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E.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 </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F.尽管委任了联合体牵头人，但联合体各成员在投标、签定合同与履行合同过程中，仍负有连带的和各自的法律责任。</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未尽之处具体详见招标文件“评标办法”中的“资格审查标准汇总表”。提供的资格审查材料及审查标准，前后矛盾的以《资格审查标准汇总表》为准。</w:t>
      </w:r>
    </w:p>
    <w:p>
      <w:pPr>
        <w:spacing w:line="44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注：</w:t>
      </w:r>
      <w:r>
        <w:rPr>
          <w:rFonts w:hint="eastAsia" w:ascii="宋体" w:hAnsi="宋体" w:cs="宋体"/>
          <w:color w:val="000000" w:themeColor="text1"/>
          <w:kern w:val="0"/>
          <w:sz w:val="24"/>
          <w:szCs w:val="24"/>
          <w14:textFill>
            <w14:solidFill>
              <w14:schemeClr w14:val="tx1"/>
            </w14:solidFill>
          </w14:textFill>
        </w:rPr>
        <w:t>如发现投标人递交的资格后审材料有弄虚作假行为，该投标人将记入不良记录，并上报有关部门。如已中标，招标人有权取消其中标资格，并由该投标人承担一</w:t>
      </w:r>
      <w:r>
        <w:rPr>
          <w:rFonts w:hint="eastAsia" w:ascii="宋体" w:hAnsi="宋体" w:eastAsia="宋体" w:cs="宋体"/>
          <w:color w:val="000000" w:themeColor="text1"/>
          <w:kern w:val="0"/>
          <w:sz w:val="24"/>
          <w:szCs w:val="24"/>
          <w14:textFill>
            <w14:solidFill>
              <w14:schemeClr w14:val="tx1"/>
            </w14:solidFill>
          </w14:textFill>
        </w:rPr>
        <w:t>切责任和损失。</w:t>
      </w:r>
    </w:p>
    <w:p>
      <w:pPr>
        <w:spacing w:line="440" w:lineRule="exact"/>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bookmarkStart w:id="3" w:name="_Toc389065126"/>
      <w:bookmarkStart w:id="4" w:name="_Toc527727594"/>
      <w:bookmarkStart w:id="5" w:name="_Toc536214592"/>
      <w:r>
        <w:rPr>
          <w:rFonts w:hint="eastAsia" w:ascii="宋体" w:hAnsi="宋体" w:eastAsia="宋体" w:cs="宋体"/>
          <w:b/>
          <w:bCs/>
          <w:color w:val="000000" w:themeColor="text1"/>
          <w:kern w:val="0"/>
          <w:sz w:val="24"/>
          <w:szCs w:val="24"/>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14:textFill>
            <w14:solidFill>
              <w14:schemeClr w14:val="tx1"/>
            </w14:solidFill>
          </w14:textFill>
        </w:rPr>
        <w:t>招标文件的获取</w:t>
      </w:r>
      <w:bookmarkEnd w:id="3"/>
      <w:bookmarkEnd w:id="4"/>
      <w:bookmarkEnd w:id="5"/>
    </w:p>
    <w:p>
      <w:pPr>
        <w:spacing w:line="44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招标文件获取时间为： 202</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 xml:space="preserve"> 年</w:t>
      </w:r>
      <w:r>
        <w:rPr>
          <w:rFonts w:hint="eastAsia" w:ascii="宋体" w:hAnsi="宋体" w:cs="宋体"/>
          <w:color w:val="000000" w:themeColor="text1"/>
          <w:kern w:val="0"/>
          <w:sz w:val="24"/>
          <w:szCs w:val="24"/>
          <w:lang w:val="en-US" w:eastAsia="zh-CN"/>
          <w14:textFill>
            <w14:solidFill>
              <w14:schemeClr w14:val="tx1"/>
            </w14:solidFill>
          </w14:textFill>
        </w:rPr>
        <w:t>04</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03</w:t>
      </w:r>
      <w:r>
        <w:rPr>
          <w:rFonts w:hint="eastAsia" w:ascii="宋体" w:hAnsi="宋体" w:eastAsia="宋体" w:cs="宋体"/>
          <w:color w:val="000000" w:themeColor="text1"/>
          <w:kern w:val="0"/>
          <w:sz w:val="24"/>
          <w:szCs w:val="24"/>
          <w14:textFill>
            <w14:solidFill>
              <w14:schemeClr w14:val="tx1"/>
            </w14:solidFill>
          </w14:textFill>
        </w:rPr>
        <w:t>日至 202</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04</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24</w:t>
      </w:r>
      <w:r>
        <w:rPr>
          <w:rFonts w:hint="eastAsia" w:ascii="宋体" w:hAnsi="宋体" w:eastAsia="宋体" w:cs="宋体"/>
          <w:color w:val="000000" w:themeColor="text1"/>
          <w:kern w:val="0"/>
          <w:sz w:val="24"/>
          <w:szCs w:val="24"/>
          <w14:textFill>
            <w14:solidFill>
              <w14:schemeClr w14:val="tx1"/>
            </w14:solidFill>
          </w14:textFill>
        </w:rPr>
        <w:t xml:space="preserve">日 14 时00 分； </w:t>
      </w:r>
    </w:p>
    <w:p>
      <w:pPr>
        <w:spacing w:line="44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招标文件获取方式：本项目招标文件请在南通市崇川区人民政府网</w:t>
      </w:r>
      <w:r>
        <w:rPr>
          <w:rFonts w:hint="eastAsia" w:ascii="宋体" w:hAnsi="宋体" w:eastAsia="宋体" w:cs="宋体"/>
          <w:color w:val="000000" w:themeColor="text1"/>
          <w:kern w:val="0"/>
          <w:sz w:val="24"/>
          <w:szCs w:val="24"/>
          <w:lang w:eastAsia="zh-CN"/>
          <w14:textFill>
            <w14:solidFill>
              <w14:schemeClr w14:val="tx1"/>
            </w14:solidFill>
          </w14:textFill>
        </w:rPr>
        <w:t>（https://www.chongchuan.gov.cn/）政府采购与工程招标板块</w:t>
      </w:r>
      <w:r>
        <w:rPr>
          <w:rFonts w:hint="eastAsia" w:ascii="宋体" w:hAnsi="宋体" w:eastAsia="宋体" w:cs="宋体"/>
          <w:color w:val="000000" w:themeColor="text1"/>
          <w:kern w:val="0"/>
          <w:sz w:val="24"/>
          <w:szCs w:val="24"/>
          <w14:textFill>
            <w14:solidFill>
              <w14:schemeClr w14:val="tx1"/>
            </w14:solidFill>
          </w14:textFill>
        </w:rPr>
        <w:t>下载。</w:t>
      </w:r>
    </w:p>
    <w:p>
      <w:pPr>
        <w:spacing w:line="44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招标文件每套售价300元，售后不退，由投标人在开标现场支付给代理机构。</w:t>
      </w:r>
    </w:p>
    <w:p>
      <w:pPr>
        <w:spacing w:line="440" w:lineRule="exact"/>
        <w:ind w:firstLine="482" w:firstLineChars="200"/>
        <w:rPr>
          <w:rFonts w:hint="eastAsia" w:ascii="宋体" w:hAnsi="宋体" w:eastAsia="宋体" w:cs="宋体"/>
          <w:b/>
          <w:bCs/>
          <w:color w:val="000000" w:themeColor="text1"/>
          <w:kern w:val="0"/>
          <w:sz w:val="24"/>
          <w:szCs w:val="24"/>
          <w:lang w:eastAsia="zh-CN"/>
          <w14:textFill>
            <w14:solidFill>
              <w14:schemeClr w14:val="tx1"/>
            </w14:solidFill>
          </w14:textFill>
        </w:rPr>
      </w:pPr>
      <w:bookmarkStart w:id="6" w:name="_Toc389065127"/>
      <w:bookmarkStart w:id="7" w:name="_Toc536214593"/>
      <w:bookmarkStart w:id="8" w:name="_Toc527727595"/>
      <w:r>
        <w:rPr>
          <w:rFonts w:hint="eastAsia" w:ascii="宋体" w:hAnsi="宋体" w:eastAsia="宋体" w:cs="宋体"/>
          <w:b/>
          <w:bCs/>
          <w:color w:val="000000" w:themeColor="text1"/>
          <w:kern w:val="0"/>
          <w:sz w:val="24"/>
          <w:szCs w:val="24"/>
          <w:lang w:eastAsia="zh-CN"/>
          <w14:textFill>
            <w14:solidFill>
              <w14:schemeClr w14:val="tx1"/>
            </w14:solidFill>
          </w14:textFill>
        </w:rPr>
        <w:t>七、投标</w:t>
      </w:r>
      <w:bookmarkEnd w:id="6"/>
      <w:r>
        <w:rPr>
          <w:rFonts w:hint="eastAsia" w:ascii="宋体" w:hAnsi="宋体" w:eastAsia="宋体" w:cs="宋体"/>
          <w:b/>
          <w:bCs/>
          <w:color w:val="000000" w:themeColor="text1"/>
          <w:kern w:val="0"/>
          <w:sz w:val="24"/>
          <w:szCs w:val="24"/>
          <w:lang w:eastAsia="zh-CN"/>
          <w14:textFill>
            <w14:solidFill>
              <w14:schemeClr w14:val="tx1"/>
            </w14:solidFill>
          </w14:textFill>
        </w:rPr>
        <w:t>截止时间</w:t>
      </w:r>
      <w:bookmarkEnd w:id="7"/>
      <w:bookmarkEnd w:id="8"/>
      <w:r>
        <w:rPr>
          <w:rFonts w:hint="eastAsia" w:ascii="宋体" w:hAnsi="宋体" w:eastAsia="宋体" w:cs="宋体"/>
          <w:b/>
          <w:bCs/>
          <w:color w:val="000000" w:themeColor="text1"/>
          <w:kern w:val="0"/>
          <w:sz w:val="24"/>
          <w:szCs w:val="24"/>
          <w:lang w:eastAsia="zh-CN"/>
          <w14:textFill>
            <w14:solidFill>
              <w14:schemeClr w14:val="tx1"/>
            </w14:solidFill>
          </w14:textFill>
        </w:rPr>
        <w:t>、地点</w:t>
      </w:r>
    </w:p>
    <w:p>
      <w:pPr>
        <w:spacing w:line="44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bookmarkStart w:id="9" w:name="_Toc389065128"/>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投标截止时间为 ：202</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 xml:space="preserve"> 年</w:t>
      </w:r>
      <w:r>
        <w:rPr>
          <w:rFonts w:hint="eastAsia" w:ascii="宋体" w:hAnsi="宋体" w:cs="宋体"/>
          <w:color w:val="000000" w:themeColor="text1"/>
          <w:kern w:val="0"/>
          <w:sz w:val="24"/>
          <w:szCs w:val="24"/>
          <w:lang w:val="en-US" w:eastAsia="zh-CN"/>
          <w14:textFill>
            <w14:solidFill>
              <w14:schemeClr w14:val="tx1"/>
            </w14:solidFill>
          </w14:textFill>
        </w:rPr>
        <w:t>04</w:t>
      </w:r>
      <w:r>
        <w:rPr>
          <w:rFonts w:hint="eastAsia" w:ascii="宋体" w:hAnsi="宋体" w:eastAsia="宋体" w:cs="宋体"/>
          <w:color w:val="000000" w:themeColor="text1"/>
          <w:kern w:val="0"/>
          <w:sz w:val="24"/>
          <w:szCs w:val="24"/>
          <w:lang w:eastAsia="zh-CN"/>
          <w14:textFill>
            <w14:solidFill>
              <w14:schemeClr w14:val="tx1"/>
            </w14:solidFill>
          </w14:textFill>
        </w:rPr>
        <w:t xml:space="preserve"> 月</w:t>
      </w:r>
      <w:r>
        <w:rPr>
          <w:rFonts w:hint="eastAsia" w:ascii="宋体" w:hAnsi="宋体" w:cs="宋体"/>
          <w:color w:val="000000" w:themeColor="text1"/>
          <w:kern w:val="0"/>
          <w:sz w:val="24"/>
          <w:szCs w:val="24"/>
          <w:lang w:val="en-US" w:eastAsia="zh-CN"/>
          <w14:textFill>
            <w14:solidFill>
              <w14:schemeClr w14:val="tx1"/>
            </w14:solidFill>
          </w14:textFill>
        </w:rPr>
        <w:t>24</w:t>
      </w:r>
      <w:r>
        <w:rPr>
          <w:rFonts w:hint="eastAsia" w:ascii="宋体" w:hAnsi="宋体" w:eastAsia="宋体" w:cs="宋体"/>
          <w:color w:val="000000" w:themeColor="text1"/>
          <w:kern w:val="0"/>
          <w:sz w:val="24"/>
          <w:szCs w:val="24"/>
          <w:lang w:eastAsia="zh-CN"/>
          <w14:textFill>
            <w14:solidFill>
              <w14:schemeClr w14:val="tx1"/>
            </w14:solidFill>
          </w14:textFill>
        </w:rPr>
        <w:t>日14 时00 分；</w:t>
      </w:r>
    </w:p>
    <w:p>
      <w:pPr>
        <w:spacing w:line="44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逾期送达的投标文件，招标人不予受理。</w:t>
      </w:r>
    </w:p>
    <w:p>
      <w:pPr>
        <w:spacing w:line="44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bookmarkStart w:id="10" w:name="_Toc536214594"/>
      <w:bookmarkStart w:id="11" w:name="_Toc527727596"/>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投标文件递交地点：南通市崇川区青年中路128号，崇川区便民服务中心314会议室（东楼），如有变动另行通知。</w:t>
      </w:r>
    </w:p>
    <w:p>
      <w:pPr>
        <w:spacing w:line="440" w:lineRule="exact"/>
        <w:ind w:firstLine="482"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特别提醒：崇川区便民服务中心停车位有限，请各潜在投标人合理选择交通工具，或提前到达投标地点。</w:t>
      </w:r>
    </w:p>
    <w:p>
      <w:pPr>
        <w:spacing w:line="440" w:lineRule="exact"/>
        <w:ind w:firstLine="482" w:firstLineChars="200"/>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八、资格审查</w:t>
      </w:r>
      <w:bookmarkEnd w:id="10"/>
      <w:bookmarkEnd w:id="11"/>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本次招标采用资格后审方式进行资格审查，资格评审标准详见招标文件第六章。   </w:t>
      </w:r>
    </w:p>
    <w:p>
      <w:pPr>
        <w:spacing w:line="440" w:lineRule="exact"/>
        <w:ind w:firstLine="482" w:firstLineChars="200"/>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12" w:name="_Toc536214595"/>
      <w:bookmarkStart w:id="13" w:name="_Toc527727597"/>
      <w:r>
        <w:rPr>
          <w:rFonts w:hint="eastAsia" w:ascii="宋体" w:hAnsi="宋体" w:eastAsia="宋体" w:cs="宋体"/>
          <w:b/>
          <w:bCs/>
          <w:color w:val="000000" w:themeColor="text1"/>
          <w:kern w:val="0"/>
          <w:sz w:val="24"/>
          <w:szCs w:val="24"/>
          <w:lang w:val="en-US" w:eastAsia="zh-CN"/>
          <w14:textFill>
            <w14:solidFill>
              <w14:schemeClr w14:val="tx1"/>
            </w14:solidFill>
          </w14:textFill>
        </w:rPr>
        <w:t>九、 评标</w:t>
      </w:r>
      <w:bookmarkEnd w:id="9"/>
      <w:r>
        <w:rPr>
          <w:rFonts w:hint="eastAsia" w:ascii="宋体" w:hAnsi="宋体" w:eastAsia="宋体" w:cs="宋体"/>
          <w:b/>
          <w:bCs/>
          <w:color w:val="000000" w:themeColor="text1"/>
          <w:kern w:val="0"/>
          <w:sz w:val="24"/>
          <w:szCs w:val="24"/>
          <w:lang w:val="en-US" w:eastAsia="zh-CN"/>
          <w14:textFill>
            <w14:solidFill>
              <w14:schemeClr w14:val="tx1"/>
            </w14:solidFill>
          </w14:textFill>
        </w:rPr>
        <w:t>方法</w:t>
      </w:r>
      <w:bookmarkEnd w:id="12"/>
      <w:bookmarkEnd w:id="13"/>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本次招标采用</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☑综合评估法  □经评审的最低投标价法  □合理低价法 </w:t>
      </w:r>
      <w:r>
        <w:rPr>
          <w:rFonts w:hint="eastAsia" w:ascii="宋体" w:hAnsi="宋体" w:eastAsia="宋体" w:cs="宋体"/>
          <w:color w:val="000000" w:themeColor="text1"/>
          <w:kern w:val="0"/>
          <w:sz w:val="24"/>
          <w:szCs w:val="24"/>
          <w:lang w:val="en-US" w:eastAsia="zh-CN"/>
          <w14:textFill>
            <w14:solidFill>
              <w14:schemeClr w14:val="tx1"/>
            </w14:solidFill>
          </w14:textFill>
        </w:rPr>
        <w:t>，评标标准和方法详见招标文件第六章。</w:t>
      </w:r>
    </w:p>
    <w:p>
      <w:pPr>
        <w:spacing w:line="440" w:lineRule="exact"/>
        <w:ind w:firstLine="482" w:firstLineChars="200"/>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14" w:name="_Toc536214596"/>
      <w:bookmarkStart w:id="15" w:name="_Toc527727598"/>
      <w:r>
        <w:rPr>
          <w:rFonts w:hint="eastAsia" w:ascii="宋体" w:hAnsi="宋体" w:eastAsia="宋体" w:cs="宋体"/>
          <w:b/>
          <w:bCs/>
          <w:color w:val="000000" w:themeColor="text1"/>
          <w:kern w:val="0"/>
          <w:sz w:val="24"/>
          <w:szCs w:val="24"/>
          <w:lang w:val="en-US" w:eastAsia="zh-CN"/>
          <w14:textFill>
            <w14:solidFill>
              <w14:schemeClr w14:val="tx1"/>
            </w14:solidFill>
          </w14:textFill>
        </w:rPr>
        <w:t>十、发布公告的媒介</w:t>
      </w:r>
      <w:bookmarkEnd w:id="14"/>
      <w:bookmarkEnd w:id="15"/>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本次招标公告同时在南通市崇川区人民政府网（https://www.chongchuan.gov.cn/）政府采购与工程招标板块发布。</w:t>
      </w:r>
    </w:p>
    <w:p>
      <w:pPr>
        <w:spacing w:line="440" w:lineRule="exact"/>
        <w:ind w:firstLine="482" w:firstLineChars="200"/>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16" w:name="_Toc527727599"/>
      <w:bookmarkStart w:id="17" w:name="_Toc536214597"/>
      <w:r>
        <w:rPr>
          <w:rFonts w:hint="eastAsia" w:ascii="宋体" w:hAnsi="宋体" w:eastAsia="宋体" w:cs="宋体"/>
          <w:b/>
          <w:bCs/>
          <w:color w:val="000000" w:themeColor="text1"/>
          <w:kern w:val="0"/>
          <w:sz w:val="24"/>
          <w:szCs w:val="24"/>
          <w:lang w:val="en-US" w:eastAsia="zh-CN"/>
          <w14:textFill>
            <w14:solidFill>
              <w14:schemeClr w14:val="tx1"/>
            </w14:solidFill>
          </w14:textFill>
        </w:rPr>
        <w:t>十一、联系方式</w:t>
      </w:r>
      <w:bookmarkEnd w:id="16"/>
      <w:bookmarkEnd w:id="17"/>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招标人：南通市崇川区城市管理局</w:t>
      </w:r>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地址：南通市崇川区公园南苑31幢</w:t>
      </w:r>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联系人：唐女士       </w:t>
      </w:r>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电话:0513 8910 9031</w:t>
      </w:r>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招标代理机构：江苏中润工程建设咨询有限公司             </w:t>
      </w:r>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地址：崇川区崇川路58号，南通产业技术研究院有限公司九号楼十楼</w:t>
      </w:r>
    </w:p>
    <w:p>
      <w:pPr>
        <w:spacing w:line="44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联系人：高工   联系电话：15962756653</w:t>
      </w:r>
    </w:p>
    <w:p>
      <w:pPr>
        <w:pStyle w:val="23"/>
        <w:ind w:left="1440"/>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p>
    <w:p>
      <w:pP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p>
    <w:p>
      <w:pPr>
        <w:pStyle w:val="2"/>
        <w:rPr>
          <w:rFonts w:hint="eastAsia"/>
          <w:lang w:val="en-US" w:eastAsia="zh-CN"/>
        </w:rPr>
      </w:pPr>
    </w:p>
    <w:p>
      <w:pPr>
        <w:wordWrap w:val="0"/>
        <w:adjustRightInd w:val="0"/>
        <w:snapToGrid w:val="0"/>
        <w:spacing w:line="500" w:lineRule="exact"/>
        <w:jc w:val="right"/>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2023年</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04</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03</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日</w:t>
      </w:r>
    </w:p>
    <w:p>
      <w:pPr>
        <w:spacing w:line="480" w:lineRule="auto"/>
        <w:jc w:val="center"/>
        <w:outlineLvl w:val="0"/>
        <w:rPr>
          <w:rFonts w:ascii="宋体" w:hAnsi="宋体" w:cs="宋体"/>
          <w:b/>
          <w:bCs/>
          <w:color w:val="000000" w:themeColor="text1"/>
          <w:sz w:val="36"/>
          <w:szCs w:val="36"/>
          <w14:textFill>
            <w14:solidFill>
              <w14:schemeClr w14:val="tx1"/>
            </w14:solidFill>
          </w14:textFill>
        </w:rPr>
      </w:pPr>
      <w:bookmarkStart w:id="18" w:name="_Toc25659012"/>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36"/>
          <w:szCs w:val="36"/>
          <w14:textFill>
            <w14:solidFill>
              <w14:schemeClr w14:val="tx1"/>
            </w14:solidFill>
          </w14:textFill>
        </w:rPr>
        <w:t>第二章 投标人须知及投标人须知前附表</w:t>
      </w:r>
      <w:bookmarkEnd w:id="0"/>
      <w:bookmarkEnd w:id="1"/>
      <w:bookmarkEnd w:id="18"/>
    </w:p>
    <w:p>
      <w:pPr>
        <w:spacing w:before="120" w:beforeLines="50" w:after="120" w:afterLines="50" w:line="360" w:lineRule="auto"/>
        <w:jc w:val="center"/>
        <w:outlineLvl w:val="1"/>
        <w:rPr>
          <w:rFonts w:ascii="宋体" w:hAnsi="宋体" w:cs="宋体"/>
          <w:b/>
          <w:bCs/>
          <w:color w:val="000000" w:themeColor="text1"/>
          <w:sz w:val="30"/>
          <w14:textFill>
            <w14:solidFill>
              <w14:schemeClr w14:val="tx1"/>
            </w14:solidFill>
          </w14:textFill>
        </w:rPr>
      </w:pPr>
      <w:bookmarkStart w:id="19" w:name="_Toc8173"/>
      <w:bookmarkStart w:id="20" w:name="_Toc25659013"/>
      <w:bookmarkStart w:id="21" w:name="_Toc26910"/>
      <w:bookmarkStart w:id="22" w:name="_Toc25658478"/>
      <w:bookmarkStart w:id="23" w:name="_Toc2861262"/>
      <w:r>
        <w:rPr>
          <w:rFonts w:hint="eastAsia" w:ascii="宋体" w:hAnsi="宋体" w:cs="宋体"/>
          <w:b/>
          <w:bCs/>
          <w:color w:val="000000" w:themeColor="text1"/>
          <w:sz w:val="30"/>
          <w14:textFill>
            <w14:solidFill>
              <w14:schemeClr w14:val="tx1"/>
            </w14:solidFill>
          </w14:textFill>
        </w:rPr>
        <w:t>一、投标人须知前附表</w:t>
      </w:r>
      <w:bookmarkEnd w:id="19"/>
      <w:bookmarkEnd w:id="20"/>
      <w:bookmarkEnd w:id="21"/>
      <w:bookmarkEnd w:id="22"/>
      <w:bookmarkEnd w:id="23"/>
    </w:p>
    <w:tbl>
      <w:tblPr>
        <w:tblStyle w:val="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878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8789" w:type="dxa"/>
            <w:vAlign w:val="center"/>
          </w:tcPr>
          <w:p>
            <w:pPr>
              <w:spacing w:line="400" w:lineRule="exact"/>
              <w:rPr>
                <w:rFonts w:hint="eastAsia" w:ascii="宋体" w:hAnsi="宋体" w:eastAsia="宋体" w:cs="宋体"/>
                <w:sz w:val="24"/>
                <w:szCs w:val="24"/>
              </w:rPr>
            </w:pPr>
            <w:r>
              <w:rPr>
                <w:rFonts w:hint="eastAsia" w:ascii="宋体" w:hAnsi="宋体" w:eastAsia="宋体" w:cs="宋体"/>
                <w:b/>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：崇川区桃</w:t>
            </w:r>
            <w:r>
              <w:rPr>
                <w:rFonts w:hint="eastAsia" w:ascii="宋体" w:hAnsi="宋体" w:eastAsia="宋体" w:cs="宋体"/>
                <w:sz w:val="24"/>
                <w:szCs w:val="24"/>
              </w:rPr>
              <w:t>坞路街景提升改造工程设计</w:t>
            </w:r>
          </w:p>
          <w:p>
            <w:pPr>
              <w:spacing w:line="400" w:lineRule="exact"/>
              <w:rPr>
                <w:rFonts w:hint="eastAsia" w:ascii="宋体" w:hAnsi="宋体" w:eastAsia="宋体" w:cs="宋体"/>
                <w:sz w:val="24"/>
                <w:szCs w:val="24"/>
              </w:rPr>
            </w:pPr>
            <w:r>
              <w:rPr>
                <w:rFonts w:hint="eastAsia" w:ascii="宋体" w:hAnsi="宋体" w:eastAsia="宋体" w:cs="宋体"/>
                <w:b/>
                <w:sz w:val="24"/>
                <w:szCs w:val="24"/>
              </w:rPr>
              <w:t>建设地点</w:t>
            </w:r>
            <w:r>
              <w:rPr>
                <w:rFonts w:hint="eastAsia" w:ascii="宋体" w:hAnsi="宋体" w:eastAsia="宋体" w:cs="宋体"/>
                <w:sz w:val="24"/>
                <w:szCs w:val="24"/>
              </w:rPr>
              <w:t>：南通市崇川区桃坞路</w:t>
            </w:r>
          </w:p>
          <w:p>
            <w:pPr>
              <w:pStyle w:val="15"/>
              <w:snapToGrid w:val="0"/>
              <w:spacing w:line="400" w:lineRule="exact"/>
              <w:ind w:firstLine="0"/>
              <w:rPr>
                <w:rFonts w:hint="eastAsia" w:ascii="宋体" w:hAnsi="宋体" w:eastAsia="宋体" w:cs="宋体"/>
                <w:sz w:val="24"/>
                <w:szCs w:val="24"/>
              </w:rPr>
            </w:pPr>
            <w:r>
              <w:rPr>
                <w:rFonts w:hint="eastAsia" w:ascii="宋体" w:hAnsi="宋体" w:eastAsia="宋体" w:cs="宋体"/>
                <w:b/>
                <w:sz w:val="24"/>
                <w:szCs w:val="24"/>
              </w:rPr>
              <w:t>工程规模</w:t>
            </w:r>
            <w:r>
              <w:rPr>
                <w:rFonts w:hint="eastAsia" w:ascii="宋体" w:hAnsi="宋体" w:eastAsia="宋体" w:cs="宋体"/>
                <w:sz w:val="24"/>
                <w:szCs w:val="24"/>
              </w:rPr>
              <w:t>：南通市崇川区桃坞路，西起姚港路，东至跃龙路，道路全长约520米。本次设计的内容主要包括莘园大厦、更俗剧院、桃坞路服饰城及沿街二楼以下的建筑物视觉综合提升。投资额约1000万元。</w:t>
            </w:r>
          </w:p>
          <w:p>
            <w:pPr>
              <w:pStyle w:val="15"/>
              <w:snapToGrid w:val="0"/>
              <w:spacing w:line="400" w:lineRule="exact"/>
              <w:ind w:firstLine="0"/>
              <w:rPr>
                <w:rFonts w:hint="eastAsia" w:ascii="宋体" w:hAnsi="宋体" w:eastAsia="宋体" w:cs="宋体"/>
                <w:sz w:val="24"/>
                <w:szCs w:val="24"/>
              </w:rPr>
            </w:pPr>
            <w:r>
              <w:rPr>
                <w:rFonts w:hint="eastAsia" w:ascii="宋体" w:hAnsi="宋体" w:eastAsia="宋体" w:cs="宋体"/>
                <w:sz w:val="24"/>
                <w:szCs w:val="24"/>
              </w:rPr>
              <w:t>设计工期：自合同签订之日起90天内完成设计内容，并提交成果并完成全部审图。</w:t>
            </w:r>
          </w:p>
          <w:p>
            <w:pPr>
              <w:pStyle w:val="15"/>
              <w:snapToGrid w:val="0"/>
              <w:spacing w:line="400" w:lineRule="exact"/>
              <w:ind w:firstLine="0"/>
              <w:rPr>
                <w:rFonts w:hint="eastAsia" w:ascii="宋体" w:hAnsi="宋体" w:eastAsia="宋体" w:cs="宋体"/>
                <w:b/>
                <w:bCs/>
                <w:sz w:val="24"/>
                <w:szCs w:val="24"/>
              </w:rPr>
            </w:pPr>
            <w:r>
              <w:rPr>
                <w:rFonts w:hint="eastAsia" w:ascii="宋体" w:hAnsi="宋体" w:eastAsia="宋体" w:cs="宋体"/>
                <w:b/>
                <w:bCs/>
                <w:sz w:val="24"/>
                <w:szCs w:val="24"/>
              </w:rPr>
              <w:t>服务质量：</w:t>
            </w:r>
          </w:p>
          <w:p>
            <w:pPr>
              <w:pStyle w:val="15"/>
              <w:snapToGrid w:val="0"/>
              <w:spacing w:line="40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（1）所有工程设计须符合现行国家、行业、地方的相关设计规范、标准、规定等要求。</w:t>
            </w:r>
          </w:p>
          <w:p>
            <w:pPr>
              <w:pStyle w:val="15"/>
              <w:snapToGrid w:val="0"/>
              <w:spacing w:line="40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（2）确保所有设计文件通过审查。</w:t>
            </w:r>
          </w:p>
          <w:p>
            <w:pPr>
              <w:pStyle w:val="15"/>
              <w:snapToGrid w:val="0"/>
              <w:spacing w:line="40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（3）负责各设计图纸送审、对接及配合并按要求进行修改到位，直至合格。</w:t>
            </w:r>
          </w:p>
          <w:p>
            <w:pPr>
              <w:pStyle w:val="15"/>
              <w:snapToGrid w:val="0"/>
              <w:spacing w:line="400" w:lineRule="exact"/>
              <w:ind w:firstLine="0"/>
              <w:rPr>
                <w:rFonts w:hint="eastAsia"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）招标人提出的其他标准。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8789" w:type="dxa"/>
            <w:vAlign w:val="center"/>
          </w:tcPr>
          <w:p>
            <w:pPr>
              <w:spacing w:line="440" w:lineRule="exact"/>
              <w:ind w:firstLine="482" w:firstLineChars="200"/>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设计范围(包含但不仅限于以下)：</w:t>
            </w:r>
            <w:r>
              <w:rPr>
                <w:rFonts w:hint="eastAsia" w:ascii="宋体" w:hAnsi="宋体" w:eastAsia="宋体" w:cs="宋体"/>
                <w:sz w:val="24"/>
                <w:szCs w:val="24"/>
              </w:rPr>
              <w:t>包括总平设计、方案设计、扩初设计、施工图设计</w:t>
            </w:r>
            <w:r>
              <w:rPr>
                <w:rFonts w:hint="eastAsia" w:ascii="宋体" w:hAnsi="宋体" w:eastAsia="宋体" w:cs="宋体"/>
                <w:sz w:val="24"/>
                <w:szCs w:val="24"/>
                <w:lang w:eastAsia="zh-CN"/>
              </w:rPr>
              <w:t>、</w:t>
            </w:r>
            <w:r>
              <w:rPr>
                <w:rFonts w:hint="eastAsia" w:ascii="宋体" w:hAnsi="宋体" w:eastAsia="宋体" w:cs="宋体"/>
                <w:sz w:val="24"/>
                <w:szCs w:val="24"/>
              </w:rPr>
              <w:t>施工图电子文件等本工程所需的设计成果文件、施工过程的现场配合等后续设计服务以及竣工图绘制；还包括其它设计服务内容：须委派专人确保设计各阶段的报批、各类评审等技术服务工作，详见设计任务书。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8789" w:type="dxa"/>
            <w:vAlign w:val="center"/>
          </w:tcPr>
          <w:p>
            <w:pPr>
              <w:spacing w:line="440" w:lineRule="exact"/>
              <w:jc w:val="both"/>
              <w:rPr>
                <w:rFonts w:hint="eastAsia" w:ascii="宋体" w:hAnsi="宋体" w:eastAsia="宋体" w:cs="宋体"/>
                <w:sz w:val="24"/>
                <w:szCs w:val="24"/>
              </w:rPr>
            </w:pPr>
            <w:r>
              <w:rPr>
                <w:rFonts w:hint="eastAsia" w:ascii="宋体" w:hAnsi="宋体" w:eastAsia="宋体" w:cs="宋体"/>
                <w:sz w:val="24"/>
                <w:szCs w:val="24"/>
              </w:rPr>
              <w:t>资金来源：财政拨款</w:t>
            </w:r>
          </w:p>
          <w:p>
            <w:pPr>
              <w:spacing w:line="440" w:lineRule="exact"/>
              <w:jc w:val="both"/>
              <w:rPr>
                <w:rFonts w:hint="eastAsia" w:ascii="宋体" w:hAnsi="宋体" w:eastAsia="宋体" w:cs="宋体"/>
                <w:sz w:val="24"/>
                <w:szCs w:val="24"/>
              </w:rPr>
            </w:pPr>
            <w:r>
              <w:rPr>
                <w:rFonts w:hint="eastAsia" w:ascii="宋体" w:hAnsi="宋体" w:eastAsia="宋体" w:cs="宋体"/>
                <w:sz w:val="24"/>
                <w:szCs w:val="24"/>
              </w:rPr>
              <w:t>招标方式：</w:t>
            </w:r>
            <w:r>
              <w:rPr>
                <w:rFonts w:hint="eastAsia" w:ascii="宋体" w:hAnsi="宋体" w:eastAsia="宋体" w:cs="宋体"/>
                <w:sz w:val="24"/>
                <w:szCs w:val="24"/>
                <w:lang w:eastAsia="zh-CN"/>
              </w:rPr>
              <w:t>公开</w:t>
            </w:r>
            <w:r>
              <w:rPr>
                <w:rFonts w:hint="eastAsia" w:ascii="宋体" w:hAnsi="宋体" w:eastAsia="宋体" w:cs="宋体"/>
                <w:sz w:val="24"/>
                <w:szCs w:val="24"/>
              </w:rPr>
              <w:t>招标</w:t>
            </w:r>
          </w:p>
          <w:p>
            <w:pPr>
              <w:spacing w:line="440" w:lineRule="exact"/>
              <w:jc w:val="both"/>
              <w:rPr>
                <w:rFonts w:hint="eastAsia" w:ascii="宋体" w:hAnsi="宋体" w:eastAsia="宋体" w:cs="宋体"/>
                <w:sz w:val="24"/>
                <w:szCs w:val="24"/>
              </w:rPr>
            </w:pPr>
            <w:r>
              <w:rPr>
                <w:rFonts w:hint="eastAsia" w:ascii="宋体" w:hAnsi="宋体" w:eastAsia="宋体" w:cs="宋体"/>
                <w:sz w:val="24"/>
                <w:szCs w:val="24"/>
              </w:rPr>
              <w:t>投标保证金：</w:t>
            </w:r>
          </w:p>
          <w:p>
            <w:pPr>
              <w:spacing w:line="440" w:lineRule="exact"/>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投标保证金的形式：汇票，不接受现金、本票等其他形式。</w:t>
            </w:r>
          </w:p>
          <w:p>
            <w:pPr>
              <w:spacing w:line="44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投标保证金的金额：人民币</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000</w:t>
            </w:r>
            <w:r>
              <w:rPr>
                <w:rFonts w:hint="eastAsia" w:ascii="宋体" w:hAnsi="宋体" w:eastAsia="宋体" w:cs="宋体"/>
                <w:sz w:val="24"/>
                <w:szCs w:val="24"/>
              </w:rPr>
              <w:t>元。</w:t>
            </w:r>
          </w:p>
          <w:p>
            <w:pPr>
              <w:spacing w:line="44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投标保证金必须以联合体牵头人的名义及联合体牵头人的企业法人基本存款帐户汇出，否则不予接受。</w:t>
            </w:r>
          </w:p>
          <w:p>
            <w:pPr>
              <w:spacing w:line="440" w:lineRule="exact"/>
              <w:jc w:val="both"/>
              <w:rPr>
                <w:rFonts w:hint="eastAsia" w:ascii="宋体" w:hAnsi="宋体" w:eastAsia="宋体" w:cs="宋体"/>
                <w:color w:val="000000" w:themeColor="text1"/>
                <w:sz w:val="23"/>
                <w:szCs w:val="23"/>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sz w:val="24"/>
                <w:szCs w:val="24"/>
              </w:rPr>
              <w:t>其他要求：详见招标文件投标人须知</w:t>
            </w:r>
            <w:r>
              <w:rPr>
                <w:rFonts w:hint="eastAsia" w:ascii="宋体" w:hAnsi="宋体" w:eastAsia="宋体" w:cs="宋体"/>
                <w:sz w:val="24"/>
                <w:szCs w:val="24"/>
                <w:lang w:val="en-US" w:eastAsia="zh-CN"/>
              </w:rPr>
              <w:t>11.1</w:t>
            </w:r>
            <w:r>
              <w:rPr>
                <w:rFonts w:hint="eastAsia" w:ascii="宋体" w:hAnsi="宋体" w:eastAsia="宋体" w:cs="宋体"/>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878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踏勘现场：自行踏勘，费用自理。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8789" w:type="dxa"/>
            <w:vAlign w:val="center"/>
          </w:tcPr>
          <w:p>
            <w:pPr>
              <w:spacing w:line="360" w:lineRule="auto"/>
              <w:rPr>
                <w:rFonts w:hint="eastAsia" w:ascii="宋体" w:hAnsi="宋体" w:eastAsia="宋体" w:cs="宋体"/>
                <w:highlight w:val="none"/>
              </w:rPr>
            </w:pPr>
            <w:r>
              <w:rPr>
                <w:rFonts w:hint="eastAsia" w:ascii="宋体" w:hAnsi="宋体" w:eastAsia="宋体" w:cs="宋体"/>
                <w:b/>
                <w:color w:val="000000" w:themeColor="text1"/>
                <w:sz w:val="24"/>
                <w:szCs w:val="24"/>
                <w14:textFill>
                  <w14:solidFill>
                    <w14:schemeClr w14:val="tx1"/>
                  </w14:solidFill>
                </w14:textFill>
              </w:rPr>
              <w:t>投标有效期：</w:t>
            </w:r>
            <w:r>
              <w:rPr>
                <w:rFonts w:hint="eastAsia" w:ascii="宋体" w:hAnsi="宋体" w:eastAsia="宋体" w:cs="宋体"/>
                <w:color w:val="000000" w:themeColor="text1"/>
                <w:sz w:val="24"/>
                <w:szCs w:val="24"/>
                <w14:textFill>
                  <w14:solidFill>
                    <w14:schemeClr w14:val="tx1"/>
                  </w14:solidFill>
                </w14:textFill>
              </w:rPr>
              <w:t>投标截止日</w:t>
            </w:r>
            <w:r>
              <w:rPr>
                <w:rFonts w:hint="eastAsia" w:ascii="宋体" w:hAnsi="宋体" w:eastAsia="宋体" w:cs="宋体"/>
                <w:color w:val="000000" w:themeColor="text1"/>
                <w:sz w:val="24"/>
                <w:szCs w:val="24"/>
                <w:highlight w:val="none"/>
                <w14:textFill>
                  <w14:solidFill>
                    <w14:schemeClr w14:val="tx1"/>
                  </w14:solidFill>
                </w14:textFill>
              </w:rPr>
              <w:t>后</w:t>
            </w:r>
            <w:r>
              <w:rPr>
                <w:rFonts w:hint="eastAsia" w:ascii="宋体" w:hAnsi="宋体" w:eastAsia="宋体" w:cs="宋体"/>
                <w:b/>
                <w:color w:val="000000" w:themeColor="text1"/>
                <w:sz w:val="24"/>
                <w:szCs w:val="24"/>
                <w:highlight w:val="none"/>
                <w:u w:val="single"/>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日历天内有效。</w:t>
            </w:r>
          </w:p>
          <w:p>
            <w:pPr>
              <w:pStyle w:val="15"/>
              <w:snapToGrid w:val="0"/>
              <w:spacing w:line="360" w:lineRule="auto"/>
              <w:ind w:firstLine="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投标文件份数：</w:t>
            </w:r>
          </w:p>
          <w:p>
            <w:pPr>
              <w:pStyle w:val="15"/>
              <w:snapToGrid w:val="0"/>
              <w:spacing w:line="360" w:lineRule="auto"/>
              <w:ind w:firstLine="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bCs/>
                <w:color w:val="000000" w:themeColor="text1"/>
                <w:sz w:val="24"/>
                <w:szCs w:val="24"/>
                <w:highlight w:val="none"/>
                <w14:textFill>
                  <w14:solidFill>
                    <w14:schemeClr w14:val="tx1"/>
                  </w14:solidFill>
                </w14:textFill>
              </w:rPr>
              <w:t>资格审查文件：正本</w:t>
            </w:r>
            <w:r>
              <w:rPr>
                <w:rFonts w:hint="eastAsia" w:ascii="宋体" w:hAnsi="宋体" w:eastAsia="宋体" w:cs="宋体"/>
                <w:bCs/>
                <w:color w:val="000000" w:themeColor="text1"/>
                <w:sz w:val="24"/>
                <w:szCs w:val="24"/>
                <w:highlight w:val="none"/>
                <w:u w:val="single"/>
                <w14:textFill>
                  <w14:solidFill>
                    <w14:schemeClr w14:val="tx1"/>
                  </w14:solidFill>
                </w14:textFill>
              </w:rPr>
              <w:t>壹</w:t>
            </w:r>
            <w:r>
              <w:rPr>
                <w:rFonts w:hint="eastAsia" w:ascii="宋体" w:hAnsi="宋体" w:eastAsia="宋体" w:cs="宋体"/>
                <w:bCs/>
                <w:color w:val="000000" w:themeColor="text1"/>
                <w:sz w:val="24"/>
                <w:szCs w:val="24"/>
                <w:highlight w:val="none"/>
                <w14:textFill>
                  <w14:solidFill>
                    <w14:schemeClr w14:val="tx1"/>
                  </w14:solidFill>
                </w14:textFill>
              </w:rPr>
              <w:t>份，副本</w:t>
            </w:r>
            <w:r>
              <w:rPr>
                <w:rFonts w:hint="eastAsia" w:ascii="宋体" w:hAnsi="宋体" w:eastAsia="宋体" w:cs="宋体"/>
                <w:bCs/>
                <w:color w:val="000000" w:themeColor="text1"/>
                <w:sz w:val="24"/>
                <w:szCs w:val="24"/>
                <w:highlight w:val="none"/>
                <w:u w:val="single"/>
                <w14:textFill>
                  <w14:solidFill>
                    <w14:schemeClr w14:val="tx1"/>
                  </w14:solidFill>
                </w14:textFill>
              </w:rPr>
              <w:t>肆</w:t>
            </w:r>
            <w:r>
              <w:rPr>
                <w:rFonts w:hint="eastAsia" w:ascii="宋体" w:hAnsi="宋体" w:eastAsia="宋体" w:cs="宋体"/>
                <w:bCs/>
                <w:color w:val="000000" w:themeColor="text1"/>
                <w:sz w:val="24"/>
                <w:szCs w:val="24"/>
                <w:highlight w:val="none"/>
                <w14:textFill>
                  <w14:solidFill>
                    <w14:schemeClr w14:val="tx1"/>
                  </w14:solidFill>
                </w14:textFill>
              </w:rPr>
              <w:t>份，共</w:t>
            </w:r>
            <w:r>
              <w:rPr>
                <w:rFonts w:hint="eastAsia" w:ascii="宋体" w:hAnsi="宋体" w:eastAsia="宋体" w:cs="宋体"/>
                <w:bCs/>
                <w:color w:val="000000" w:themeColor="text1"/>
                <w:sz w:val="24"/>
                <w:szCs w:val="24"/>
                <w:highlight w:val="none"/>
                <w:u w:val="single"/>
                <w14:textFill>
                  <w14:solidFill>
                    <w14:schemeClr w14:val="tx1"/>
                  </w14:solidFill>
                </w14:textFill>
              </w:rPr>
              <w:t>伍</w:t>
            </w:r>
            <w:r>
              <w:rPr>
                <w:rFonts w:hint="eastAsia" w:ascii="宋体" w:hAnsi="宋体" w:eastAsia="宋体" w:cs="宋体"/>
                <w:bCs/>
                <w:color w:val="000000" w:themeColor="text1"/>
                <w:sz w:val="24"/>
                <w:szCs w:val="24"/>
                <w:highlight w:val="none"/>
                <w14:textFill>
                  <w14:solidFill>
                    <w14:schemeClr w14:val="tx1"/>
                  </w14:solidFill>
                </w14:textFill>
              </w:rPr>
              <w:t>份；</w:t>
            </w:r>
          </w:p>
          <w:p>
            <w:pPr>
              <w:pStyle w:val="15"/>
              <w:snapToGrid w:val="0"/>
              <w:spacing w:line="360" w:lineRule="auto"/>
              <w:ind w:firstLine="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B.技术标（暗</w:t>
            </w:r>
            <w:r>
              <w:rPr>
                <w:rFonts w:hint="eastAsia" w:ascii="宋体" w:hAnsi="宋体" w:eastAsia="宋体" w:cs="宋体"/>
                <w:bCs/>
                <w:color w:val="000000" w:themeColor="text1"/>
                <w:sz w:val="24"/>
                <w:szCs w:val="24"/>
                <w:highlight w:val="none"/>
                <w14:textFill>
                  <w14:solidFill>
                    <w14:schemeClr w14:val="tx1"/>
                  </w14:solidFill>
                </w14:textFill>
              </w:rPr>
              <w:t>标）：书面材料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伍 </w:t>
            </w:r>
            <w:r>
              <w:rPr>
                <w:rFonts w:hint="eastAsia" w:ascii="宋体" w:hAnsi="宋体" w:eastAsia="宋体" w:cs="宋体"/>
                <w:bCs/>
                <w:color w:val="000000" w:themeColor="text1"/>
                <w:sz w:val="24"/>
                <w:szCs w:val="24"/>
                <w:highlight w:val="none"/>
                <w14:textFill>
                  <w14:solidFill>
                    <w14:schemeClr w14:val="tx1"/>
                  </w14:solidFill>
                </w14:textFill>
              </w:rPr>
              <w:t>份（不分正副本）。</w:t>
            </w:r>
          </w:p>
          <w:p>
            <w:pPr>
              <w:pStyle w:val="15"/>
              <w:snapToGrid w:val="0"/>
              <w:spacing w:line="360" w:lineRule="auto"/>
              <w:ind w:firstLine="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C.综合标：正本</w:t>
            </w:r>
            <w:r>
              <w:rPr>
                <w:rFonts w:hint="eastAsia" w:ascii="宋体" w:hAnsi="宋体" w:eastAsia="宋体" w:cs="宋体"/>
                <w:bCs/>
                <w:color w:val="000000" w:themeColor="text1"/>
                <w:sz w:val="24"/>
                <w:szCs w:val="24"/>
                <w:highlight w:val="none"/>
                <w:u w:val="single"/>
                <w14:textFill>
                  <w14:solidFill>
                    <w14:schemeClr w14:val="tx1"/>
                  </w14:solidFill>
                </w14:textFill>
              </w:rPr>
              <w:t>壹</w:t>
            </w:r>
            <w:r>
              <w:rPr>
                <w:rFonts w:hint="eastAsia" w:ascii="宋体" w:hAnsi="宋体" w:eastAsia="宋体" w:cs="宋体"/>
                <w:bCs/>
                <w:color w:val="000000" w:themeColor="text1"/>
                <w:sz w:val="24"/>
                <w:szCs w:val="24"/>
                <w:highlight w:val="none"/>
                <w14:textFill>
                  <w14:solidFill>
                    <w14:schemeClr w14:val="tx1"/>
                  </w14:solidFill>
                </w14:textFill>
              </w:rPr>
              <w:t>份，副本</w:t>
            </w:r>
            <w:r>
              <w:rPr>
                <w:rFonts w:hint="eastAsia" w:ascii="宋体" w:hAnsi="宋体" w:eastAsia="宋体" w:cs="宋体"/>
                <w:bCs/>
                <w:color w:val="000000" w:themeColor="text1"/>
                <w:sz w:val="24"/>
                <w:szCs w:val="24"/>
                <w:highlight w:val="none"/>
                <w:u w:val="single"/>
                <w14:textFill>
                  <w14:solidFill>
                    <w14:schemeClr w14:val="tx1"/>
                  </w14:solidFill>
                </w14:textFill>
              </w:rPr>
              <w:t>肆</w:t>
            </w:r>
            <w:r>
              <w:rPr>
                <w:rFonts w:hint="eastAsia" w:ascii="宋体" w:hAnsi="宋体" w:eastAsia="宋体" w:cs="宋体"/>
                <w:bCs/>
                <w:color w:val="000000" w:themeColor="text1"/>
                <w:sz w:val="24"/>
                <w:szCs w:val="24"/>
                <w:highlight w:val="none"/>
                <w14:textFill>
                  <w14:solidFill>
                    <w14:schemeClr w14:val="tx1"/>
                  </w14:solidFill>
                </w14:textFill>
              </w:rPr>
              <w:t>份，共</w:t>
            </w:r>
            <w:r>
              <w:rPr>
                <w:rFonts w:hint="eastAsia" w:ascii="宋体" w:hAnsi="宋体" w:eastAsia="宋体" w:cs="宋体"/>
                <w:bCs/>
                <w:color w:val="000000" w:themeColor="text1"/>
                <w:sz w:val="24"/>
                <w:szCs w:val="24"/>
                <w:highlight w:val="none"/>
                <w:u w:val="single"/>
                <w14:textFill>
                  <w14:solidFill>
                    <w14:schemeClr w14:val="tx1"/>
                  </w14:solidFill>
                </w14:textFill>
              </w:rPr>
              <w:t>伍</w:t>
            </w:r>
            <w:r>
              <w:rPr>
                <w:rFonts w:hint="eastAsia" w:ascii="宋体" w:hAnsi="宋体" w:eastAsia="宋体" w:cs="宋体"/>
                <w:bCs/>
                <w:color w:val="000000" w:themeColor="text1"/>
                <w:sz w:val="24"/>
                <w:szCs w:val="24"/>
                <w:highlight w:val="none"/>
                <w14:textFill>
                  <w14:solidFill>
                    <w14:schemeClr w14:val="tx1"/>
                  </w14:solidFill>
                </w14:textFill>
              </w:rPr>
              <w:t>份；</w:t>
            </w:r>
          </w:p>
          <w:p>
            <w:pPr>
              <w:pStyle w:val="15"/>
              <w:snapToGrid w:val="0"/>
              <w:spacing w:line="360" w:lineRule="auto"/>
              <w:ind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D.商务标：正本</w:t>
            </w:r>
            <w:r>
              <w:rPr>
                <w:rFonts w:hint="eastAsia" w:ascii="宋体" w:hAnsi="宋体" w:eastAsia="宋体" w:cs="宋体"/>
                <w:bCs/>
                <w:color w:val="000000" w:themeColor="text1"/>
                <w:sz w:val="24"/>
                <w:szCs w:val="24"/>
                <w:highlight w:val="none"/>
                <w:u w:val="single"/>
                <w14:textFill>
                  <w14:solidFill>
                    <w14:schemeClr w14:val="tx1"/>
                  </w14:solidFill>
                </w14:textFill>
              </w:rPr>
              <w:t>壹</w:t>
            </w:r>
            <w:r>
              <w:rPr>
                <w:rFonts w:hint="eastAsia" w:ascii="宋体" w:hAnsi="宋体" w:eastAsia="宋体" w:cs="宋体"/>
                <w:bCs/>
                <w:color w:val="000000" w:themeColor="text1"/>
                <w:sz w:val="24"/>
                <w:szCs w:val="24"/>
                <w:highlight w:val="none"/>
                <w14:textFill>
                  <w14:solidFill>
                    <w14:schemeClr w14:val="tx1"/>
                  </w14:solidFill>
                </w14:textFill>
              </w:rPr>
              <w:t>份，副本</w:t>
            </w:r>
            <w:r>
              <w:rPr>
                <w:rFonts w:hint="eastAsia" w:ascii="宋体" w:hAnsi="宋体" w:eastAsia="宋体" w:cs="宋体"/>
                <w:bCs/>
                <w:color w:val="000000" w:themeColor="text1"/>
                <w:sz w:val="24"/>
                <w:szCs w:val="24"/>
                <w:highlight w:val="none"/>
                <w:u w:val="single"/>
                <w14:textFill>
                  <w14:solidFill>
                    <w14:schemeClr w14:val="tx1"/>
                  </w14:solidFill>
                </w14:textFill>
              </w:rPr>
              <w:t>肆</w:t>
            </w:r>
            <w:r>
              <w:rPr>
                <w:rFonts w:hint="eastAsia" w:ascii="宋体" w:hAnsi="宋体" w:eastAsia="宋体" w:cs="宋体"/>
                <w:bCs/>
                <w:color w:val="000000" w:themeColor="text1"/>
                <w:sz w:val="24"/>
                <w:szCs w:val="24"/>
                <w:highlight w:val="none"/>
                <w14:textFill>
                  <w14:solidFill>
                    <w14:schemeClr w14:val="tx1"/>
                  </w14:solidFill>
                </w14:textFill>
              </w:rPr>
              <w:t>份，共</w:t>
            </w:r>
            <w:r>
              <w:rPr>
                <w:rFonts w:hint="eastAsia" w:ascii="宋体" w:hAnsi="宋体" w:eastAsia="宋体" w:cs="宋体"/>
                <w:bCs/>
                <w:color w:val="000000" w:themeColor="text1"/>
                <w:sz w:val="24"/>
                <w:szCs w:val="24"/>
                <w:highlight w:val="none"/>
                <w:u w:val="single"/>
                <w14:textFill>
                  <w14:solidFill>
                    <w14:schemeClr w14:val="tx1"/>
                  </w14:solidFill>
                </w14:textFill>
              </w:rPr>
              <w:t>伍</w:t>
            </w:r>
            <w:r>
              <w:rPr>
                <w:rFonts w:hint="eastAsia" w:ascii="宋体" w:hAnsi="宋体" w:eastAsia="宋体" w:cs="宋体"/>
                <w:bCs/>
                <w:color w:val="000000" w:themeColor="text1"/>
                <w:sz w:val="24"/>
                <w:szCs w:val="24"/>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878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投标文件递交截止时间：</w:t>
            </w:r>
            <w:r>
              <w:rPr>
                <w:rFonts w:hint="eastAsia" w:ascii="宋体" w:hAnsi="宋体" w:eastAsia="宋体" w:cs="宋体"/>
                <w:b/>
                <w:bCs/>
                <w:color w:val="000000" w:themeColor="text1"/>
                <w:kern w:val="0"/>
                <w:sz w:val="24"/>
                <w:szCs w:val="24"/>
                <w:u w:val="single"/>
                <w14:textFill>
                  <w14:solidFill>
                    <w14:schemeClr w14:val="tx1"/>
                  </w14:solidFill>
                </w14:textFill>
              </w:rPr>
              <w:t>2023</w:t>
            </w:r>
            <w:r>
              <w:rPr>
                <w:rFonts w:hint="eastAsia" w:ascii="宋体" w:hAnsi="宋体" w:eastAsia="宋体" w:cs="宋体"/>
                <w:b/>
                <w:bCs/>
                <w:color w:val="000000" w:themeColor="text1"/>
                <w:kern w:val="0"/>
                <w:sz w:val="24"/>
                <w:szCs w:val="24"/>
                <w14:textFill>
                  <w14:solidFill>
                    <w14:schemeClr w14:val="tx1"/>
                  </w14:solidFill>
                </w14:textFill>
              </w:rPr>
              <w:t>年</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u w:val="single"/>
                <w:lang w:val="en-US" w:eastAsia="zh-CN"/>
                <w14:textFill>
                  <w14:solidFill>
                    <w14:schemeClr w14:val="tx1"/>
                  </w14:solidFill>
                </w14:textFill>
              </w:rPr>
              <w:t>04</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月</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u w:val="single"/>
                <w:lang w:val="en-US" w:eastAsia="zh-CN"/>
                <w14:textFill>
                  <w14:solidFill>
                    <w14:schemeClr w14:val="tx1"/>
                  </w14:solidFill>
                </w14:textFill>
              </w:rPr>
              <w:t>24</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日</w:t>
            </w:r>
            <w:r>
              <w:rPr>
                <w:rFonts w:hint="eastAsia" w:ascii="宋体" w:hAnsi="宋体" w:eastAsia="宋体" w:cs="宋体"/>
                <w:b/>
                <w:bCs/>
                <w:color w:val="000000" w:themeColor="text1"/>
                <w:kern w:val="0"/>
                <w:sz w:val="24"/>
                <w:szCs w:val="24"/>
                <w:u w:val="single"/>
                <w14:textFill>
                  <w14:solidFill>
                    <w14:schemeClr w14:val="tx1"/>
                  </w14:solidFill>
                </w14:textFill>
              </w:rPr>
              <w:t xml:space="preserve"> 14 </w:t>
            </w:r>
            <w:r>
              <w:rPr>
                <w:rFonts w:hint="eastAsia" w:ascii="宋体" w:hAnsi="宋体" w:eastAsia="宋体" w:cs="宋体"/>
                <w:b/>
                <w:bCs/>
                <w:color w:val="000000" w:themeColor="text1"/>
                <w:kern w:val="0"/>
                <w:sz w:val="24"/>
                <w:szCs w:val="24"/>
                <w14:textFill>
                  <w14:solidFill>
                    <w14:schemeClr w14:val="tx1"/>
                  </w14:solidFill>
                </w14:textFill>
              </w:rPr>
              <w:t>时</w:t>
            </w:r>
            <w:r>
              <w:rPr>
                <w:rFonts w:hint="eastAsia" w:ascii="宋体" w:hAnsi="宋体" w:eastAsia="宋体" w:cs="宋体"/>
                <w:b/>
                <w:bCs/>
                <w:color w:val="000000" w:themeColor="text1"/>
                <w:kern w:val="0"/>
                <w:sz w:val="24"/>
                <w:szCs w:val="24"/>
                <w:u w:val="single"/>
                <w14:textFill>
                  <w14:solidFill>
                    <w14:schemeClr w14:val="tx1"/>
                  </w14:solidFill>
                </w14:textFill>
              </w:rPr>
              <w:t xml:space="preserve">00 </w:t>
            </w:r>
            <w:r>
              <w:rPr>
                <w:rFonts w:hint="eastAsia" w:ascii="宋体" w:hAnsi="宋体" w:eastAsia="宋体" w:cs="宋体"/>
                <w:b/>
                <w:bCs/>
                <w:color w:val="000000" w:themeColor="text1"/>
                <w:kern w:val="0"/>
                <w:sz w:val="24"/>
                <w:szCs w:val="24"/>
                <w14:textFill>
                  <w14:solidFill>
                    <w14:schemeClr w14:val="tx1"/>
                  </w14:solidFill>
                </w14:textFill>
              </w:rPr>
              <w:t>分</w:t>
            </w:r>
            <w:r>
              <w:rPr>
                <w:rFonts w:hint="eastAsia" w:ascii="宋体" w:hAnsi="宋体" w:eastAsia="宋体" w:cs="宋体"/>
                <w:color w:val="000000" w:themeColor="text1"/>
                <w:sz w:val="24"/>
                <w:szCs w:val="24"/>
                <w:u w:val="single"/>
                <w14:textFill>
                  <w14:solidFill>
                    <w14:schemeClr w14:val="tx1"/>
                  </w14:solidFill>
                </w14:textFill>
              </w:rPr>
              <w:t>（以北京时间为准）</w:t>
            </w:r>
          </w:p>
          <w:p>
            <w:pPr>
              <w:spacing w:line="36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提交地点：</w:t>
            </w:r>
            <w:r>
              <w:rPr>
                <w:rFonts w:hint="eastAsia" w:ascii="宋体" w:hAnsi="宋体" w:eastAsia="宋体" w:cs="宋体"/>
                <w:b/>
                <w:sz w:val="24"/>
                <w:szCs w:val="24"/>
                <w:u w:val="single"/>
              </w:rPr>
              <w:t>南通市崇川区青年中路128号，崇川区便民服务中心314会议室（东楼）</w:t>
            </w:r>
            <w:r>
              <w:rPr>
                <w:rFonts w:hint="eastAsia" w:ascii="宋体" w:hAnsi="宋体" w:eastAsia="宋体" w:cs="宋体"/>
                <w:color w:val="000000" w:themeColor="text1"/>
                <w:sz w:val="24"/>
                <w:szCs w:val="24"/>
                <w:u w:val="single"/>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kern w:val="0"/>
                <w:sz w:val="24"/>
                <w:szCs w:val="24"/>
                <w14:textFill>
                  <w14:solidFill>
                    <w14:schemeClr w14:val="tx1"/>
                  </w14:solidFill>
                </w14:textFill>
              </w:rPr>
              <w:t>特别提醒：开标地点停车位有限，请各潜在投标人合理选择交通工具，或提前到达投标地点。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8789" w:type="dxa"/>
            <w:vAlign w:val="center"/>
          </w:tcPr>
          <w:p>
            <w:pPr>
              <w:spacing w:line="360" w:lineRule="auto"/>
              <w:jc w:val="left"/>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w:t>
            </w:r>
            <w:r>
              <w:rPr>
                <w:rFonts w:hint="eastAsia" w:ascii="宋体" w:hAnsi="宋体" w:eastAsia="宋体" w:cs="宋体"/>
                <w:b/>
                <w:bCs/>
                <w:color w:val="000000" w:themeColor="text1"/>
                <w:kern w:val="0"/>
                <w:sz w:val="24"/>
                <w:szCs w:val="24"/>
                <w:u w:val="single"/>
                <w14:textFill>
                  <w14:solidFill>
                    <w14:schemeClr w14:val="tx1"/>
                  </w14:solidFill>
                </w14:textFill>
              </w:rPr>
              <w:t>2023</w:t>
            </w:r>
            <w:r>
              <w:rPr>
                <w:rFonts w:hint="eastAsia" w:ascii="宋体" w:hAnsi="宋体" w:eastAsia="宋体" w:cs="宋体"/>
                <w:b/>
                <w:bCs/>
                <w:color w:val="000000" w:themeColor="text1"/>
                <w:kern w:val="0"/>
                <w:sz w:val="24"/>
                <w:szCs w:val="24"/>
                <w14:textFill>
                  <w14:solidFill>
                    <w14:schemeClr w14:val="tx1"/>
                  </w14:solidFill>
                </w14:textFill>
              </w:rPr>
              <w:t>年</w:t>
            </w:r>
            <w:r>
              <w:rPr>
                <w:rFonts w:hint="eastAsia" w:ascii="宋体" w:hAnsi="宋体" w:cs="宋体"/>
                <w:b/>
                <w:bCs/>
                <w:color w:val="000000" w:themeColor="text1"/>
                <w:kern w:val="0"/>
                <w:sz w:val="24"/>
                <w:szCs w:val="24"/>
                <w:u w:val="single"/>
                <w:lang w:val="en-US" w:eastAsia="zh-CN"/>
                <w14:textFill>
                  <w14:solidFill>
                    <w14:schemeClr w14:val="tx1"/>
                  </w14:solidFill>
                </w14:textFill>
              </w:rPr>
              <w:t xml:space="preserve"> 04 </w:t>
            </w:r>
            <w:r>
              <w:rPr>
                <w:rFonts w:hint="eastAsia" w:ascii="宋体" w:hAnsi="宋体" w:eastAsia="宋体" w:cs="宋体"/>
                <w:b/>
                <w:bCs/>
                <w:color w:val="000000" w:themeColor="text1"/>
                <w:kern w:val="0"/>
                <w:sz w:val="24"/>
                <w:szCs w:val="24"/>
                <w14:textFill>
                  <w14:solidFill>
                    <w14:schemeClr w14:val="tx1"/>
                  </w14:solidFill>
                </w14:textFill>
              </w:rPr>
              <w:t>月</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u w:val="single"/>
                <w:lang w:val="en-US" w:eastAsia="zh-CN"/>
                <w14:textFill>
                  <w14:solidFill>
                    <w14:schemeClr w14:val="tx1"/>
                  </w14:solidFill>
                </w14:textFill>
              </w:rPr>
              <w:t>24</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日</w:t>
            </w:r>
            <w:r>
              <w:rPr>
                <w:rFonts w:hint="eastAsia" w:ascii="宋体" w:hAnsi="宋体" w:eastAsia="宋体" w:cs="宋体"/>
                <w:b/>
                <w:bCs/>
                <w:color w:val="000000" w:themeColor="text1"/>
                <w:kern w:val="0"/>
                <w:sz w:val="24"/>
                <w:szCs w:val="24"/>
                <w:u w:val="single"/>
                <w14:textFill>
                  <w14:solidFill>
                    <w14:schemeClr w14:val="tx1"/>
                  </w14:solidFill>
                </w14:textFill>
              </w:rPr>
              <w:t xml:space="preserve"> 14 </w:t>
            </w:r>
            <w:r>
              <w:rPr>
                <w:rFonts w:hint="eastAsia" w:ascii="宋体" w:hAnsi="宋体" w:eastAsia="宋体" w:cs="宋体"/>
                <w:b/>
                <w:bCs/>
                <w:color w:val="000000" w:themeColor="text1"/>
                <w:kern w:val="0"/>
                <w:sz w:val="24"/>
                <w:szCs w:val="24"/>
                <w14:textFill>
                  <w14:solidFill>
                    <w14:schemeClr w14:val="tx1"/>
                  </w14:solidFill>
                </w14:textFill>
              </w:rPr>
              <w:t>时</w:t>
            </w:r>
            <w:r>
              <w:rPr>
                <w:rFonts w:hint="eastAsia" w:ascii="宋体" w:hAnsi="宋体" w:eastAsia="宋体" w:cs="宋体"/>
                <w:b/>
                <w:bCs/>
                <w:color w:val="000000" w:themeColor="text1"/>
                <w:kern w:val="0"/>
                <w:sz w:val="24"/>
                <w:szCs w:val="24"/>
                <w:u w:val="single"/>
                <w14:textFill>
                  <w14:solidFill>
                    <w14:schemeClr w14:val="tx1"/>
                  </w14:solidFill>
                </w14:textFill>
              </w:rPr>
              <w:t xml:space="preserve">00 </w:t>
            </w:r>
            <w:r>
              <w:rPr>
                <w:rFonts w:hint="eastAsia" w:ascii="宋体" w:hAnsi="宋体" w:eastAsia="宋体" w:cs="宋体"/>
                <w:b/>
                <w:bCs/>
                <w:color w:val="000000" w:themeColor="text1"/>
                <w:kern w:val="0"/>
                <w:sz w:val="24"/>
                <w:szCs w:val="24"/>
                <w14:textFill>
                  <w14:solidFill>
                    <w14:schemeClr w14:val="tx1"/>
                  </w14:solidFill>
                </w14:textFill>
              </w:rPr>
              <w:t>分</w:t>
            </w:r>
            <w:r>
              <w:rPr>
                <w:rFonts w:hint="eastAsia" w:ascii="宋体" w:hAnsi="宋体" w:eastAsia="宋体" w:cs="宋体"/>
                <w:color w:val="000000" w:themeColor="text1"/>
                <w:sz w:val="23"/>
                <w:szCs w:val="23"/>
                <w:u w:val="single"/>
                <w14:textFill>
                  <w14:solidFill>
                    <w14:schemeClr w14:val="tx1"/>
                  </w14:solidFill>
                </w14:textFill>
              </w:rPr>
              <w:t>（以北京时间为准）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开标地点：</w:t>
            </w:r>
            <w:r>
              <w:rPr>
                <w:rFonts w:hint="eastAsia" w:ascii="宋体" w:hAnsi="宋体" w:eastAsia="宋体" w:cs="宋体"/>
                <w:b/>
                <w:bCs/>
                <w:color w:val="000000" w:themeColor="text1"/>
                <w:sz w:val="24"/>
                <w:szCs w:val="24"/>
                <w:u w:val="single"/>
                <w14:textFill>
                  <w14:solidFill>
                    <w14:schemeClr w14:val="tx1"/>
                  </w14:solidFill>
                </w14:textFill>
              </w:rPr>
              <w:t>南通市崇川区青年中路128号，崇川区便民服务中心314会议室（东楼）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8789" w:type="dxa"/>
            <w:vAlign w:val="center"/>
          </w:tcPr>
          <w:p>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评标专家确定方式：评标委员会构成</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人或</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人以上单数，由招标人按规定组建。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8789" w:type="dxa"/>
            <w:vAlign w:val="center"/>
          </w:tcPr>
          <w:p>
            <w:pPr>
              <w:spacing w:line="360" w:lineRule="exact"/>
              <w:rPr>
                <w:rFonts w:hint="eastAsia" w:ascii="宋体" w:hAnsi="宋体" w:eastAsia="宋体" w:cs="宋体"/>
                <w:sz w:val="24"/>
              </w:rPr>
            </w:pPr>
            <w:r>
              <w:rPr>
                <w:rFonts w:hint="eastAsia" w:ascii="宋体" w:hAnsi="宋体" w:eastAsia="宋体" w:cs="宋体"/>
                <w:sz w:val="24"/>
              </w:rPr>
              <w:t>履约保证金：</w:t>
            </w:r>
          </w:p>
          <w:p>
            <w:pPr>
              <w:spacing w:line="360" w:lineRule="exact"/>
              <w:rPr>
                <w:rFonts w:hint="eastAsia" w:ascii="宋体" w:hAnsi="宋体" w:eastAsia="宋体" w:cs="宋体"/>
                <w:sz w:val="24"/>
                <w:highlight w:val="none"/>
              </w:rPr>
            </w:pPr>
            <w:r>
              <w:rPr>
                <w:rFonts w:hint="eastAsia" w:ascii="宋体" w:hAnsi="宋体" w:eastAsia="宋体" w:cs="宋体"/>
                <w:sz w:val="24"/>
                <w:highlight w:val="none"/>
              </w:rPr>
              <w:t>金额：</w:t>
            </w:r>
            <w:r>
              <w:rPr>
                <w:rFonts w:hint="eastAsia" w:ascii="宋体" w:hAnsi="宋体" w:cs="宋体"/>
                <w:sz w:val="24"/>
                <w:highlight w:val="none"/>
                <w:lang w:val="en-US" w:eastAsia="zh-CN"/>
              </w:rPr>
              <w:t>5000元</w:t>
            </w:r>
            <w:r>
              <w:rPr>
                <w:rFonts w:hint="eastAsia" w:ascii="宋体" w:hAnsi="宋体" w:eastAsia="宋体" w:cs="宋体"/>
                <w:sz w:val="24"/>
                <w:highlight w:val="none"/>
              </w:rPr>
              <w:t xml:space="preserve"> </w:t>
            </w:r>
          </w:p>
          <w:p>
            <w:pPr>
              <w:spacing w:line="360" w:lineRule="exact"/>
              <w:rPr>
                <w:rFonts w:hint="eastAsia" w:ascii="宋体" w:hAnsi="宋体" w:eastAsia="宋体" w:cs="宋体"/>
                <w:sz w:val="24"/>
              </w:rPr>
            </w:pPr>
            <w:r>
              <w:rPr>
                <w:rFonts w:hint="eastAsia" w:ascii="宋体" w:hAnsi="宋体" w:eastAsia="宋体" w:cs="宋体"/>
                <w:sz w:val="24"/>
              </w:rPr>
              <w:t>形式：银行转账或银行保函</w:t>
            </w:r>
          </w:p>
          <w:p>
            <w:pPr>
              <w:spacing w:line="360" w:lineRule="exact"/>
              <w:rPr>
                <w:rFonts w:hint="eastAsia" w:ascii="宋体" w:hAnsi="宋体" w:eastAsia="宋体" w:cs="宋体"/>
                <w:sz w:val="24"/>
              </w:rPr>
            </w:pPr>
            <w:r>
              <w:rPr>
                <w:rFonts w:hint="eastAsia" w:ascii="宋体" w:hAnsi="宋体" w:eastAsia="宋体" w:cs="宋体"/>
                <w:sz w:val="24"/>
              </w:rPr>
              <w:t>履约保证金账户：同投标保证金账户</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rPr>
              <w:t>特别说明：若采用</w:t>
            </w:r>
            <w:r>
              <w:rPr>
                <w:rFonts w:hint="eastAsia" w:ascii="宋体" w:hAnsi="宋体" w:eastAsia="宋体" w:cs="宋体"/>
                <w:b/>
                <w:bCs/>
                <w:sz w:val="24"/>
              </w:rPr>
              <w:t>转账形式</w:t>
            </w:r>
            <w:r>
              <w:rPr>
                <w:rFonts w:hint="eastAsia" w:ascii="宋体" w:hAnsi="宋体" w:eastAsia="宋体" w:cs="宋体"/>
                <w:sz w:val="24"/>
              </w:rPr>
              <w:t>，</w:t>
            </w:r>
            <w:r>
              <w:rPr>
                <w:rFonts w:hint="eastAsia" w:ascii="宋体" w:hAnsi="宋体" w:eastAsia="宋体" w:cs="宋体"/>
                <w:b/>
                <w:bCs/>
                <w:sz w:val="24"/>
              </w:rPr>
              <w:t>必须标注</w:t>
            </w:r>
            <w:r>
              <w:rPr>
                <w:rFonts w:hint="eastAsia" w:ascii="宋体" w:hAnsi="宋体" w:eastAsia="宋体" w:cs="宋体"/>
                <w:sz w:val="24"/>
              </w:rPr>
              <w:t>项目名称及费用类别，如“****项目履约保证金”。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8789" w:type="dxa"/>
            <w:vAlign w:val="center"/>
          </w:tcPr>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招标人：南通市崇川区城市管理局</w:t>
            </w:r>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地址：南通市崇川区公园南苑31幢</w:t>
            </w:r>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联系人：唐女士       </w:t>
            </w:r>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电话:0513-89109031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8789" w:type="dxa"/>
            <w:vAlign w:val="center"/>
          </w:tcPr>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招标代理人：江苏中润工程建设咨询有限公司</w:t>
            </w:r>
          </w:p>
          <w:p>
            <w:pPr>
              <w:pStyle w:val="15"/>
              <w:tabs>
                <w:tab w:val="left" w:pos="1000"/>
              </w:tabs>
              <w:snapToGrid w:val="0"/>
              <w:spacing w:line="360" w:lineRule="auto"/>
              <w:ind w:firstLine="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eastAsia" w:ascii="宋体" w:hAnsi="宋体" w:eastAsia="宋体" w:cs="宋体"/>
                <w:color w:val="000000" w:themeColor="text1"/>
                <w:kern w:val="0"/>
                <w:sz w:val="24"/>
                <w:szCs w:val="24"/>
                <w14:textFill>
                  <w14:solidFill>
                    <w14:schemeClr w14:val="tx1"/>
                  </w14:solidFill>
                </w14:textFill>
              </w:rPr>
              <w:t>址：南通市崇川区崇川路58号</w:t>
            </w:r>
          </w:p>
          <w:p>
            <w:pPr>
              <w:pStyle w:val="15"/>
              <w:tabs>
                <w:tab w:val="left" w:pos="1000"/>
              </w:tabs>
              <w:snapToGrid w:val="0"/>
              <w:spacing w:line="360" w:lineRule="auto"/>
              <w:ind w:firstLine="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联系人：高工</w:t>
            </w:r>
          </w:p>
          <w:p>
            <w:pPr>
              <w:pStyle w:val="15"/>
              <w:tabs>
                <w:tab w:val="left" w:pos="1000"/>
              </w:tabs>
              <w:snapToGrid w:val="0"/>
              <w:spacing w:line="360" w:lineRule="auto"/>
              <w:ind w:firstLine="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联系电话：0513-55887778</w:t>
            </w:r>
          </w:p>
          <w:p>
            <w:pPr>
              <w:pStyle w:val="15"/>
              <w:tabs>
                <w:tab w:val="left" w:pos="1000"/>
              </w:tabs>
              <w:snapToGrid w:val="0"/>
              <w:spacing w:line="360" w:lineRule="auto"/>
              <w:ind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邮箱：379063100@qq.com</w:t>
            </w:r>
          </w:p>
        </w:tc>
      </w:tr>
    </w:tbl>
    <w:p>
      <w:pPr>
        <w:jc w:val="center"/>
        <w:outlineLvl w:val="1"/>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br w:type="page"/>
      </w:r>
      <w:bookmarkStart w:id="24" w:name="_Toc25658479"/>
      <w:bookmarkStart w:id="25" w:name="_Toc25659014"/>
      <w:bookmarkStart w:id="26" w:name="_Toc2861263"/>
      <w:bookmarkStart w:id="27" w:name="_Toc14851"/>
      <w:bookmarkStart w:id="28" w:name="_Toc31187"/>
      <w:r>
        <w:rPr>
          <w:rFonts w:hint="eastAsia" w:ascii="宋体" w:hAnsi="宋体" w:cs="宋体"/>
          <w:b/>
          <w:color w:val="000000" w:themeColor="text1"/>
          <w:sz w:val="36"/>
          <w14:textFill>
            <w14:solidFill>
              <w14:schemeClr w14:val="tx1"/>
            </w14:solidFill>
          </w14:textFill>
        </w:rPr>
        <w:t>二、投标须知</w:t>
      </w:r>
      <w:bookmarkEnd w:id="24"/>
      <w:bookmarkEnd w:id="25"/>
      <w:bookmarkEnd w:id="26"/>
      <w:bookmarkEnd w:id="27"/>
      <w:bookmarkEnd w:id="28"/>
    </w:p>
    <w:p>
      <w:pPr>
        <w:jc w:val="center"/>
        <w:outlineLvl w:val="2"/>
        <w:rPr>
          <w:rFonts w:ascii="宋体" w:hAnsi="宋体" w:cs="宋体"/>
          <w:b/>
          <w:color w:val="000000" w:themeColor="text1"/>
          <w:sz w:val="36"/>
          <w14:textFill>
            <w14:solidFill>
              <w14:schemeClr w14:val="tx1"/>
            </w14:solidFill>
          </w14:textFill>
        </w:rPr>
      </w:pPr>
      <w:bookmarkStart w:id="29" w:name="_Toc25659015"/>
      <w:bookmarkStart w:id="30" w:name="_Toc2861264"/>
      <w:bookmarkStart w:id="31" w:name="_Toc25658480"/>
      <w:r>
        <w:rPr>
          <w:rFonts w:hint="eastAsia" w:ascii="宋体" w:hAnsi="宋体" w:cs="宋体"/>
          <w:b/>
          <w:color w:val="000000" w:themeColor="text1"/>
          <w:sz w:val="32"/>
          <w14:textFill>
            <w14:solidFill>
              <w14:schemeClr w14:val="tx1"/>
            </w14:solidFill>
          </w14:textFill>
        </w:rPr>
        <w:t>（一）总则</w:t>
      </w:r>
      <w:bookmarkEnd w:id="29"/>
      <w:bookmarkEnd w:id="30"/>
      <w:bookmarkEnd w:id="31"/>
    </w:p>
    <w:p>
      <w:pPr>
        <w:snapToGrid w:val="0"/>
        <w:spacing w:line="360" w:lineRule="auto"/>
        <w:ind w:firstLine="480" w:firstLineChars="200"/>
        <w:rPr>
          <w:rFonts w:ascii="宋体" w:hAnsi="宋体" w:cs="宋体"/>
          <w:color w:val="000000" w:themeColor="text1"/>
          <w:sz w:val="24"/>
          <w:szCs w:val="25"/>
          <w14:textFill>
            <w14:solidFill>
              <w14:schemeClr w14:val="tx1"/>
            </w14:solidFill>
          </w14:textFill>
        </w:rPr>
      </w:pPr>
      <w:r>
        <w:rPr>
          <w:rFonts w:hint="eastAsia" w:ascii="宋体" w:hAnsi="宋体" w:cs="宋体"/>
          <w:color w:val="000000" w:themeColor="text1"/>
          <w:sz w:val="24"/>
          <w:szCs w:val="25"/>
          <w14:textFill>
            <w14:solidFill>
              <w14:schemeClr w14:val="tx1"/>
            </w14:solidFill>
          </w14:textFill>
        </w:rPr>
        <w:t>1、工程说明</w:t>
      </w:r>
    </w:p>
    <w:p>
      <w:pPr>
        <w:snapToGrid w:val="0"/>
        <w:spacing w:line="360" w:lineRule="auto"/>
        <w:ind w:firstLine="480" w:firstLineChars="200"/>
        <w:rPr>
          <w:rFonts w:ascii="宋体" w:hAnsi="宋体" w:cs="宋体"/>
          <w:color w:val="000000" w:themeColor="text1"/>
          <w:sz w:val="24"/>
          <w:szCs w:val="25"/>
          <w14:textFill>
            <w14:solidFill>
              <w14:schemeClr w14:val="tx1"/>
            </w14:solidFill>
          </w14:textFill>
        </w:rPr>
      </w:pPr>
      <w:r>
        <w:rPr>
          <w:rFonts w:hint="eastAsia" w:ascii="宋体" w:hAnsi="宋体" w:cs="宋体"/>
          <w:color w:val="000000" w:themeColor="text1"/>
          <w:sz w:val="24"/>
          <w:szCs w:val="25"/>
          <w14:textFill>
            <w14:solidFill>
              <w14:schemeClr w14:val="tx1"/>
            </w14:solidFill>
          </w14:textFill>
        </w:rPr>
        <w:t>1.1</w:t>
      </w:r>
      <w:r>
        <w:rPr>
          <w:rFonts w:hint="eastAsia" w:ascii="宋体" w:hAnsi="宋体" w:cs="宋体"/>
          <w:color w:val="000000" w:themeColor="text1"/>
          <w:spacing w:val="-6"/>
          <w:sz w:val="24"/>
          <w:szCs w:val="25"/>
          <w14:textFill>
            <w14:solidFill>
              <w14:schemeClr w14:val="tx1"/>
            </w14:solidFill>
          </w14:textFill>
        </w:rPr>
        <w:t>本招标工程说明详见投标须知前附表（以下简称“前附表”）第1项</w:t>
      </w:r>
      <w:r>
        <w:rPr>
          <w:rFonts w:hint="eastAsia" w:ascii="宋体" w:hAnsi="宋体" w:cs="宋体"/>
          <w:color w:val="000000" w:themeColor="text1"/>
          <w:sz w:val="24"/>
          <w:szCs w:val="25"/>
          <w14:textFill>
            <w14:solidFill>
              <w14:schemeClr w14:val="tx1"/>
            </w14:solidFill>
          </w14:textFill>
        </w:rPr>
        <w:t>。</w:t>
      </w:r>
    </w:p>
    <w:p>
      <w:pPr>
        <w:pStyle w:val="15"/>
        <w:tabs>
          <w:tab w:val="left" w:pos="10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1.2本招标工程项目按照《中华人民共和国招标投标法》等有关法律、行政法规和部门规章以及地方政府部门有关规定，通过公开招标方式选定设计单位。</w:t>
      </w:r>
    </w:p>
    <w:p>
      <w:pPr>
        <w:pStyle w:val="15"/>
        <w:tabs>
          <w:tab w:val="left" w:pos="10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2、招标内容和范围、设计周期及设计工作要求</w:t>
      </w:r>
    </w:p>
    <w:p>
      <w:pPr>
        <w:pStyle w:val="15"/>
        <w:tabs>
          <w:tab w:val="left" w:pos="10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本次招标的内容和范围见前附表第2项；</w:t>
      </w:r>
    </w:p>
    <w:p>
      <w:pPr>
        <w:pStyle w:val="15"/>
        <w:tabs>
          <w:tab w:val="left" w:pos="10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本工程设计周期要求见前附表第1项；</w:t>
      </w:r>
    </w:p>
    <w:p>
      <w:pPr>
        <w:pStyle w:val="15"/>
        <w:tabs>
          <w:tab w:val="left" w:pos="10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3、资金来源</w:t>
      </w:r>
    </w:p>
    <w:p>
      <w:pPr>
        <w:pStyle w:val="15"/>
        <w:tabs>
          <w:tab w:val="left" w:pos="10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3.1本工程资金来源见前附表第3项。</w:t>
      </w:r>
    </w:p>
    <w:p>
      <w:pPr>
        <w:pStyle w:val="15"/>
        <w:tabs>
          <w:tab w:val="left" w:pos="10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4、投标人资格要求</w:t>
      </w:r>
    </w:p>
    <w:p>
      <w:pPr>
        <w:pStyle w:val="42"/>
        <w:shd w:val="clear" w:color="auto" w:fill="FFFFFF"/>
        <w:spacing w:before="0" w:beforeAutospacing="0" w:after="0" w:afterAutospacing="0" w:line="460" w:lineRule="atLeast"/>
        <w:ind w:firstLine="42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4.1申请人资质类别和等级：</w:t>
      </w:r>
      <w:r>
        <w:rPr>
          <w:rFonts w:hint="eastAsia"/>
          <w:color w:val="000000" w:themeColor="text1"/>
          <w:szCs w:val="24"/>
          <w:u w:val="single"/>
          <w14:textFill>
            <w14:solidFill>
              <w14:schemeClr w14:val="tx1"/>
            </w14:solidFill>
          </w14:textFill>
        </w:rPr>
        <w:t>必须持有营业执照或事业单位法人证书并取得法人资格；且具备①或②：</w:t>
      </w:r>
    </w:p>
    <w:p>
      <w:pPr>
        <w:pStyle w:val="42"/>
        <w:shd w:val="clear" w:color="auto" w:fill="FFFFFF"/>
        <w:spacing w:before="0" w:beforeAutospacing="0" w:after="0" w:afterAutospacing="0" w:line="460" w:lineRule="atLeast"/>
        <w:ind w:firstLine="422"/>
        <w:rPr>
          <w:color w:val="000000" w:themeColor="text1"/>
          <w:szCs w:val="24"/>
          <w:u w:val="single"/>
          <w14:textFill>
            <w14:solidFill>
              <w14:schemeClr w14:val="tx1"/>
            </w14:solidFill>
          </w14:textFill>
        </w:rPr>
      </w:pPr>
      <w:r>
        <w:rPr>
          <w:rFonts w:hint="eastAsia"/>
          <w:color w:val="000000" w:themeColor="text1"/>
          <w:szCs w:val="24"/>
          <w:u w:val="single"/>
          <w14:textFill>
            <w14:solidFill>
              <w14:schemeClr w14:val="tx1"/>
            </w14:solidFill>
          </w14:textFill>
        </w:rPr>
        <w:t>①工程设计综合甲级资质或建筑行业设计乙级及以上资质或建筑行业（建筑工程）专业设计乙级及以上资质；</w:t>
      </w:r>
    </w:p>
    <w:p>
      <w:pPr>
        <w:pStyle w:val="42"/>
        <w:shd w:val="clear" w:color="auto" w:fill="FFFFFF"/>
        <w:spacing w:before="0" w:beforeAutospacing="0" w:after="0" w:afterAutospacing="0" w:line="460" w:lineRule="atLeast"/>
        <w:ind w:firstLine="422"/>
        <w:rPr>
          <w:color w:val="000000" w:themeColor="text1"/>
          <w:szCs w:val="24"/>
          <w:u w:val="single"/>
          <w14:textFill>
            <w14:solidFill>
              <w14:schemeClr w14:val="tx1"/>
            </w14:solidFill>
          </w14:textFill>
        </w:rPr>
      </w:pPr>
      <w:r>
        <w:rPr>
          <w:rFonts w:hint="eastAsia"/>
          <w:color w:val="000000" w:themeColor="text1"/>
          <w:szCs w:val="24"/>
          <w:u w:val="single"/>
          <w14:textFill>
            <w14:solidFill>
              <w14:schemeClr w14:val="tx1"/>
            </w14:solidFill>
          </w14:textFill>
        </w:rPr>
        <w:t>②照明工程设计专项乙级及以上资质。</w:t>
      </w:r>
    </w:p>
    <w:p>
      <w:pPr>
        <w:pStyle w:val="42"/>
        <w:shd w:val="clear" w:color="auto" w:fill="FFFFFF"/>
        <w:spacing w:before="0" w:beforeAutospacing="0" w:after="0" w:afterAutospacing="0" w:line="460" w:lineRule="atLeast"/>
        <w:ind w:firstLine="422"/>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4.2拟派项目设计负责人资格要求：</w:t>
      </w:r>
      <w:r>
        <w:rPr>
          <w:rFonts w:hint="eastAsia"/>
          <w:color w:val="000000" w:themeColor="text1"/>
          <w:szCs w:val="24"/>
          <w:u w:val="single"/>
          <w14:textFill>
            <w14:solidFill>
              <w14:schemeClr w14:val="tx1"/>
            </w14:solidFill>
          </w14:textFill>
        </w:rPr>
        <w:t>具备国家一级注册建筑师执业资格（须在注册有效期内且注册单位为所投标单位）或工程类工程师高级及以上技术职称。（如为联合体投标，项目负责人须来自联合体牵头人）；</w:t>
      </w:r>
    </w:p>
    <w:p>
      <w:pPr>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4.3资格审查的必要合格条件</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 1 \* GB3 \* MERGEFORMAT </w:instrText>
      </w:r>
      <w:r>
        <w:rPr>
          <w:rFonts w:hint="eastAsia" w:ascii="宋体" w:hAnsi="宋体" w:cs="宋体"/>
          <w:color w:val="000000" w:themeColor="text1"/>
          <w:kern w:val="0"/>
          <w:sz w:val="24"/>
          <w:szCs w:val="24"/>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①</w: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 xml:space="preserve"> 具有独立订立合同及履行合同的能力；</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 2 \* GB3 \* MERGEFORMAT </w:instrText>
      </w:r>
      <w:r>
        <w:rPr>
          <w:rFonts w:hint="eastAsia" w:ascii="宋体" w:hAnsi="宋体" w:cs="宋体"/>
          <w:color w:val="000000" w:themeColor="text1"/>
          <w:kern w:val="0"/>
          <w:sz w:val="24"/>
          <w:szCs w:val="24"/>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②</w: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未处于被责令停业、投标资格被取消或者财产被接管、冻结和破产状态；</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 3 \* GB3 \* MERGEFORMAT </w:instrText>
      </w:r>
      <w:r>
        <w:rPr>
          <w:rFonts w:hint="eastAsia" w:ascii="宋体" w:hAnsi="宋体" w:cs="宋体"/>
          <w:color w:val="000000" w:themeColor="text1"/>
          <w:kern w:val="0"/>
          <w:sz w:val="24"/>
          <w:szCs w:val="24"/>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③</w: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 xml:space="preserve"> 企业没有因骗取中标或者严重违约以及发生重大工程质量、安全生产事故等问题，被有关部门暂停投标资格并在暂停期内的；</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 4 \* GB3 \* MERGEFORMAT </w:instrText>
      </w:r>
      <w:r>
        <w:rPr>
          <w:rFonts w:hint="eastAsia" w:ascii="宋体" w:hAnsi="宋体" w:cs="宋体"/>
          <w:color w:val="000000" w:themeColor="text1"/>
          <w:kern w:val="0"/>
          <w:sz w:val="24"/>
          <w:szCs w:val="24"/>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④</w: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 xml:space="preserve"> 企业的资质类别、等级和项目设计负责人的资质等级满足招标要求；</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fldChar w:fldCharType="begin"/>
      </w:r>
      <w:r>
        <w:rPr>
          <w:rFonts w:hint="eastAsia" w:ascii="宋体" w:hAnsi="宋体" w:cs="宋体"/>
          <w:color w:val="000000" w:themeColor="text1"/>
          <w:kern w:val="0"/>
          <w:sz w:val="24"/>
          <w:szCs w:val="24"/>
          <w14:textFill>
            <w14:solidFill>
              <w14:schemeClr w14:val="tx1"/>
            </w14:solidFill>
          </w14:textFill>
        </w:rPr>
        <w:instrText xml:space="preserve"> = 5 \* GB3 \* MERGEFORMAT </w:instrText>
      </w:r>
      <w:r>
        <w:rPr>
          <w:rFonts w:hint="eastAsia" w:ascii="宋体" w:hAnsi="宋体" w:cs="宋体"/>
          <w:color w:val="000000" w:themeColor="text1"/>
          <w:kern w:val="0"/>
          <w:sz w:val="24"/>
          <w:szCs w:val="24"/>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⑤</w: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 xml:space="preserve"> 投标文件中的重要内容没有失实或者弄虚作假；</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4.4本次招标接受联合体投标。  </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若为联合体投标，还应满足下列要求： </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A.联合体所有成员数量不得超过2家，投标过程由联合体牵头人负责； </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B.联合体各方应按招标文件提供的格式签订联合体协议书，明确联合体牵头人和各方权利义务，并承诺就中标项目向招标人承担连带责任； </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C.由同一专业的单位组成的联合体，按照资质等级较低的单位确定资质等级； </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D.联合体各方不得再以自己名义单独或参加其他联合体进行投标； </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E.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 </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F.尽管委任了联合体牵头人，但联合体各成员在投标、签定合同与履行合同过程中，仍负有连带的和各自的法律责任。</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5、投标费用</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本工程招标文件费用</w:t>
      </w:r>
      <w:r>
        <w:rPr>
          <w:rFonts w:hint="eastAsia" w:ascii="宋体" w:hAnsi="宋体" w:cs="宋体"/>
          <w:color w:val="000000" w:themeColor="text1"/>
          <w:kern w:val="0"/>
          <w:sz w:val="24"/>
          <w:szCs w:val="24"/>
          <w:highlight w:val="none"/>
          <w14:textFill>
            <w14:solidFill>
              <w14:schemeClr w14:val="tx1"/>
            </w14:solidFill>
          </w14:textFill>
        </w:rPr>
        <w:t>人民币300元，无</w:t>
      </w:r>
      <w:r>
        <w:rPr>
          <w:rFonts w:hint="eastAsia" w:ascii="宋体" w:hAnsi="宋体" w:cs="宋体"/>
          <w:color w:val="000000" w:themeColor="text1"/>
          <w:kern w:val="0"/>
          <w:sz w:val="24"/>
          <w:szCs w:val="24"/>
          <w14:textFill>
            <w14:solidFill>
              <w14:schemeClr w14:val="tx1"/>
            </w14:solidFill>
          </w14:textFill>
        </w:rPr>
        <w:t>论是否中标，该费用不予退还。该费用须与投标文件一并递交，否则其投标文件将被拒绝接收。</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投标人应承担投标文件编制与递交等参加本次招标活动所涉及的一切费用。无论投标结果如何，招标人对上述费用不负任何责任。</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其他说明：</w:t>
      </w:r>
    </w:p>
    <w:p>
      <w:pPr>
        <w:spacing w:line="44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1、投标人所提交的投标文件不退还。</w:t>
      </w:r>
    </w:p>
    <w:p>
      <w:pPr>
        <w:snapToGrid w:val="0"/>
        <w:spacing w:line="360" w:lineRule="auto"/>
        <w:ind w:firstLine="480" w:firstLineChars="200"/>
        <w:rPr>
          <w:rFonts w:ascii="宋体" w:hAnsi="宋体" w:cs="宋体"/>
          <w:color w:val="000000" w:themeColor="text1"/>
          <w:sz w:val="24"/>
          <w:szCs w:val="25"/>
          <w14:textFill>
            <w14:solidFill>
              <w14:schemeClr w14:val="tx1"/>
            </w14:solidFill>
          </w14:textFill>
        </w:rPr>
      </w:pPr>
    </w:p>
    <w:p>
      <w:pPr>
        <w:snapToGrid w:val="0"/>
        <w:spacing w:line="360" w:lineRule="auto"/>
        <w:jc w:val="center"/>
        <w:outlineLvl w:val="2"/>
        <w:rPr>
          <w:rFonts w:ascii="宋体" w:hAnsi="宋体" w:cs="宋体"/>
          <w:b/>
          <w:color w:val="000000" w:themeColor="text1"/>
          <w:sz w:val="32"/>
          <w14:textFill>
            <w14:solidFill>
              <w14:schemeClr w14:val="tx1"/>
            </w14:solidFill>
          </w14:textFill>
        </w:rPr>
      </w:pPr>
      <w:bookmarkStart w:id="32" w:name="_Toc25659016"/>
      <w:r>
        <w:rPr>
          <w:rFonts w:hint="eastAsia" w:ascii="宋体" w:hAnsi="宋体" w:cs="宋体"/>
          <w:b/>
          <w:color w:val="000000" w:themeColor="text1"/>
          <w:sz w:val="32"/>
          <w14:textFill>
            <w14:solidFill>
              <w14:schemeClr w14:val="tx1"/>
            </w14:solidFill>
          </w14:textFill>
        </w:rPr>
        <w:t>（二）招标文件内容、澄清及修改</w:t>
      </w:r>
      <w:bookmarkEnd w:id="32"/>
    </w:p>
    <w:p>
      <w:pPr>
        <w:spacing w:line="440" w:lineRule="exact"/>
        <w:ind w:firstLine="480" w:firstLineChars="200"/>
        <w:jc w:val="left"/>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6、招标文件的组成</w:t>
      </w:r>
    </w:p>
    <w:p>
      <w:pPr>
        <w:spacing w:line="440" w:lineRule="exact"/>
        <w:ind w:firstLine="480" w:firstLineChars="200"/>
        <w:jc w:val="left"/>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6.1招标文件包括下列内容:</w:t>
      </w:r>
    </w:p>
    <w:p>
      <w:pPr>
        <w:spacing w:line="440" w:lineRule="exact"/>
        <w:ind w:firstLine="480" w:firstLineChars="200"/>
        <w:jc w:val="left"/>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第一章：招标</w:t>
      </w:r>
      <w:r>
        <w:rPr>
          <w:rFonts w:hint="eastAsia" w:ascii="宋体" w:hAnsi="宋体" w:cs="宋体"/>
          <w:color w:val="000000" w:themeColor="text1"/>
          <w:sz w:val="24"/>
          <w:szCs w:val="22"/>
          <w:lang w:eastAsia="zh-CN"/>
          <w14:textFill>
            <w14:solidFill>
              <w14:schemeClr w14:val="tx1"/>
            </w14:solidFill>
          </w14:textFill>
        </w:rPr>
        <w:t>公告</w:t>
      </w:r>
    </w:p>
    <w:p>
      <w:pPr>
        <w:spacing w:line="440" w:lineRule="exact"/>
        <w:ind w:firstLine="480" w:firstLineChars="200"/>
        <w:jc w:val="left"/>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第二章：投标须知及其前附表</w:t>
      </w:r>
    </w:p>
    <w:p>
      <w:pPr>
        <w:spacing w:line="440" w:lineRule="exact"/>
        <w:ind w:firstLine="480" w:firstLineChars="200"/>
        <w:jc w:val="left"/>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第三章：设计任务书</w:t>
      </w:r>
    </w:p>
    <w:p>
      <w:pPr>
        <w:spacing w:line="440" w:lineRule="exact"/>
        <w:ind w:firstLine="480" w:firstLineChars="200"/>
        <w:jc w:val="left"/>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第四章：合同条款</w:t>
      </w:r>
    </w:p>
    <w:p>
      <w:pPr>
        <w:spacing w:line="440" w:lineRule="exact"/>
        <w:ind w:firstLine="480" w:firstLineChars="200"/>
        <w:jc w:val="left"/>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第五章：投标文件格式</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第六章：评标办法</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6.2除上述内容外，招标人发出的对招标文件的所有澄清和修改内容，均作为招标文件的组成部分，对招标人和投标人起约束作用。</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6.3投标人应认真审阅招标文件所有的内容，如果投标人的投标文件不能实质性地响应招标文件要求，将作废标处理。</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6.4招标文件的澄清</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6.4.1</w:t>
      </w:r>
      <w:r>
        <w:rPr>
          <w:rFonts w:hint="eastAsia" w:ascii="宋体" w:hAnsi="宋体" w:eastAsia="宋体" w:cs="宋体"/>
          <w:color w:val="000000" w:themeColor="text1"/>
          <w:kern w:val="0"/>
          <w:sz w:val="24"/>
          <w:szCs w:val="24"/>
          <w14:textFill>
            <w14:solidFill>
              <w14:schemeClr w14:val="tx1"/>
            </w14:solidFill>
          </w14:textFill>
        </w:rPr>
        <w:t>投标人应仔细阅读和检查招标文件的全部内容，投标人如有疑问，应在</w:t>
      </w:r>
      <w:r>
        <w:rPr>
          <w:rFonts w:hint="eastAsia" w:ascii="宋体" w:hAnsi="宋体" w:eastAsia="宋体" w:cs="宋体"/>
          <w:color w:val="000000" w:themeColor="text1"/>
          <w:kern w:val="0"/>
          <w:sz w:val="24"/>
          <w:szCs w:val="24"/>
          <w:lang w:val="en-US" w:eastAsia="zh-CN"/>
          <w14:textFill>
            <w14:solidFill>
              <w14:schemeClr w14:val="tx1"/>
            </w14:solidFill>
          </w14:textFill>
        </w:rPr>
        <w:t>2023年</w:t>
      </w:r>
      <w:r>
        <w:rPr>
          <w:rFonts w:hint="eastAsia" w:ascii="宋体" w:hAnsi="宋体" w:cs="宋体"/>
          <w:color w:val="000000" w:themeColor="text1"/>
          <w:kern w:val="0"/>
          <w:sz w:val="24"/>
          <w:szCs w:val="24"/>
          <w:lang w:val="en-US" w:eastAsia="zh-CN"/>
          <w14:textFill>
            <w14:solidFill>
              <w14:schemeClr w14:val="tx1"/>
            </w14:solidFill>
          </w14:textFill>
        </w:rPr>
        <w:t>04</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08</w:t>
      </w:r>
      <w:r>
        <w:rPr>
          <w:rFonts w:hint="eastAsia" w:ascii="宋体" w:hAnsi="宋体" w:eastAsia="宋体" w:cs="宋体"/>
          <w:color w:val="000000" w:themeColor="text1"/>
          <w:kern w:val="0"/>
          <w:sz w:val="24"/>
          <w:szCs w:val="24"/>
          <w:lang w:val="en-US" w:eastAsia="zh-CN"/>
          <w14:textFill>
            <w14:solidFill>
              <w14:schemeClr w14:val="tx1"/>
            </w14:solidFill>
          </w14:textFill>
        </w:rPr>
        <w:t>日前</w:t>
      </w:r>
      <w:r>
        <w:rPr>
          <w:rFonts w:hint="eastAsia" w:ascii="宋体" w:hAnsi="宋体" w:eastAsia="宋体" w:cs="宋体"/>
          <w:color w:val="000000" w:themeColor="text1"/>
          <w:kern w:val="0"/>
          <w:sz w:val="24"/>
          <w:szCs w:val="24"/>
          <w14:textFill>
            <w14:solidFill>
              <w14:schemeClr w14:val="tx1"/>
            </w14:solidFill>
          </w14:textFill>
        </w:rPr>
        <w:t>，发送邮件至</w:t>
      </w:r>
      <w:r>
        <w:rPr>
          <w:rFonts w:hint="eastAsia" w:ascii="宋体" w:hAnsi="宋体" w:eastAsia="宋体" w:cs="宋体"/>
          <w:b/>
          <w:bCs/>
          <w:color w:val="000000" w:themeColor="text1"/>
          <w:kern w:val="0"/>
          <w:sz w:val="24"/>
          <w:szCs w:val="24"/>
          <w:u w:val="single"/>
          <w14:textFill>
            <w14:solidFill>
              <w14:schemeClr w14:val="tx1"/>
            </w14:solidFill>
          </w14:textFill>
        </w:rPr>
        <w:t>379063100@163.com</w:t>
      </w:r>
      <w:r>
        <w:rPr>
          <w:rFonts w:hint="eastAsia" w:ascii="宋体" w:hAnsi="宋体" w:eastAsia="宋体" w:cs="宋体"/>
          <w:color w:val="000000" w:themeColor="text1"/>
          <w:kern w:val="0"/>
          <w:sz w:val="24"/>
          <w:szCs w:val="24"/>
          <w14:textFill>
            <w14:solidFill>
              <w14:schemeClr w14:val="tx1"/>
            </w14:solidFill>
          </w14:textFill>
        </w:rPr>
        <w:t xml:space="preserve">(不具名），要求招标人对招标文件予以澄清。 </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投标人不在澄清期限内提出，招标人有权不予答复。 </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6.4.2</w:t>
      </w:r>
      <w:r>
        <w:rPr>
          <w:rFonts w:hint="eastAsia" w:ascii="宋体" w:hAnsi="宋体" w:eastAsia="宋体" w:cs="宋体"/>
          <w:color w:val="000000" w:themeColor="text1"/>
          <w:kern w:val="0"/>
          <w:sz w:val="24"/>
          <w:szCs w:val="24"/>
          <w14:textFill>
            <w14:solidFill>
              <w14:schemeClr w14:val="tx1"/>
            </w14:solidFill>
          </w14:textFill>
        </w:rPr>
        <w:t xml:space="preserve"> 招标文件的澄清将在</w:t>
      </w:r>
      <w:r>
        <w:rPr>
          <w:rFonts w:hint="eastAsia" w:ascii="宋体" w:hAnsi="宋体" w:eastAsia="宋体" w:cs="宋体"/>
          <w:color w:val="000000" w:themeColor="text1"/>
          <w:kern w:val="0"/>
          <w:sz w:val="24"/>
          <w:szCs w:val="24"/>
          <w:lang w:val="en-US" w:eastAsia="zh-CN"/>
          <w14:textFill>
            <w14:solidFill>
              <w14:schemeClr w14:val="tx1"/>
            </w14:solidFill>
          </w14:textFill>
        </w:rPr>
        <w:t>2023年</w:t>
      </w:r>
      <w:r>
        <w:rPr>
          <w:rFonts w:hint="eastAsia" w:ascii="宋体" w:hAnsi="宋体" w:cs="宋体"/>
          <w:color w:val="000000" w:themeColor="text1"/>
          <w:kern w:val="0"/>
          <w:sz w:val="24"/>
          <w:szCs w:val="24"/>
          <w:lang w:val="en-US" w:eastAsia="zh-CN"/>
          <w14:textFill>
            <w14:solidFill>
              <w14:schemeClr w14:val="tx1"/>
            </w14:solidFill>
          </w14:textFill>
        </w:rPr>
        <w:t>04</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eastAsia="zh-CN"/>
          <w14:textFill>
            <w14:solidFill>
              <w14:schemeClr w14:val="tx1"/>
            </w14:solidFill>
          </w14:textFill>
        </w:rPr>
        <w:t>日</w:t>
      </w:r>
      <w:r>
        <w:rPr>
          <w:rFonts w:hint="eastAsia" w:ascii="宋体" w:hAnsi="宋体" w:eastAsia="宋体" w:cs="宋体"/>
          <w:color w:val="000000" w:themeColor="text1"/>
          <w:kern w:val="0"/>
          <w:sz w:val="24"/>
          <w:szCs w:val="24"/>
          <w14:textFill>
            <w14:solidFill>
              <w14:schemeClr w14:val="tx1"/>
            </w14:solidFill>
          </w14:textFill>
        </w:rPr>
        <w:t>前通过“南通市崇川区人民政府网（http://www.chongchuan.gov.cn/）”发给所有投标人，但招标人不指明澄清问题的来源，招标人不再另行通知。</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6.4</w:t>
      </w:r>
      <w:r>
        <w:rPr>
          <w:rFonts w:hint="eastAsia" w:ascii="宋体" w:hAnsi="宋体" w:eastAsia="宋体" w:cs="宋体"/>
          <w:color w:val="000000" w:themeColor="text1"/>
          <w:kern w:val="0"/>
          <w:sz w:val="24"/>
          <w:szCs w:val="24"/>
          <w14:textFill>
            <w14:solidFill>
              <w14:schemeClr w14:val="tx1"/>
            </w14:solidFill>
          </w14:textFill>
        </w:rPr>
        <w:t>.3澄清文件按规发出之时起，视为投标人已收到该澄清文件。投标人未及时关注“南通市崇川区人民政府网（http://www.chongchuan.gov.cn/）”查阅招标文件的澄清，或未按照澄清后的招标文件编制投标文件，由此造成的后果由投标人自行承担。</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bookmarkStart w:id="33" w:name="_Toc389065161"/>
      <w:bookmarkStart w:id="34" w:name="_Toc536214617"/>
      <w:r>
        <w:rPr>
          <w:rFonts w:hint="eastAsia" w:ascii="宋体" w:hAnsi="宋体" w:eastAsia="宋体" w:cs="宋体"/>
          <w:color w:val="000000" w:themeColor="text1"/>
          <w:kern w:val="0"/>
          <w:sz w:val="24"/>
          <w:szCs w:val="24"/>
          <w:lang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 xml:space="preserve"> 招标文件的修改</w:t>
      </w:r>
      <w:bookmarkEnd w:id="33"/>
      <w:bookmarkEnd w:id="34"/>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6.5</w:t>
      </w:r>
      <w:r>
        <w:rPr>
          <w:rFonts w:hint="eastAsia" w:ascii="宋体" w:hAnsi="宋体" w:eastAsia="宋体" w:cs="宋体"/>
          <w:color w:val="000000" w:themeColor="text1"/>
          <w:kern w:val="0"/>
          <w:sz w:val="24"/>
          <w:szCs w:val="24"/>
          <w14:textFill>
            <w14:solidFill>
              <w14:schemeClr w14:val="tx1"/>
            </w14:solidFill>
          </w14:textFill>
        </w:rPr>
        <w:t>.1 招标文件发布后，招标人确需对招标文件进行修改的，招标人将通过“南通市崇川区人民政府网（http://www.chongchuan.gov.cn/）”发布。</w:t>
      </w:r>
    </w:p>
    <w:p>
      <w:pPr>
        <w:spacing w:line="44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6.5.</w:t>
      </w:r>
      <w:r>
        <w:rPr>
          <w:rFonts w:hint="eastAsia" w:ascii="宋体" w:hAnsi="宋体" w:eastAsia="宋体" w:cs="宋体"/>
          <w:color w:val="000000" w:themeColor="text1"/>
          <w:kern w:val="0"/>
          <w:sz w:val="24"/>
          <w:szCs w:val="24"/>
          <w14:textFill>
            <w14:solidFill>
              <w14:schemeClr w14:val="tx1"/>
            </w14:solidFill>
          </w14:textFill>
        </w:rPr>
        <w:t>2修改文件</w:t>
      </w:r>
      <w:r>
        <w:rPr>
          <w:rFonts w:hint="eastAsia" w:ascii="宋体" w:hAnsi="宋体" w:eastAsia="宋体" w:cs="宋体"/>
          <w:color w:val="000000" w:themeColor="text1"/>
          <w:kern w:val="0"/>
          <w:sz w:val="24"/>
          <w:szCs w:val="24"/>
          <w:lang w:eastAsia="zh-CN"/>
          <w14:textFill>
            <w14:solidFill>
              <w14:schemeClr w14:val="tx1"/>
            </w14:solidFill>
          </w14:textFill>
        </w:rPr>
        <w:t>在</w:t>
      </w:r>
      <w:r>
        <w:rPr>
          <w:rFonts w:hint="eastAsia" w:ascii="宋体" w:hAnsi="宋体" w:eastAsia="宋体" w:cs="宋体"/>
          <w:color w:val="000000" w:themeColor="text1"/>
          <w:kern w:val="0"/>
          <w:sz w:val="24"/>
          <w:szCs w:val="24"/>
          <w:lang w:val="en-US" w:eastAsia="zh-CN"/>
          <w14:textFill>
            <w14:solidFill>
              <w14:schemeClr w14:val="tx1"/>
            </w14:solidFill>
          </w14:textFill>
        </w:rPr>
        <w:t>2023年</w:t>
      </w:r>
      <w:r>
        <w:rPr>
          <w:rFonts w:hint="eastAsia" w:ascii="宋体" w:hAnsi="宋体" w:cs="宋体"/>
          <w:color w:val="000000" w:themeColor="text1"/>
          <w:kern w:val="0"/>
          <w:sz w:val="24"/>
          <w:szCs w:val="24"/>
          <w:lang w:val="en-US" w:eastAsia="zh-CN"/>
          <w14:textFill>
            <w14:solidFill>
              <w14:schemeClr w14:val="tx1"/>
            </w14:solidFill>
          </w14:textFill>
        </w:rPr>
        <w:t>04</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eastAsia="zh-CN"/>
          <w14:textFill>
            <w14:solidFill>
              <w14:schemeClr w14:val="tx1"/>
            </w14:solidFill>
          </w14:textFill>
        </w:rPr>
        <w:t>日</w:t>
      </w:r>
      <w:r>
        <w:rPr>
          <w:rFonts w:hint="eastAsia" w:ascii="宋体" w:hAnsi="宋体" w:eastAsia="宋体" w:cs="宋体"/>
          <w:color w:val="000000" w:themeColor="text1"/>
          <w:kern w:val="0"/>
          <w:sz w:val="24"/>
          <w:szCs w:val="24"/>
          <w14:textFill>
            <w14:solidFill>
              <w14:schemeClr w14:val="tx1"/>
            </w14:solidFill>
          </w14:textFill>
        </w:rPr>
        <w:t>发出之时起，视为投标人已收到该修改文件。投标人未及时通过“南通市崇川区人民政府网（http://www.chongchuan.gov.cn/）”查阅招标文件的修改，或未按照修改后的招标文件编制投标文件，由此造成的后果由投标人自行承担。</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pPr>
        <w:snapToGrid w:val="0"/>
        <w:spacing w:line="360" w:lineRule="auto"/>
        <w:jc w:val="center"/>
        <w:outlineLvl w:val="2"/>
        <w:rPr>
          <w:rFonts w:ascii="宋体" w:hAnsi="宋体" w:cs="宋体"/>
          <w:b/>
          <w:color w:val="000000" w:themeColor="text1"/>
          <w:sz w:val="36"/>
          <w14:textFill>
            <w14:solidFill>
              <w14:schemeClr w14:val="tx1"/>
            </w14:solidFill>
          </w14:textFill>
        </w:rPr>
      </w:pPr>
      <w:bookmarkStart w:id="35" w:name="_Toc25659017"/>
      <w:r>
        <w:rPr>
          <w:rFonts w:hint="eastAsia" w:ascii="宋体" w:hAnsi="宋体" w:cs="宋体"/>
          <w:b/>
          <w:color w:val="000000" w:themeColor="text1"/>
          <w:sz w:val="32"/>
          <w14:textFill>
            <w14:solidFill>
              <w14:schemeClr w14:val="tx1"/>
            </w14:solidFill>
          </w14:textFill>
        </w:rPr>
        <w:t>(三)投标报价</w:t>
      </w:r>
      <w:bookmarkEnd w:id="35"/>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9.1本次设计招标所委托的内容及要求已包含在项目总服务费中，不再另行计取。</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9.1.1委托内容：</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（1）包括总平设计、方案设计、扩初设计、施工图设计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施工图电子文件等本工程所需的设计成果文件、施工过程的现场配合等后续设计服务以及竣工图绘制；还包括其它设计服务内容：须委派专人确保设计各阶段的报批、各类评审等技术服务工作，详见设计任务书。</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（2）本项目前期立项总平方案等研究并通过报批（需效果图）；</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（3）项目初步设计、施工图设计及现场查勘等和各环节审查及通过；</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（5）配合进行招标工作及后期工程实施过程中设计服务工作；</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具体设计要求详见设计任务书。</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（7）本招标文件第四章合同条款涉及的全部内容。</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9.2投标报价要求：</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9.2.1设计费采用固定总价报价。</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9.2.2报价明细表</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9.2.3投标报价的原则：</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（1）本工程招标人设定最高限价（总价）</w:t>
      </w:r>
      <w:r>
        <w:rPr>
          <w:rFonts w:hint="eastAsia" w:ascii="宋体" w:hAnsi="宋体" w:cs="宋体"/>
          <w:color w:val="000000" w:themeColor="text1"/>
          <w:sz w:val="24"/>
          <w:szCs w:val="24"/>
          <w:highlight w:val="none"/>
          <w14:textFill>
            <w14:solidFill>
              <w14:schemeClr w14:val="tx1"/>
            </w14:solidFill>
          </w14:textFill>
        </w:rPr>
        <w:t>为</w:t>
      </w:r>
      <w:r>
        <w:rPr>
          <w:rFonts w:hint="eastAsia" w:ascii="宋体" w:hAnsi="宋体" w:cs="宋体"/>
          <w:b/>
          <w:color w:val="000000" w:themeColor="text1"/>
          <w:sz w:val="24"/>
          <w:szCs w:val="24"/>
          <w:highlight w:val="none"/>
          <w14:textFill>
            <w14:solidFill>
              <w14:schemeClr w14:val="tx1"/>
            </w14:solidFill>
          </w14:textFill>
        </w:rPr>
        <w:t>40万元</w:t>
      </w:r>
      <w:r>
        <w:rPr>
          <w:rFonts w:hint="eastAsia" w:ascii="宋体" w:hAnsi="宋体" w:cs="宋体"/>
          <w:b/>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（2）投标报价文件进行符合性评审，所有投标报价均不得高于招标人的最高限价（总价），不符合以上条件的投标报价将被视为无效报价。</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9.3中标人必须根据招标人的要求对施工图进行修改，直至招标人满意为止，设计费不作调整，并对所承担项目设计的完整性负责。中标单位不履行的，招标人有解除合同、追究违约责任、要求赔偿损失等权利。</w:t>
      </w:r>
    </w:p>
    <w:p>
      <w:pPr>
        <w:snapToGrid w:val="0"/>
        <w:spacing w:line="360" w:lineRule="auto"/>
        <w:jc w:val="center"/>
        <w:outlineLvl w:val="2"/>
        <w:rPr>
          <w:rFonts w:ascii="宋体" w:hAnsi="宋体" w:cs="宋体"/>
          <w:b/>
          <w:color w:val="000000" w:themeColor="text1"/>
          <w:sz w:val="32"/>
          <w14:textFill>
            <w14:solidFill>
              <w14:schemeClr w14:val="tx1"/>
            </w14:solidFill>
          </w14:textFill>
        </w:rPr>
      </w:pPr>
      <w:bookmarkStart w:id="36" w:name="_Toc25659018"/>
      <w:r>
        <w:rPr>
          <w:rFonts w:hint="eastAsia" w:ascii="宋体" w:hAnsi="宋体" w:cs="宋体"/>
          <w:b/>
          <w:color w:val="000000" w:themeColor="text1"/>
          <w:sz w:val="32"/>
          <w14:textFill>
            <w14:solidFill>
              <w14:schemeClr w14:val="tx1"/>
            </w14:solidFill>
          </w14:textFill>
        </w:rPr>
        <w:t>（四）投标文件</w:t>
      </w:r>
      <w:bookmarkEnd w:id="36"/>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10、投标文件包括下列内容：</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本项目投标文</w:t>
      </w:r>
      <w:r>
        <w:rPr>
          <w:rFonts w:hint="eastAsia" w:ascii="宋体" w:hAnsi="宋体" w:cs="宋体"/>
          <w:color w:val="000000" w:themeColor="text1"/>
          <w:sz w:val="24"/>
          <w:szCs w:val="24"/>
          <w:highlight w:val="none"/>
          <w14:textFill>
            <w14:solidFill>
              <w14:schemeClr w14:val="tx1"/>
            </w14:solidFill>
          </w14:textFill>
        </w:rPr>
        <w:t>件由</w:t>
      </w:r>
      <w:r>
        <w:rPr>
          <w:rFonts w:hint="eastAsia" w:ascii="宋体" w:hAnsi="宋体" w:cs="宋体"/>
          <w:b/>
          <w:bCs/>
          <w:color w:val="000000" w:themeColor="text1"/>
          <w:sz w:val="24"/>
          <w:szCs w:val="24"/>
          <w:highlight w:val="none"/>
          <w14:textFill>
            <w14:solidFill>
              <w14:schemeClr w14:val="tx1"/>
            </w14:solidFill>
          </w14:textFill>
        </w:rPr>
        <w:t>资格审查文件、技术标、综合标、商务标</w:t>
      </w:r>
      <w:r>
        <w:rPr>
          <w:rFonts w:hint="eastAsia" w:ascii="宋体" w:hAnsi="宋体" w:cs="宋体"/>
          <w:color w:val="000000" w:themeColor="text1"/>
          <w:sz w:val="24"/>
          <w:szCs w:val="24"/>
          <w:highlight w:val="none"/>
          <w14:textFill>
            <w14:solidFill>
              <w14:schemeClr w14:val="tx1"/>
            </w14:solidFill>
          </w14:textFill>
        </w:rPr>
        <w:t>四部分组成。</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资格审查文件应包括下列内容：</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10.1.1资格审查文件表格（格式详见第五章）；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10.1.2企业营业执照或事业单位法人证书（若为联合体投标，双方均需提供）、资质证书复印件。</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10.1.3法定代表人身份证明书或法定代表人授权委托书（如有）；</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10.1.4投标企业设计资质证书；</w:t>
      </w:r>
    </w:p>
    <w:p>
      <w:pPr>
        <w:snapToGrid w:val="0"/>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10.1.5项目负责人资格证书复印件；</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10.1.6诚信承诺书原件；</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10.1.7服务承诺书原件；</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10.1.8联合体协议书（如为联合体投标需提供）</w:t>
      </w:r>
    </w:p>
    <w:p>
      <w:pPr>
        <w:snapToGrid w:val="0"/>
        <w:spacing w:line="360" w:lineRule="auto"/>
        <w:ind w:firstLine="482" w:firstLineChars="200"/>
        <w:rPr>
          <w:rFonts w:ascii="宋体" w:hAnsi="宋体" w:cs="宋体"/>
          <w:b/>
          <w:color w:val="000000" w:themeColor="text1"/>
          <w:sz w:val="24"/>
          <w:u w:val="wave"/>
          <w14:textFill>
            <w14:solidFill>
              <w14:schemeClr w14:val="tx1"/>
            </w14:solidFill>
          </w14:textFill>
        </w:rPr>
      </w:pPr>
      <w:r>
        <w:rPr>
          <w:rFonts w:hint="eastAsia" w:ascii="宋体" w:hAnsi="宋体" w:cs="宋体"/>
          <w:b/>
          <w:color w:val="000000" w:themeColor="text1"/>
          <w:sz w:val="24"/>
          <w:u w:val="wave"/>
          <w14:textFill>
            <w14:solidFill>
              <w14:schemeClr w14:val="tx1"/>
            </w14:solidFill>
          </w14:textFill>
        </w:rPr>
        <w:t>未尽之处具体详见第六章“评标办法”中的“资格审查标准汇总表”。提供的资格审查材料及审查标准，前后矛盾的以《资格审查标准汇总表》为准。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10.2技术标（暗标），应包括下列内容：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10.2.1设计方案说明及设计方案图纸</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（1）设计方案综合说明（插有效果图彩色照片或彩色图片）</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（2）必要的图纸，至少包括：</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①规划设计总平面图</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 2 \* GB3 \* MERGEFORMAT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eastAsia="zh-CN"/>
          <w14:textFill>
            <w14:solidFill>
              <w14:schemeClr w14:val="tx1"/>
            </w14:solidFill>
          </w14:textFill>
        </w:rPr>
        <w:t>服饰城</w:t>
      </w:r>
      <w:r>
        <w:rPr>
          <w:rFonts w:hint="eastAsia" w:ascii="宋体" w:hAnsi="宋体" w:eastAsia="宋体" w:cs="宋体"/>
          <w:color w:val="000000" w:themeColor="text1"/>
          <w:sz w:val="24"/>
          <w:szCs w:val="24"/>
          <w14:textFill>
            <w14:solidFill>
              <w14:schemeClr w14:val="tx1"/>
            </w14:solidFill>
          </w14:textFill>
        </w:rPr>
        <w:t>建筑单体效果图（包括建筑立面、店招店牌、夜景设计）</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 3 \* GB3 \* MERGEFORMAT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其他能表达设计意图的相关图纸</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投标人根据上述要求及评标方法内的技术标评分细则相关要求编写技术标。</w:t>
      </w:r>
    </w:p>
    <w:p>
      <w:p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标为暗标，封袋内的“技术标”（包括封面及内侧页面、图纸及电子版文件）中的任何地方均不得出现或暗示反映投标人名称、设计人员、企业签章等标志。否则，作废标处理。封面统一使用无字白版封面，技术标文本为A</w:t>
      </w: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尺寸，不宜缩小的图幅均应折成A</w:t>
      </w: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规格，字体标题采用宋体二号、正文采用宋体小四号（图片、图表等除外）打印。</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10.3综合标应包括下列内容：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10.3.1项目设计负责人基本情况表；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10.3.2投入本项目其他专业设计人员一览表；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10.3.3投标人（项目负责人）类似业绩一览表及业绩证明材料；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10.3.4荣誉及相关证明材料；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10.3.5投标人根据评标办法认为需要提供的其他资料。</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10.4商务标应包括下列内容：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10.4.1 投标函；</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10.4.2 报价明细表；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11.投标保证金</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.1投标人必须按照前附表规定于投标文件提交截止时间前将投标保证金汇票和基本账户开户许可证（或基本存款账户信息）复印件（加盖单位公章）递交给招标代理查验；投标保证金（银行汇票形式）上必须注明</w:t>
      </w:r>
      <w:r>
        <w:rPr>
          <w:rFonts w:hint="eastAsia" w:ascii="宋体" w:hAnsi="宋体" w:eastAsia="宋体" w:cs="宋体"/>
          <w:b/>
          <w:bCs/>
          <w:color w:val="000000" w:themeColor="text1"/>
          <w:sz w:val="24"/>
          <w:szCs w:val="24"/>
          <w:highlight w:val="none"/>
          <w14:textFill>
            <w14:solidFill>
              <w14:schemeClr w14:val="tx1"/>
            </w14:solidFill>
          </w14:textFill>
        </w:rPr>
        <w:t>收款人：南通市崇川区城市管理局</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u w:val="single"/>
          <w14:textFill>
            <w14:solidFill>
              <w14:schemeClr w14:val="tx1"/>
            </w14:solidFill>
          </w14:textFill>
        </w:rPr>
        <w:t>用途：</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51</w:t>
      </w:r>
      <w:r>
        <w:rPr>
          <w:rFonts w:hint="eastAsia" w:ascii="宋体" w:hAnsi="宋体" w:eastAsia="宋体" w:cs="宋体"/>
          <w:b/>
          <w:bCs/>
          <w:color w:val="000000" w:themeColor="text1"/>
          <w:sz w:val="24"/>
          <w:szCs w:val="24"/>
          <w:highlight w:val="none"/>
          <w:u w:val="single"/>
          <w14:textFill>
            <w14:solidFill>
              <w14:schemeClr w14:val="tx1"/>
            </w14:solidFill>
          </w14:textFill>
        </w:rPr>
        <w:t>号投标保证金；</w:t>
      </w:r>
      <w:r>
        <w:rPr>
          <w:rFonts w:hint="eastAsia" w:ascii="宋体" w:hAnsi="宋体" w:eastAsia="宋体" w:cs="宋体"/>
          <w:b/>
          <w:bCs/>
          <w:color w:val="000000" w:themeColor="text1"/>
          <w:sz w:val="24"/>
          <w:szCs w:val="24"/>
          <w:highlight w:val="none"/>
          <w14:textFill>
            <w14:solidFill>
              <w14:schemeClr w14:val="tx1"/>
            </w14:solidFill>
          </w14:textFill>
        </w:rPr>
        <w:t>汇款人：投标单位名称。（帐户名：南通市崇川区城市管理局</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，开户行：</w:t>
      </w:r>
      <w:r>
        <w:rPr>
          <w:rFonts w:hint="eastAsia" w:ascii="宋体" w:hAnsi="宋体" w:cs="宋体"/>
          <w:b/>
          <w:bCs/>
          <w:color w:val="000000" w:themeColor="text1"/>
          <w:sz w:val="24"/>
          <w:szCs w:val="24"/>
          <w:highlight w:val="none"/>
          <w:lang w:val="en-US" w:eastAsia="zh-CN"/>
          <w14:textFill>
            <w14:solidFill>
              <w14:schemeClr w14:val="tx1"/>
            </w14:solidFill>
          </w14:textFill>
        </w:rPr>
        <w:t>江苏银行股份有限公司南通汇丰支行</w:t>
      </w:r>
      <w:r>
        <w:rPr>
          <w:rFonts w:hint="eastAsia" w:ascii="宋体" w:hAnsi="宋体" w:eastAsia="宋体" w:cs="宋体"/>
          <w:b/>
          <w:bCs/>
          <w:color w:val="000000" w:themeColor="text1"/>
          <w:sz w:val="24"/>
          <w:szCs w:val="24"/>
          <w:highlight w:val="none"/>
          <w14:textFill>
            <w14:solidFill>
              <w14:schemeClr w14:val="tx1"/>
            </w14:solidFill>
          </w14:textFill>
        </w:rPr>
        <w:t>，账号：</w:t>
      </w:r>
      <w:r>
        <w:rPr>
          <w:rFonts w:hint="eastAsia" w:ascii="宋体" w:hAnsi="宋体" w:cs="宋体"/>
          <w:b/>
          <w:bCs/>
          <w:color w:val="000000" w:themeColor="text1"/>
          <w:sz w:val="24"/>
          <w:szCs w:val="24"/>
          <w:highlight w:val="none"/>
          <w:lang w:val="en-US" w:eastAsia="zh-CN"/>
          <w14:textFill>
            <w14:solidFill>
              <w14:schemeClr w14:val="tx1"/>
            </w14:solidFill>
          </w14:textFill>
        </w:rPr>
        <w:t>50030188000003292061001</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。中标单位的投标保证金有效期在投标截止日后45天内有效；特别提醒：</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（1）本工程投标保证金的形式必</w:t>
      </w:r>
      <w:r>
        <w:rPr>
          <w:rFonts w:hint="eastAsia" w:ascii="宋体" w:hAnsi="宋体" w:eastAsia="宋体" w:cs="宋体"/>
          <w:color w:val="000000" w:themeColor="text1"/>
          <w:sz w:val="24"/>
          <w:szCs w:val="24"/>
          <w14:textFill>
            <w14:solidFill>
              <w14:schemeClr w14:val="tx1"/>
            </w14:solidFill>
          </w14:textFill>
        </w:rPr>
        <w:t>须为银行汇票（并非将保证金款打入指定账户）。若投标人以其他形式提交投标保证金的，其投标文件不予接收。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（2）保证金形式，收款人、用途、汇款人等必须符合招标文件规定，否则其投标文件不予接收。</w:t>
      </w:r>
      <w:bookmarkStart w:id="155" w:name="_GoBack"/>
      <w:bookmarkEnd w:id="155"/>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（3）投标保证金必须以联合体牵头人的名义及联合体牵头人的企业法人基本存款帐户汇出，否则不予接受。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各投标人在递交投标文件的同时需递交投标保证金银行汇票原件（无须密封）和基本账户开户许可证（或基本存款账户信息）复印件（复印件须加盖单位公章，无须密封）供招标人代表查验，否则其投标文件不予接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w:t>
      </w:r>
      <w:r>
        <w:rPr>
          <w:rFonts w:hint="eastAsia" w:ascii="宋体" w:hAnsi="宋体" w:eastAsia="宋体" w:cs="宋体"/>
          <w:color w:val="000000" w:themeColor="text1"/>
          <w:sz w:val="24"/>
          <w:szCs w:val="24"/>
          <w14:textFill>
            <w14:solidFill>
              <w14:schemeClr w14:val="tx1"/>
            </w14:solidFill>
          </w14:textFill>
        </w:rPr>
        <w:t>.投标保证金的退还</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1、未中标单位的投标保证金在其定标后予以退还。</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2、中标单位的投标保证金在施工合同签订后5日内予以退还。中标人须在中标结果公告结束且中标通知书发出前向招标人递交履约保证金，否则招标人有权按中标人自动放弃中标资格处理。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11.3</w:t>
      </w:r>
      <w:r>
        <w:rPr>
          <w:rFonts w:hint="eastAsia" w:ascii="宋体" w:hAnsi="宋体" w:eastAsia="宋体" w:cs="宋体"/>
          <w:color w:val="000000" w:themeColor="text1"/>
          <w:sz w:val="24"/>
          <w:szCs w:val="24"/>
          <w14:textFill>
            <w14:solidFill>
              <w14:schemeClr w14:val="tx1"/>
            </w14:solidFill>
          </w14:textFill>
        </w:rPr>
        <w:t>投标人在投标有效期内撤回投标文件或被认定存在违法违规行为时，投标人的投标保证金不予退还或由被保险人发起理赔申请。中标通知书发出后，除不可抗力情况外，中标人出现下列情形之一的，招标人必须取消其中标资格，并不予退还其投标保证金或由被保险人发起理赔申请：</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1、放弃中标项目的；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2、拒不按照招标文件的要求提交履约保证金或履约保证金的；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3、不与招标人签订合同的，或者在签订合同时向招标人提出附加条件或者更改合同实质性内容的；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4、经查实，通过受让或者租借等方式获取的资格、资质证书投标的。</w:t>
      </w:r>
    </w:p>
    <w:p>
      <w:pPr>
        <w:snapToGrid w:val="0"/>
        <w:spacing w:line="360" w:lineRule="auto"/>
        <w:ind w:firstLine="480" w:firstLineChars="200"/>
        <w:rPr>
          <w:rFonts w:hint="eastAsia" w:ascii="宋体" w:hAnsi="宋体" w:cs="宋体"/>
          <w:spacing w:val="-4"/>
          <w:sz w:val="24"/>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投标人（中标人）存在前款所述情形的，招标投标行政监督部门应当将其记入不良行为记录，在一年内其它政府投资项目的招标人可以据此不接受其投标。</w:t>
      </w:r>
    </w:p>
    <w:p>
      <w:pPr>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12、投标人应当使用本招标文件提供的投标文件表式，表式可以按同样格式进行扩展。</w:t>
      </w:r>
    </w:p>
    <w:p>
      <w:pPr>
        <w:pStyle w:val="15"/>
        <w:tabs>
          <w:tab w:val="left" w:pos="1000"/>
        </w:tabs>
        <w:adjustRightInd w:val="0"/>
        <w:snapToGrid w:val="0"/>
        <w:spacing w:line="360" w:lineRule="auto"/>
        <w:ind w:firstLine="482" w:firstLineChars="20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13、投标文件的要求</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13.1投标文件应使用招标文件第五章所提供的投标文件格式。</w:t>
      </w:r>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13.2</w:t>
      </w:r>
      <w:r>
        <w:rPr>
          <w:rFonts w:hint="eastAsia" w:ascii="宋体" w:hAnsi="宋体" w:cs="宋体"/>
          <w:bCs/>
          <w:color w:val="000000" w:themeColor="text1"/>
          <w:kern w:val="0"/>
          <w:sz w:val="24"/>
          <w:szCs w:val="24"/>
          <w14:textFill>
            <w14:solidFill>
              <w14:schemeClr w14:val="tx1"/>
            </w14:solidFill>
          </w14:textFill>
        </w:rPr>
        <w:t>投标人不得以他人名义投标，也不得利用伪造、转让、无效或者租借的资质证书</w:t>
      </w:r>
      <w:r>
        <w:rPr>
          <w:rFonts w:hint="eastAsia" w:ascii="宋体" w:hAnsi="宋体" w:cs="宋体"/>
          <w:bCs/>
          <w:color w:val="000000" w:themeColor="text1"/>
          <w:kern w:val="0"/>
          <w:sz w:val="24"/>
          <w:szCs w:val="24"/>
          <w:highlight w:val="none"/>
          <w14:textFill>
            <w14:solidFill>
              <w14:schemeClr w14:val="tx1"/>
            </w14:solidFill>
          </w14:textFill>
        </w:rPr>
        <w:t>参加投标。</w:t>
      </w:r>
    </w:p>
    <w:p>
      <w:pPr>
        <w:pStyle w:val="15"/>
        <w:tabs>
          <w:tab w:val="left" w:pos="1000"/>
        </w:tabs>
        <w:adjustRightInd w:val="0"/>
        <w:snapToGrid w:val="0"/>
        <w:spacing w:line="360" w:lineRule="auto"/>
        <w:ind w:firstLine="482" w:firstLineChars="200"/>
        <w:textAlignment w:val="baseline"/>
        <w:rPr>
          <w:rFonts w:ascii="宋体" w:hAnsi="宋体" w:cs="宋体"/>
          <w:b/>
          <w:color w:val="000000" w:themeColor="text1"/>
          <w:sz w:val="24"/>
          <w:szCs w:val="24"/>
          <w:highlight w:val="none"/>
          <w14:textFill>
            <w14:solidFill>
              <w14:schemeClr w14:val="tx1"/>
            </w14:solidFill>
          </w14:textFill>
        </w:rPr>
      </w:pPr>
      <w:bookmarkStart w:id="37" w:name="_Toc2861266"/>
      <w:r>
        <w:rPr>
          <w:rFonts w:hint="eastAsia" w:ascii="宋体" w:hAnsi="宋体" w:cs="宋体"/>
          <w:b/>
          <w:color w:val="000000" w:themeColor="text1"/>
          <w:sz w:val="24"/>
          <w:szCs w:val="24"/>
          <w:highlight w:val="none"/>
          <w14:textFill>
            <w14:solidFill>
              <w14:schemeClr w14:val="tx1"/>
            </w14:solidFill>
          </w14:textFill>
        </w:rPr>
        <w:t>14、投标文件的份数和签署</w:t>
      </w:r>
      <w:bookmarkEnd w:id="37"/>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38" w:name="_Toc2861267"/>
      <w:r>
        <w:rPr>
          <w:rFonts w:hint="eastAsia" w:ascii="宋体" w:hAnsi="宋体" w:cs="宋体"/>
          <w:bCs/>
          <w:color w:val="000000" w:themeColor="text1"/>
          <w:sz w:val="24"/>
          <w:szCs w:val="24"/>
          <w:highlight w:val="none"/>
          <w14:textFill>
            <w14:solidFill>
              <w14:schemeClr w14:val="tx1"/>
            </w14:solidFill>
          </w14:textFill>
        </w:rPr>
        <w:t>14.1 投标人应按投标须知前附表第5项规定的套数提交投标文件。</w:t>
      </w:r>
      <w:bookmarkEnd w:id="38"/>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39" w:name="_Toc2861268"/>
      <w:r>
        <w:rPr>
          <w:rFonts w:hint="eastAsia" w:ascii="宋体" w:hAnsi="宋体" w:cs="宋体"/>
          <w:bCs/>
          <w:color w:val="000000" w:themeColor="text1"/>
          <w:sz w:val="24"/>
          <w:szCs w:val="24"/>
          <w:highlight w:val="none"/>
          <w14:textFill>
            <w14:solidFill>
              <w14:schemeClr w14:val="tx1"/>
            </w14:solidFill>
          </w14:textFill>
        </w:rPr>
        <w:t>14.2 投标文件的正本和副本均需打印或使用不褪色的蓝、黑墨水笔书写，字迹应清晰易于辨认，并应在投标文件封面上清楚的注明“正本”或“副本”。正本与副本如有不一致之处，则以正本为准, 投标人自行承担由此可能产生的风险。</w:t>
      </w:r>
      <w:bookmarkEnd w:id="39"/>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40" w:name="_Toc2861269"/>
      <w:r>
        <w:rPr>
          <w:rFonts w:hint="eastAsia" w:ascii="宋体" w:hAnsi="宋体" w:cs="宋体"/>
          <w:bCs/>
          <w:color w:val="000000" w:themeColor="text1"/>
          <w:sz w:val="24"/>
          <w:szCs w:val="24"/>
          <w:highlight w:val="none"/>
          <w14:textFill>
            <w14:solidFill>
              <w14:schemeClr w14:val="tx1"/>
            </w14:solidFill>
          </w14:textFill>
        </w:rPr>
        <w:t>14.3 投标文件应按招标文件第五章投标文件格式的规定填写、签字、盖章。</w:t>
      </w:r>
      <w:bookmarkEnd w:id="40"/>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41" w:name="_Toc2861270"/>
      <w:r>
        <w:rPr>
          <w:rFonts w:hint="eastAsia" w:ascii="宋体" w:hAnsi="宋体" w:cs="宋体"/>
          <w:bCs/>
          <w:color w:val="000000" w:themeColor="text1"/>
          <w:sz w:val="24"/>
          <w:szCs w:val="24"/>
          <w14:textFill>
            <w14:solidFill>
              <w14:schemeClr w14:val="tx1"/>
            </w14:solidFill>
          </w14:textFill>
        </w:rPr>
        <w:t>14.4 全套投标文件应无涂改或行间插字和增删，如有修改，修改之处均应盖投标人法人章。</w:t>
      </w:r>
      <w:bookmarkEnd w:id="41"/>
    </w:p>
    <w:p>
      <w:pPr>
        <w:tabs>
          <w:tab w:val="left" w:pos="1784"/>
        </w:tabs>
        <w:snapToGrid w:val="0"/>
        <w:spacing w:line="360" w:lineRule="auto"/>
        <w:jc w:val="center"/>
        <w:outlineLvl w:val="2"/>
        <w:rPr>
          <w:rFonts w:ascii="宋体" w:hAnsi="宋体" w:cs="宋体"/>
          <w:b/>
          <w:color w:val="000000" w:themeColor="text1"/>
          <w:sz w:val="36"/>
          <w14:textFill>
            <w14:solidFill>
              <w14:schemeClr w14:val="tx1"/>
            </w14:solidFill>
          </w14:textFill>
        </w:rPr>
      </w:pPr>
      <w:bookmarkStart w:id="42" w:name="_Toc25659019"/>
      <w:r>
        <w:rPr>
          <w:rFonts w:hint="eastAsia" w:ascii="宋体" w:hAnsi="宋体" w:cs="宋体"/>
          <w:b/>
          <w:color w:val="000000" w:themeColor="text1"/>
          <w:sz w:val="32"/>
          <w14:textFill>
            <w14:solidFill>
              <w14:schemeClr w14:val="tx1"/>
            </w14:solidFill>
          </w14:textFill>
        </w:rPr>
        <w:t>（五）投标文件的递交</w:t>
      </w:r>
      <w:bookmarkEnd w:id="42"/>
    </w:p>
    <w:p>
      <w:pPr>
        <w:pStyle w:val="15"/>
        <w:tabs>
          <w:tab w:val="left" w:pos="1000"/>
        </w:tabs>
        <w:adjustRightInd w:val="0"/>
        <w:snapToGrid w:val="0"/>
        <w:spacing w:line="360" w:lineRule="auto"/>
        <w:ind w:firstLine="482" w:firstLineChars="200"/>
        <w:textAlignment w:val="baseline"/>
        <w:rPr>
          <w:rFonts w:ascii="宋体" w:hAnsi="宋体" w:cs="宋体"/>
          <w:b/>
          <w:color w:val="000000" w:themeColor="text1"/>
          <w:sz w:val="24"/>
          <w:szCs w:val="24"/>
          <w:highlight w:val="none"/>
          <w14:textFill>
            <w14:solidFill>
              <w14:schemeClr w14:val="tx1"/>
            </w14:solidFill>
          </w14:textFill>
        </w:rPr>
      </w:pPr>
      <w:bookmarkStart w:id="43" w:name="_Toc2861271"/>
      <w:r>
        <w:rPr>
          <w:rFonts w:hint="eastAsia" w:ascii="宋体" w:hAnsi="宋体" w:cs="宋体"/>
          <w:b/>
          <w:color w:val="000000" w:themeColor="text1"/>
          <w:sz w:val="24"/>
          <w:szCs w:val="24"/>
          <w14:textFill>
            <w14:solidFill>
              <w14:schemeClr w14:val="tx1"/>
            </w14:solidFill>
          </w14:textFill>
        </w:rPr>
        <w:t>15、投标文件的装订、</w:t>
      </w:r>
      <w:r>
        <w:rPr>
          <w:rFonts w:hint="eastAsia" w:ascii="宋体" w:hAnsi="宋体" w:cs="宋体"/>
          <w:b/>
          <w:color w:val="000000" w:themeColor="text1"/>
          <w:sz w:val="24"/>
          <w:szCs w:val="24"/>
          <w:highlight w:val="none"/>
          <w14:textFill>
            <w14:solidFill>
              <w14:schemeClr w14:val="tx1"/>
            </w14:solidFill>
          </w14:textFill>
        </w:rPr>
        <w:t>包封、密封和标志</w:t>
      </w:r>
      <w:bookmarkEnd w:id="43"/>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44" w:name="_Toc2861272"/>
      <w:r>
        <w:rPr>
          <w:rFonts w:hint="eastAsia" w:ascii="宋体" w:hAnsi="宋体" w:cs="宋体"/>
          <w:bCs/>
          <w:color w:val="000000" w:themeColor="text1"/>
          <w:sz w:val="24"/>
          <w:szCs w:val="24"/>
          <w:highlight w:val="none"/>
          <w14:textFill>
            <w14:solidFill>
              <w14:schemeClr w14:val="tx1"/>
            </w14:solidFill>
          </w14:textFill>
        </w:rPr>
        <w:t>15.1投标文件的</w:t>
      </w:r>
      <w:r>
        <w:rPr>
          <w:rFonts w:hint="eastAsia" w:ascii="宋体" w:hAnsi="宋体" w:cs="宋体"/>
          <w:b/>
          <w:bCs/>
          <w:color w:val="000000" w:themeColor="text1"/>
          <w:sz w:val="24"/>
          <w:szCs w:val="24"/>
          <w:highlight w:val="none"/>
          <w14:textFill>
            <w14:solidFill>
              <w14:schemeClr w14:val="tx1"/>
            </w14:solidFill>
          </w14:textFill>
        </w:rPr>
        <w:t>资格审查文件、技术标、</w:t>
      </w:r>
      <w:r>
        <w:rPr>
          <w:rFonts w:hint="eastAsia" w:ascii="宋体" w:hAnsi="宋体" w:cs="宋体"/>
          <w:b/>
          <w:bCs/>
          <w:color w:val="000000" w:themeColor="text1"/>
          <w:sz w:val="23"/>
          <w:szCs w:val="23"/>
          <w:highlight w:val="none"/>
          <w14:textFill>
            <w14:solidFill>
              <w14:schemeClr w14:val="tx1"/>
            </w14:solidFill>
          </w14:textFill>
        </w:rPr>
        <w:t>综合标、</w:t>
      </w:r>
      <w:r>
        <w:rPr>
          <w:rFonts w:hint="eastAsia" w:ascii="宋体" w:hAnsi="宋体" w:cs="宋体"/>
          <w:b/>
          <w:bCs/>
          <w:color w:val="000000" w:themeColor="text1"/>
          <w:sz w:val="24"/>
          <w:szCs w:val="24"/>
          <w:highlight w:val="none"/>
          <w14:textFill>
            <w14:solidFill>
              <w14:schemeClr w14:val="tx1"/>
            </w14:solidFill>
          </w14:textFill>
        </w:rPr>
        <w:t>商务标</w:t>
      </w:r>
      <w:r>
        <w:rPr>
          <w:rFonts w:hint="eastAsia" w:ascii="宋体" w:hAnsi="宋体" w:cs="宋体"/>
          <w:bCs/>
          <w:color w:val="000000" w:themeColor="text1"/>
          <w:sz w:val="24"/>
          <w:szCs w:val="24"/>
          <w:highlight w:val="none"/>
          <w14:textFill>
            <w14:solidFill>
              <w14:schemeClr w14:val="tx1"/>
            </w14:solidFill>
          </w14:textFill>
        </w:rPr>
        <w:t>须分别单独装订、密封。</w:t>
      </w:r>
      <w:bookmarkEnd w:id="44"/>
    </w:p>
    <w:p>
      <w:pPr>
        <w:pStyle w:val="15"/>
        <w:tabs>
          <w:tab w:val="left" w:pos="1000"/>
        </w:tabs>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bookmarkStart w:id="45" w:name="_Toc25658481"/>
      <w:bookmarkStart w:id="46" w:name="_Toc2861273"/>
      <w:r>
        <w:rPr>
          <w:rFonts w:hint="eastAsia" w:ascii="宋体" w:hAnsi="宋体" w:cs="宋体"/>
          <w:b/>
          <w:bCs/>
          <w:color w:val="000000" w:themeColor="text1"/>
          <w:sz w:val="24"/>
          <w:szCs w:val="24"/>
          <w:highlight w:val="none"/>
          <w14:textFill>
            <w14:solidFill>
              <w14:schemeClr w14:val="tx1"/>
            </w14:solidFill>
          </w14:textFill>
        </w:rPr>
        <w:t>15.2资格审查文件应装订成册，统一</w:t>
      </w:r>
      <w:r>
        <w:rPr>
          <w:rFonts w:hint="eastAsia" w:ascii="宋体" w:hAnsi="宋体" w:cs="宋体"/>
          <w:b/>
          <w:bCs/>
          <w:color w:val="000000" w:themeColor="text1"/>
          <w:sz w:val="24"/>
          <w:highlight w:val="none"/>
          <w14:textFill>
            <w14:solidFill>
              <w14:schemeClr w14:val="tx1"/>
            </w14:solidFill>
          </w14:textFill>
        </w:rPr>
        <w:t>密封包装</w:t>
      </w:r>
      <w:r>
        <w:rPr>
          <w:rFonts w:hint="eastAsia" w:ascii="宋体" w:hAnsi="宋体" w:cs="宋体"/>
          <w:b/>
          <w:bCs/>
          <w:color w:val="000000" w:themeColor="text1"/>
          <w:sz w:val="24"/>
          <w:szCs w:val="24"/>
          <w:highlight w:val="none"/>
          <w14:textFill>
            <w14:solidFill>
              <w14:schemeClr w14:val="tx1"/>
            </w14:solidFill>
          </w14:textFill>
        </w:rPr>
        <w:t>，包封应写明招标项目名称“资格审查文件”， 并在封袋上加盖投标人</w:t>
      </w:r>
      <w:r>
        <w:rPr>
          <w:rFonts w:hint="eastAsia" w:ascii="宋体" w:hAnsi="宋体" w:cs="宋体"/>
          <w:b/>
          <w:bCs/>
          <w:color w:val="000000" w:themeColor="text1"/>
          <w:sz w:val="24"/>
          <w:highlight w:val="none"/>
          <w14:textFill>
            <w14:solidFill>
              <w14:schemeClr w14:val="tx1"/>
            </w14:solidFill>
          </w14:textFill>
        </w:rPr>
        <w:t>（若为联合体必须为</w:t>
      </w:r>
      <w:r>
        <w:rPr>
          <w:rFonts w:hint="eastAsia" w:ascii="宋体" w:hAnsi="宋体" w:cs="宋体"/>
          <w:b/>
          <w:color w:val="000000" w:themeColor="text1"/>
          <w:sz w:val="24"/>
          <w:szCs w:val="24"/>
          <w:highlight w:val="none"/>
          <w14:textFill>
            <w14:solidFill>
              <w14:schemeClr w14:val="tx1"/>
            </w14:solidFill>
          </w14:textFill>
        </w:rPr>
        <w:t>联合体牵头人</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单位公章和单位法定代表人章。</w:t>
      </w:r>
      <w:bookmarkEnd w:id="45"/>
      <w:bookmarkEnd w:id="46"/>
    </w:p>
    <w:p>
      <w:pPr>
        <w:pStyle w:val="15"/>
        <w:tabs>
          <w:tab w:val="left" w:pos="1000"/>
        </w:tabs>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bookmarkStart w:id="47" w:name="_Toc2861274"/>
      <w:bookmarkStart w:id="48" w:name="_Toc25658482"/>
      <w:r>
        <w:rPr>
          <w:rFonts w:hint="eastAsia" w:ascii="宋体" w:hAnsi="宋体" w:cs="宋体"/>
          <w:b/>
          <w:bCs/>
          <w:color w:val="000000" w:themeColor="text1"/>
          <w:sz w:val="24"/>
          <w:highlight w:val="none"/>
          <w14:textFill>
            <w14:solidFill>
              <w14:schemeClr w14:val="tx1"/>
            </w14:solidFill>
          </w14:textFill>
        </w:rPr>
        <w:t>15.3</w:t>
      </w:r>
      <w:r>
        <w:rPr>
          <w:rFonts w:hint="eastAsia" w:ascii="宋体" w:hAnsi="宋体" w:cs="宋体"/>
          <w:b/>
          <w:bCs/>
          <w:color w:val="000000" w:themeColor="text1"/>
          <w:sz w:val="24"/>
          <w:szCs w:val="24"/>
          <w:highlight w:val="none"/>
          <w14:textFill>
            <w14:solidFill>
              <w14:schemeClr w14:val="tx1"/>
            </w14:solidFill>
          </w14:textFill>
        </w:rPr>
        <w:t>技术文件应装订成册，统一</w:t>
      </w:r>
      <w:r>
        <w:rPr>
          <w:rFonts w:hint="eastAsia" w:ascii="宋体" w:hAnsi="宋体" w:cs="宋体"/>
          <w:b/>
          <w:bCs/>
          <w:color w:val="000000" w:themeColor="text1"/>
          <w:sz w:val="24"/>
          <w:highlight w:val="none"/>
          <w14:textFill>
            <w14:solidFill>
              <w14:schemeClr w14:val="tx1"/>
            </w14:solidFill>
          </w14:textFill>
        </w:rPr>
        <w:t>密封包装，包封应写明招标项目名称、“技术标”，</w:t>
      </w:r>
      <w:bookmarkEnd w:id="47"/>
      <w:r>
        <w:rPr>
          <w:rFonts w:hint="eastAsia" w:ascii="宋体" w:hAnsi="宋体" w:cs="宋体"/>
          <w:b/>
          <w:bCs/>
          <w:color w:val="000000" w:themeColor="text1"/>
          <w:sz w:val="24"/>
          <w:szCs w:val="24"/>
          <w:highlight w:val="none"/>
          <w14:textFill>
            <w14:solidFill>
              <w14:schemeClr w14:val="tx1"/>
            </w14:solidFill>
          </w14:textFill>
        </w:rPr>
        <w:t>并在封袋上加盖投标人单位公章和单位法定代表人章。</w:t>
      </w:r>
      <w:bookmarkEnd w:id="48"/>
    </w:p>
    <w:p>
      <w:pPr>
        <w:pStyle w:val="15"/>
        <w:tabs>
          <w:tab w:val="left" w:pos="1000"/>
        </w:tabs>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49" w:name="_Toc25658483"/>
      <w:r>
        <w:rPr>
          <w:rFonts w:hint="eastAsia" w:ascii="宋体" w:hAnsi="宋体" w:cs="宋体"/>
          <w:b/>
          <w:bCs/>
          <w:color w:val="000000" w:themeColor="text1"/>
          <w:sz w:val="24"/>
          <w:highlight w:val="none"/>
          <w14:textFill>
            <w14:solidFill>
              <w14:schemeClr w14:val="tx1"/>
            </w14:solidFill>
          </w14:textFill>
        </w:rPr>
        <w:t>技术标为暗标，封袋内的“技术标”（包括封面及内侧页面、图纸及电子版文件）中的任何地方均不得出现或暗示反映投标人名称、设计人员、企业签章等标志。否则，作废标处理。封面统一使用无字白版封面，技术标文本为A</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尺寸，不宜缩小的图幅均应折成A</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规格，字体标题采用宋体二号、正文采用宋体小四号（图片、图表等除外）打印。</w:t>
      </w:r>
    </w:p>
    <w:p>
      <w:pPr>
        <w:pStyle w:val="15"/>
        <w:tabs>
          <w:tab w:val="left" w:pos="1000"/>
        </w:tabs>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15.4综合标应装订成册，统一密封包装，包封应写明招标项目名称、“综合标”，并在封袋上加盖投标人单位公章和单位法定代表人章。</w:t>
      </w:r>
    </w:p>
    <w:p>
      <w:pPr>
        <w:pStyle w:val="15"/>
        <w:tabs>
          <w:tab w:val="left" w:pos="1000"/>
        </w:tabs>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15.5商务标应装订成册，统一密封包装，包封应写明招标项目名称、“商务标”，并在封袋上加盖投标人单位公章和单位法定代表人章。</w:t>
      </w:r>
      <w:bookmarkEnd w:id="49"/>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50" w:name="_Toc2861275"/>
      <w:r>
        <w:rPr>
          <w:rFonts w:hint="eastAsia" w:ascii="宋体" w:hAnsi="宋体" w:cs="宋体"/>
          <w:bCs/>
          <w:color w:val="000000" w:themeColor="text1"/>
          <w:sz w:val="24"/>
          <w:szCs w:val="24"/>
          <w:highlight w:val="none"/>
          <w14:textFill>
            <w14:solidFill>
              <w14:schemeClr w14:val="tx1"/>
            </w14:solidFill>
          </w14:textFill>
        </w:rPr>
        <w:t>15.6投标人未按本条规定提交的投标文件将被视作无效投标文件，不得参</w:t>
      </w:r>
      <w:r>
        <w:rPr>
          <w:rFonts w:hint="eastAsia" w:ascii="宋体" w:hAnsi="宋体" w:cs="宋体"/>
          <w:bCs/>
          <w:color w:val="000000" w:themeColor="text1"/>
          <w:sz w:val="24"/>
          <w:szCs w:val="24"/>
          <w14:textFill>
            <w14:solidFill>
              <w14:schemeClr w14:val="tx1"/>
            </w14:solidFill>
          </w14:textFill>
        </w:rPr>
        <w:t>与评标。</w:t>
      </w:r>
    </w:p>
    <w:bookmarkEnd w:id="50"/>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16、投标截止期</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16.1投标人应按投标须知前附表第6项规定的时间和地点将投标文件递交到指定地点。</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16.2招标人可以按本须知第7条规定以修改通知的方式，酌情延长递交投标文件的截止日期。在上述情况下，招标人与投标人以前的投标截止期方面的全部权力、责任和义务，将适用于延长后新的投标截止期。</w:t>
      </w:r>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16.3超过投</w:t>
      </w:r>
      <w:r>
        <w:rPr>
          <w:rFonts w:hint="eastAsia" w:ascii="宋体" w:hAnsi="宋体" w:cs="宋体"/>
          <w:bCs/>
          <w:color w:val="000000" w:themeColor="text1"/>
          <w:sz w:val="24"/>
          <w:szCs w:val="24"/>
          <w:highlight w:val="none"/>
          <w14:textFill>
            <w14:solidFill>
              <w14:schemeClr w14:val="tx1"/>
            </w14:solidFill>
          </w14:textFill>
        </w:rPr>
        <w:t>标截止期送达的投标文件将被拒绝并原封退给投标人。</w:t>
      </w:r>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16.4提交投标文件的投标人少于三个的，招标人将依法重新招标。</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17、投标文件的修改与撤回</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17.1投标人可以在递交投</w:t>
      </w:r>
      <w:r>
        <w:rPr>
          <w:rFonts w:hint="eastAsia" w:ascii="宋体" w:hAnsi="宋体" w:cs="宋体"/>
          <w:color w:val="000000" w:themeColor="text1"/>
          <w:sz w:val="24"/>
          <w:szCs w:val="24"/>
          <w:highlight w:val="none"/>
          <w14:textFill>
            <w14:solidFill>
              <w14:schemeClr w14:val="tx1"/>
            </w14:solidFill>
          </w14:textFill>
        </w:rPr>
        <w:t>标文件以后，在规定的投标截止期之前，以书面形式向招标人递交修改或撤回其投标文件的通知。在投标截止期以后，不得更改投标文件。</w:t>
      </w:r>
    </w:p>
    <w:p>
      <w:pPr>
        <w:pStyle w:val="15"/>
        <w:tabs>
          <w:tab w:val="left" w:pos="1000"/>
        </w:tabs>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17.2投标人的修改或撤回通知，应按本须知第15条规定的要求编制、密封、标志和递交（密封袋上应标明“修改”或“撤回”字样）。</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17.3投标截止期以后，在投标有效期内，投标人不得撤回其投标文件，否则其投标保证金将被没收。</w:t>
      </w:r>
    </w:p>
    <w:p>
      <w:pPr>
        <w:snapToGrid w:val="0"/>
        <w:spacing w:line="360" w:lineRule="auto"/>
        <w:jc w:val="center"/>
        <w:outlineLvl w:val="2"/>
        <w:rPr>
          <w:rFonts w:ascii="宋体" w:hAnsi="宋体" w:cs="宋体"/>
          <w:b/>
          <w:color w:val="000000" w:themeColor="text1"/>
          <w:sz w:val="36"/>
          <w14:textFill>
            <w14:solidFill>
              <w14:schemeClr w14:val="tx1"/>
            </w14:solidFill>
          </w14:textFill>
        </w:rPr>
      </w:pPr>
      <w:bookmarkStart w:id="51" w:name="_Toc25659020"/>
      <w:r>
        <w:rPr>
          <w:rFonts w:hint="eastAsia" w:ascii="宋体" w:hAnsi="宋体" w:cs="宋体"/>
          <w:b/>
          <w:color w:val="000000" w:themeColor="text1"/>
          <w:sz w:val="36"/>
          <w14:textFill>
            <w14:solidFill>
              <w14:schemeClr w14:val="tx1"/>
            </w14:solidFill>
          </w14:textFill>
        </w:rPr>
        <w:t>（六）开标、评标、定标</w:t>
      </w:r>
      <w:bookmarkEnd w:id="51"/>
    </w:p>
    <w:p>
      <w:pPr>
        <w:pStyle w:val="15"/>
        <w:tabs>
          <w:tab w:val="left" w:pos="1000"/>
        </w:tabs>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bookmarkStart w:id="52" w:name="_Toc25658485"/>
      <w:bookmarkStart w:id="53" w:name="_Toc2861276"/>
      <w:r>
        <w:rPr>
          <w:rFonts w:hint="eastAsia" w:ascii="宋体" w:hAnsi="宋体" w:eastAsia="宋体" w:cs="宋体"/>
          <w:bCs/>
          <w:color w:val="000000" w:themeColor="text1"/>
          <w:sz w:val="24"/>
          <w:szCs w:val="24"/>
          <w14:textFill>
            <w14:solidFill>
              <w14:schemeClr w14:val="tx1"/>
            </w14:solidFill>
          </w14:textFill>
        </w:rPr>
        <w:t>18、开标由招标人或招标代理机构主持，邀请所有投标人参加。各投标人授权委托人必须携带本人身份证原件和法定代理人授权委托书或法定代表人准时到场参加开标会议，否则作中途退标处理。</w:t>
      </w:r>
      <w:bookmarkEnd w:id="52"/>
      <w:bookmarkEnd w:id="53"/>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54" w:name="_Toc25658486"/>
      <w:bookmarkStart w:id="55" w:name="_Toc2861277"/>
      <w:r>
        <w:rPr>
          <w:rFonts w:hint="eastAsia" w:ascii="宋体" w:hAnsi="宋体" w:cs="宋体"/>
          <w:bCs/>
          <w:color w:val="000000" w:themeColor="text1"/>
          <w:sz w:val="24"/>
          <w:szCs w:val="24"/>
          <w14:textFill>
            <w14:solidFill>
              <w14:schemeClr w14:val="tx1"/>
            </w14:solidFill>
          </w14:textFill>
        </w:rPr>
        <w:t>19、由投标人或者其推选的代表检查投标文件的密封情况，也可以由招标人委托的公证机构检查并公证。经确认无误签字后，当众启封投标文件及修改文件，并公布投标文件的主要内容。</w:t>
      </w:r>
      <w:bookmarkEnd w:id="54"/>
      <w:bookmarkEnd w:id="55"/>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56" w:name="_Toc2861278"/>
      <w:bookmarkStart w:id="57" w:name="_Toc25658487"/>
      <w:r>
        <w:rPr>
          <w:rFonts w:hint="eastAsia" w:ascii="宋体" w:hAnsi="宋体" w:cs="宋体"/>
          <w:bCs/>
          <w:color w:val="000000" w:themeColor="text1"/>
          <w:sz w:val="24"/>
          <w:szCs w:val="24"/>
          <w14:textFill>
            <w14:solidFill>
              <w14:schemeClr w14:val="tx1"/>
            </w14:solidFill>
          </w14:textFill>
        </w:rPr>
        <w:t>20、评标委员会</w:t>
      </w:r>
      <w:bookmarkEnd w:id="56"/>
      <w:bookmarkEnd w:id="57"/>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58" w:name="_Toc25658488"/>
      <w:bookmarkStart w:id="59" w:name="_Toc2861279"/>
      <w:r>
        <w:rPr>
          <w:rFonts w:hint="eastAsia" w:ascii="宋体" w:hAnsi="宋体" w:cs="宋体"/>
          <w:bCs/>
          <w:color w:val="000000" w:themeColor="text1"/>
          <w:sz w:val="24"/>
          <w:szCs w:val="24"/>
          <w14:textFill>
            <w14:solidFill>
              <w14:schemeClr w14:val="tx1"/>
            </w14:solidFill>
          </w14:textFill>
        </w:rPr>
        <w:t>评标由招标人依法组建的评标委员会负责。评标委员会由招标人代表，以及有关技术、经济等方面的专家组成。</w:t>
      </w:r>
      <w:bookmarkEnd w:id="58"/>
      <w:bookmarkEnd w:id="59"/>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60" w:name="_Toc25658489"/>
      <w:bookmarkStart w:id="61" w:name="_Toc2861280"/>
      <w:r>
        <w:rPr>
          <w:rFonts w:hint="eastAsia" w:ascii="宋体" w:hAnsi="宋体" w:cs="宋体"/>
          <w:bCs/>
          <w:color w:val="000000" w:themeColor="text1"/>
          <w:sz w:val="24"/>
          <w:szCs w:val="24"/>
          <w14:textFill>
            <w14:solidFill>
              <w14:schemeClr w14:val="tx1"/>
            </w14:solidFill>
          </w14:textFill>
        </w:rPr>
        <w:t>21、评标方式及评标办法</w:t>
      </w:r>
      <w:bookmarkEnd w:id="60"/>
      <w:bookmarkEnd w:id="61"/>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62" w:name="_Toc2861281"/>
      <w:bookmarkStart w:id="63" w:name="_Toc25658490"/>
      <w:r>
        <w:rPr>
          <w:rFonts w:hint="eastAsia" w:ascii="宋体" w:hAnsi="宋体" w:cs="宋体"/>
          <w:bCs/>
          <w:color w:val="000000" w:themeColor="text1"/>
          <w:sz w:val="24"/>
          <w:szCs w:val="24"/>
          <w14:textFill>
            <w14:solidFill>
              <w14:schemeClr w14:val="tx1"/>
            </w14:solidFill>
          </w14:textFill>
        </w:rPr>
        <w:t>评标办法详见“第六章评标办法”。</w:t>
      </w:r>
      <w:bookmarkEnd w:id="62"/>
      <w:bookmarkEnd w:id="63"/>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64" w:name="_Toc2861282"/>
      <w:bookmarkStart w:id="65" w:name="_Toc25658491"/>
      <w:r>
        <w:rPr>
          <w:rFonts w:hint="eastAsia" w:ascii="宋体" w:hAnsi="宋体" w:cs="宋体"/>
          <w:bCs/>
          <w:color w:val="000000" w:themeColor="text1"/>
          <w:sz w:val="24"/>
          <w:szCs w:val="24"/>
          <w14:textFill>
            <w14:solidFill>
              <w14:schemeClr w14:val="tx1"/>
            </w14:solidFill>
          </w14:textFill>
        </w:rPr>
        <w:t>22、评标过程保密</w:t>
      </w:r>
      <w:bookmarkEnd w:id="64"/>
      <w:bookmarkEnd w:id="65"/>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66" w:name="_Toc2861283"/>
      <w:bookmarkStart w:id="67" w:name="_Toc25658492"/>
      <w:r>
        <w:rPr>
          <w:rFonts w:hint="eastAsia" w:ascii="宋体" w:hAnsi="宋体" w:cs="宋体"/>
          <w:bCs/>
          <w:color w:val="000000" w:themeColor="text1"/>
          <w:sz w:val="24"/>
          <w:szCs w:val="24"/>
          <w14:textFill>
            <w14:solidFill>
              <w14:schemeClr w14:val="tx1"/>
            </w14:solidFill>
          </w14:textFill>
        </w:rPr>
        <w:t>22.1凡属于对投标文件的审查、澄清、评价和比较的有关资料及有关中标候选人的推荐情况、与评标有关的其他任何情况均应严格保密，都不应泄露。</w:t>
      </w:r>
      <w:bookmarkEnd w:id="66"/>
      <w:bookmarkEnd w:id="67"/>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68" w:name="_Toc25658493"/>
      <w:bookmarkStart w:id="69" w:name="_Toc2861284"/>
      <w:r>
        <w:rPr>
          <w:rFonts w:hint="eastAsia" w:ascii="宋体" w:hAnsi="宋体" w:cs="宋体"/>
          <w:bCs/>
          <w:color w:val="000000" w:themeColor="text1"/>
          <w:sz w:val="24"/>
          <w:szCs w:val="24"/>
          <w14:textFill>
            <w14:solidFill>
              <w14:schemeClr w14:val="tx1"/>
            </w14:solidFill>
          </w14:textFill>
        </w:rPr>
        <w:t>22.2投标人任何试图影响或干扰招标人和评委会的评标活动或授予合同的行动，都可能导致其投标被拒绝。</w:t>
      </w:r>
      <w:bookmarkEnd w:id="68"/>
      <w:bookmarkEnd w:id="69"/>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70" w:name="_Toc2861285"/>
      <w:bookmarkStart w:id="71" w:name="_Toc25658494"/>
      <w:r>
        <w:rPr>
          <w:rFonts w:hint="eastAsia" w:ascii="宋体" w:hAnsi="宋体" w:cs="宋体"/>
          <w:bCs/>
          <w:color w:val="000000" w:themeColor="text1"/>
          <w:sz w:val="24"/>
          <w:szCs w:val="24"/>
          <w14:textFill>
            <w14:solidFill>
              <w14:schemeClr w14:val="tx1"/>
            </w14:solidFill>
          </w14:textFill>
        </w:rPr>
        <w:t>22.3中标人确定后，招标人不对未中标人就评标过程以及未能中标的原因做出任何解释。未中标人不得向评委会组成人员或其他有关人员索问评标过程的情况和材料。</w:t>
      </w:r>
      <w:bookmarkEnd w:id="70"/>
      <w:bookmarkEnd w:id="71"/>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72" w:name="_Toc2861286"/>
      <w:bookmarkStart w:id="73" w:name="_Toc25658495"/>
      <w:r>
        <w:rPr>
          <w:rFonts w:hint="eastAsia" w:ascii="宋体" w:hAnsi="宋体" w:cs="宋体"/>
          <w:bCs/>
          <w:color w:val="000000" w:themeColor="text1"/>
          <w:sz w:val="24"/>
          <w:szCs w:val="24"/>
          <w14:textFill>
            <w14:solidFill>
              <w14:schemeClr w14:val="tx1"/>
            </w14:solidFill>
          </w14:textFill>
        </w:rPr>
        <w:t>23、投标文件的澄清</w:t>
      </w:r>
      <w:bookmarkEnd w:id="72"/>
      <w:bookmarkEnd w:id="73"/>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74" w:name="_Toc2861287"/>
      <w:bookmarkStart w:id="75" w:name="_Toc25658496"/>
      <w:r>
        <w:rPr>
          <w:rFonts w:hint="eastAsia" w:ascii="宋体" w:hAnsi="宋体" w:cs="宋体"/>
          <w:bCs/>
          <w:color w:val="000000" w:themeColor="text1"/>
          <w:sz w:val="24"/>
          <w:szCs w:val="24"/>
          <w14:textFill>
            <w14:solidFill>
              <w14:schemeClr w14:val="tx1"/>
            </w14:solidFill>
          </w14:textFill>
        </w:rPr>
        <w:t>在评标过程中，评标委员会认为需要，可以书面形式要求投标人对投标文件中的有关问题进行澄清或提供补充说明及有关资料，有关澄清的要求与答复应采用书面形式，但不应寻求、提出或允许更改投标价格或投标文件的实质性内容。若投标人拒绝回答评标委员会提出的问题，则视为不响应招标文件要求。</w:t>
      </w:r>
      <w:bookmarkEnd w:id="74"/>
      <w:bookmarkEnd w:id="75"/>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76" w:name="_Toc2861288"/>
      <w:bookmarkStart w:id="77" w:name="_Toc25658497"/>
      <w:r>
        <w:rPr>
          <w:rFonts w:hint="eastAsia" w:ascii="宋体" w:hAnsi="宋体" w:cs="宋体"/>
          <w:bCs/>
          <w:color w:val="000000" w:themeColor="text1"/>
          <w:sz w:val="24"/>
          <w:szCs w:val="24"/>
          <w14:textFill>
            <w14:solidFill>
              <w14:schemeClr w14:val="tx1"/>
            </w14:solidFill>
          </w14:textFill>
        </w:rPr>
        <w:t>24、投标文件的响应性</w:t>
      </w:r>
      <w:bookmarkEnd w:id="76"/>
      <w:bookmarkEnd w:id="77"/>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78" w:name="_Toc2861289"/>
      <w:bookmarkStart w:id="79" w:name="_Toc25658498"/>
      <w:r>
        <w:rPr>
          <w:rFonts w:hint="eastAsia" w:ascii="宋体" w:hAnsi="宋体" w:cs="宋体"/>
          <w:bCs/>
          <w:color w:val="000000" w:themeColor="text1"/>
          <w:sz w:val="24"/>
          <w:szCs w:val="24"/>
          <w14:textFill>
            <w14:solidFill>
              <w14:schemeClr w14:val="tx1"/>
            </w14:solidFill>
          </w14:textFill>
        </w:rPr>
        <w:t>24.1评标时，招标人将评定每份投标文件是否在实质上响应了招标文件的要求。所谓实质上响应，是指投标文件应与招标文件的所有实质条款、条件和要求相符，无显著差异或保留，或者纠正这些显著差异或保留将不会对其他实质上响应招标文件要求的投标文件的投标人的竞争地位产生不公正的影响；对合同中约定的招标人的权利和投标人的义务方面不造成重大的限制。</w:t>
      </w:r>
      <w:bookmarkEnd w:id="78"/>
      <w:bookmarkEnd w:id="79"/>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80" w:name="_Toc25658499"/>
      <w:bookmarkStart w:id="81" w:name="_Toc2861290"/>
      <w:r>
        <w:rPr>
          <w:rFonts w:hint="eastAsia" w:ascii="宋体" w:hAnsi="宋体" w:cs="宋体"/>
          <w:bCs/>
          <w:color w:val="000000" w:themeColor="text1"/>
          <w:sz w:val="24"/>
          <w:szCs w:val="24"/>
          <w14:textFill>
            <w14:solidFill>
              <w14:schemeClr w14:val="tx1"/>
            </w14:solidFill>
          </w14:textFill>
        </w:rPr>
        <w:t>24.2如果投标文件不响应招标文件实质性要求的，招标人将予以拒绝，并且不允许投标人通过修改或撤销其不符合要求的差异或保留，使之成为具有响应性的投标。</w:t>
      </w:r>
      <w:bookmarkEnd w:id="80"/>
      <w:bookmarkEnd w:id="81"/>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bookmarkStart w:id="82" w:name="_Toc2861291"/>
      <w:bookmarkStart w:id="83" w:name="_Toc25658500"/>
      <w:r>
        <w:rPr>
          <w:rFonts w:hint="eastAsia" w:ascii="宋体" w:hAnsi="宋体" w:cs="宋体"/>
          <w:bCs/>
          <w:color w:val="000000" w:themeColor="text1"/>
          <w:sz w:val="24"/>
          <w:szCs w:val="24"/>
          <w14:textFill>
            <w14:solidFill>
              <w14:schemeClr w14:val="tx1"/>
            </w14:solidFill>
          </w14:textFill>
        </w:rPr>
        <w:t>24.3投标文件有下述情形之一的，经评标委员会评审后按废标处理：</w:t>
      </w:r>
      <w:bookmarkEnd w:id="82"/>
      <w:bookmarkEnd w:id="83"/>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w:t>
      </w:r>
      <w:r>
        <w:rPr>
          <w:rFonts w:hint="eastAsia" w:ascii="宋体" w:hAnsi="宋体" w:cs="宋体"/>
          <w:b/>
          <w:color w:val="000000" w:themeColor="text1"/>
          <w:sz w:val="24"/>
          <w:szCs w:val="24"/>
          <w14:textFill>
            <w14:solidFill>
              <w14:schemeClr w14:val="tx1"/>
            </w14:solidFill>
          </w14:textFill>
        </w:rPr>
        <w:t>投标文件未按照招标文件的要求予以密封和标志的；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w:t>
      </w:r>
      <w:r>
        <w:rPr>
          <w:rFonts w:hint="eastAsia" w:ascii="宋体" w:hAnsi="宋体" w:cs="宋体"/>
          <w:b/>
          <w:color w:val="000000" w:themeColor="text1"/>
          <w:sz w:val="24"/>
          <w:szCs w:val="24"/>
          <w14:textFill>
            <w14:solidFill>
              <w14:schemeClr w14:val="tx1"/>
            </w14:solidFill>
          </w14:textFill>
        </w:rPr>
        <w:t>投标文件未按要求加盖投标单位的企业和企业法定代表人印章（或签字）的；</w:t>
      </w:r>
    </w:p>
    <w:p>
      <w:pPr>
        <w:adjustRightInd w:val="0"/>
        <w:snapToGrid w:val="0"/>
        <w:spacing w:line="360" w:lineRule="auto"/>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r>
        <w:rPr>
          <w:rFonts w:hint="eastAsia" w:ascii="宋体" w:hAnsi="宋体" w:cs="宋体"/>
          <w:b/>
          <w:color w:val="000000" w:themeColor="text1"/>
          <w:sz w:val="24"/>
          <w:szCs w:val="24"/>
          <w14:textFill>
            <w14:solidFill>
              <w14:schemeClr w14:val="tx1"/>
            </w14:solidFill>
          </w14:textFill>
        </w:rPr>
        <w:t>如投标文件</w:t>
      </w:r>
      <w:r>
        <w:rPr>
          <w:rFonts w:hint="eastAsia" w:ascii="宋体" w:hAnsi="宋体" w:cs="宋体"/>
          <w:b/>
          <w:color w:val="000000" w:themeColor="text1"/>
          <w:sz w:val="24"/>
          <w:szCs w:val="24"/>
          <w:highlight w:val="none"/>
          <w14:textFill>
            <w14:solidFill>
              <w14:schemeClr w14:val="tx1"/>
            </w14:solidFill>
          </w14:textFill>
        </w:rPr>
        <w:t>加盖企业法定代表人委托代理人印章（或签字）的，企业法定代表人委托代理人没有合法、有效的委托书（原件）的；</w:t>
      </w:r>
    </w:p>
    <w:p>
      <w:pPr>
        <w:adjustRightInd w:val="0"/>
        <w:snapToGrid w:val="0"/>
        <w:spacing w:line="360" w:lineRule="auto"/>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color w:val="000000" w:themeColor="text1"/>
          <w:sz w:val="24"/>
          <w:szCs w:val="24"/>
          <w:highlight w:val="none"/>
          <w14:textFill>
            <w14:solidFill>
              <w14:schemeClr w14:val="tx1"/>
            </w14:solidFill>
          </w14:textFill>
        </w:rPr>
        <w:t>投标人资格条件不符合国家有关规定或招标文件要求的；</w:t>
      </w:r>
    </w:p>
    <w:p>
      <w:pPr>
        <w:adjustRightInd w:val="0"/>
        <w:snapToGrid w:val="0"/>
        <w:spacing w:line="360" w:lineRule="auto"/>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color w:val="000000" w:themeColor="text1"/>
          <w:sz w:val="24"/>
          <w:szCs w:val="24"/>
          <w:highlight w:val="none"/>
          <w14:textFill>
            <w14:solidFill>
              <w14:schemeClr w14:val="tx1"/>
            </w14:solidFill>
          </w14:textFill>
        </w:rPr>
        <w:t>投标人名称或组织结构与资格预审时不一致的（不适用于资格后审）；</w:t>
      </w:r>
    </w:p>
    <w:p>
      <w:pPr>
        <w:adjustRightInd w:val="0"/>
        <w:snapToGrid w:val="0"/>
        <w:spacing w:line="360" w:lineRule="auto"/>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color w:val="000000" w:themeColor="text1"/>
          <w:sz w:val="24"/>
          <w:szCs w:val="24"/>
          <w:highlight w:val="none"/>
          <w14:textFill>
            <w14:solidFill>
              <w14:schemeClr w14:val="tx1"/>
            </w14:solidFill>
          </w14:textFill>
        </w:rPr>
        <w:t>除在投标截止时间前经招标人书面同意外，项目负责人与资格预审时不一致的（不适用于资格后审）；</w:t>
      </w:r>
    </w:p>
    <w:p>
      <w:pPr>
        <w:adjustRightInd w:val="0"/>
        <w:snapToGrid w:val="0"/>
        <w:spacing w:line="360" w:lineRule="auto"/>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组成联合体投标未提供联合体各方共同投标协议的；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 w:val="24"/>
          <w:szCs w:val="24"/>
          <w:highlight w:val="none"/>
          <w14:textFill>
            <w14:solidFill>
              <w14:schemeClr w14:val="tx1"/>
            </w14:solidFill>
          </w14:textFill>
        </w:rPr>
        <w:t>在同一招标项目中，联合体成员以自己名义单独投标</w:t>
      </w:r>
      <w:r>
        <w:rPr>
          <w:rFonts w:hint="eastAsia" w:ascii="宋体" w:hAnsi="宋体" w:cs="宋体"/>
          <w:b/>
          <w:color w:val="000000" w:themeColor="text1"/>
          <w:sz w:val="24"/>
          <w:szCs w:val="24"/>
          <w14:textFill>
            <w14:solidFill>
              <w14:schemeClr w14:val="tx1"/>
            </w14:solidFill>
          </w14:textFill>
        </w:rPr>
        <w:t>或者参加其他联合体投标的；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(9)</w:t>
      </w:r>
      <w:r>
        <w:rPr>
          <w:rFonts w:hint="eastAsia" w:ascii="宋体" w:hAnsi="宋体" w:cs="宋体"/>
          <w:b/>
          <w:color w:val="000000" w:themeColor="text1"/>
          <w:sz w:val="24"/>
          <w:szCs w:val="24"/>
          <w14:textFill>
            <w14:solidFill>
              <w14:schemeClr w14:val="tx1"/>
            </w14:solidFill>
          </w14:textFill>
        </w:rPr>
        <w:t>联合体成员与资格预审确定的结果不一致的；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w:t>
      </w:r>
      <w:r>
        <w:rPr>
          <w:rFonts w:hint="eastAsia" w:ascii="宋体" w:hAnsi="宋体" w:cs="宋体"/>
          <w:b/>
          <w:color w:val="000000" w:themeColor="text1"/>
          <w:sz w:val="24"/>
          <w:szCs w:val="24"/>
          <w14:textFill>
            <w14:solidFill>
              <w14:schemeClr w14:val="tx1"/>
            </w14:solidFill>
          </w14:textFill>
        </w:rPr>
        <w:t>投标人的投标报价超出招标文件规定范围的；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(11)</w:t>
      </w:r>
      <w:r>
        <w:rPr>
          <w:rFonts w:hint="eastAsia" w:ascii="宋体" w:hAnsi="宋体" w:cs="宋体"/>
          <w:b/>
          <w:color w:val="000000" w:themeColor="text1"/>
          <w:sz w:val="24"/>
          <w:szCs w:val="24"/>
          <w14:textFill>
            <w14:solidFill>
              <w14:schemeClr w14:val="tx1"/>
            </w14:solidFill>
          </w14:textFill>
        </w:rPr>
        <w:t>同一投标人提交两个及以上不同的投标文件或者投标报价，但招标文件要求提交备选投标的除外；</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(12)</w:t>
      </w:r>
      <w:r>
        <w:rPr>
          <w:rFonts w:hint="eastAsia" w:ascii="宋体" w:hAnsi="宋体" w:cs="宋体"/>
          <w:b/>
          <w:color w:val="000000" w:themeColor="text1"/>
          <w:sz w:val="24"/>
          <w:szCs w:val="24"/>
          <w14:textFill>
            <w14:solidFill>
              <w14:schemeClr w14:val="tx1"/>
            </w14:solidFill>
          </w14:textFill>
        </w:rPr>
        <w:t>未按招标文件要求提供投标保证金的；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(13)</w:t>
      </w:r>
      <w:r>
        <w:rPr>
          <w:rFonts w:hint="eastAsia" w:ascii="宋体" w:hAnsi="宋体" w:cs="宋体"/>
          <w:b/>
          <w:color w:val="000000" w:themeColor="text1"/>
          <w:sz w:val="24"/>
          <w:szCs w:val="24"/>
          <w14:textFill>
            <w14:solidFill>
              <w14:schemeClr w14:val="tx1"/>
            </w14:solidFill>
          </w14:textFill>
        </w:rPr>
        <w:t>投标文件载明的招标项目完成期限超过招标文件规定的期限的；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w:t>
      </w:r>
      <w:r>
        <w:rPr>
          <w:rFonts w:hint="eastAsia" w:ascii="宋体" w:hAnsi="宋体" w:cs="宋体"/>
          <w:b/>
          <w:color w:val="000000" w:themeColor="text1"/>
          <w:sz w:val="24"/>
          <w:szCs w:val="24"/>
          <w14:textFill>
            <w14:solidFill>
              <w14:schemeClr w14:val="tx1"/>
            </w14:solidFill>
          </w14:textFill>
        </w:rPr>
        <w:t>明显不符合技术规范、技术标准的要求的；</w:t>
      </w:r>
    </w:p>
    <w:p>
      <w:pPr>
        <w:adjustRightInd w:val="0"/>
        <w:snapToGrid w:val="0"/>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w:t>
      </w:r>
      <w:r>
        <w:rPr>
          <w:rFonts w:hint="eastAsia" w:ascii="宋体" w:hAnsi="宋体" w:cs="宋体"/>
          <w:b/>
          <w:color w:val="000000" w:themeColor="text1"/>
          <w:sz w:val="24"/>
          <w:szCs w:val="24"/>
          <w14:textFill>
            <w14:solidFill>
              <w14:schemeClr w14:val="tx1"/>
            </w14:solidFill>
          </w14:textFill>
        </w:rPr>
        <w:t>投标文件提出了不能满足招标文件要求或招标人不能接受的条件的；</w:t>
      </w:r>
    </w:p>
    <w:p>
      <w:pPr>
        <w:adjustRightInd w:val="0"/>
        <w:snapToGrid w:val="0"/>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w:t>
      </w:r>
      <w:r>
        <w:rPr>
          <w:rFonts w:hint="eastAsia" w:ascii="宋体" w:hAnsi="宋体" w:cs="宋体"/>
          <w:b/>
          <w:color w:val="000000" w:themeColor="text1"/>
          <w:sz w:val="24"/>
          <w:szCs w:val="24"/>
          <w14:textFill>
            <w14:solidFill>
              <w14:schemeClr w14:val="tx1"/>
            </w14:solidFill>
          </w14:textFill>
        </w:rPr>
        <w:t>不同投标人的投标文件以及投标文件制作过程出现了评标委员会认为不应当雷同的情况的；</w:t>
      </w:r>
    </w:p>
    <w:p>
      <w:pPr>
        <w:adjustRightInd w:val="0"/>
        <w:snapToGrid w:val="0"/>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(17)以他人的名义投标、串通投标、以行贿手段谋取中标或者以其他弄虚作假方式投标的；</w:t>
      </w:r>
    </w:p>
    <w:p>
      <w:pPr>
        <w:adjustRightInd w:val="0"/>
        <w:snapToGrid w:val="0"/>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(18)不符合招标文件有关暗标的要求；</w:t>
      </w:r>
    </w:p>
    <w:p>
      <w:pPr>
        <w:adjustRightInd w:val="0"/>
        <w:snapToGrid w:val="0"/>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(19)资格审查文件以及技术标中出现投标报价的；</w:t>
      </w:r>
    </w:p>
    <w:p>
      <w:pPr>
        <w:adjustRightInd w:val="0"/>
        <w:snapToGrid w:val="0"/>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(20)投标文件的关键内容字迹模糊、无法辨认的；</w:t>
      </w:r>
    </w:p>
    <w:p>
      <w:pPr>
        <w:adjustRightInd w:val="0"/>
        <w:snapToGrid w:val="0"/>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(21)投标单位未按招标文件要求填写相关承诺书的；</w:t>
      </w:r>
    </w:p>
    <w:p>
      <w:pPr>
        <w:adjustRightInd w:val="0"/>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(22)项目组人员未满足招标文件的基本要求。</w:t>
      </w:r>
    </w:p>
    <w:p>
      <w:pPr>
        <w:pStyle w:val="15"/>
        <w:tabs>
          <w:tab w:val="left" w:pos="1000"/>
        </w:tabs>
        <w:snapToGrid w:val="0"/>
        <w:spacing w:line="360" w:lineRule="auto"/>
        <w:ind w:firstLine="480" w:firstLineChars="200"/>
        <w:jc w:val="left"/>
        <w:rPr>
          <w:rFonts w:ascii="宋体" w:hAnsi="宋体" w:cs="宋体"/>
          <w:bCs/>
          <w:color w:val="000000" w:themeColor="text1"/>
          <w:sz w:val="24"/>
          <w14:textFill>
            <w14:solidFill>
              <w14:schemeClr w14:val="tx1"/>
            </w14:solidFill>
          </w14:textFill>
        </w:rPr>
      </w:pPr>
      <w:bookmarkStart w:id="84" w:name="_Toc25658501"/>
      <w:bookmarkStart w:id="85" w:name="_Toc2861292"/>
      <w:r>
        <w:rPr>
          <w:rFonts w:hint="eastAsia" w:ascii="宋体" w:hAnsi="宋体" w:cs="宋体"/>
          <w:bCs/>
          <w:color w:val="000000" w:themeColor="text1"/>
          <w:sz w:val="24"/>
          <w14:textFill>
            <w14:solidFill>
              <w14:schemeClr w14:val="tx1"/>
            </w14:solidFill>
          </w14:textFill>
        </w:rPr>
        <w:t>评标委员会对投标文件确认为废标的，应当由三分之二以上评委签字确认。</w:t>
      </w:r>
      <w:bookmarkEnd w:id="84"/>
      <w:bookmarkEnd w:id="85"/>
    </w:p>
    <w:p>
      <w:pPr>
        <w:pStyle w:val="15"/>
        <w:tabs>
          <w:tab w:val="left" w:pos="1000"/>
        </w:tabs>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bookmarkStart w:id="86" w:name="_Toc2861293"/>
      <w:bookmarkStart w:id="87" w:name="_Toc25658502"/>
      <w:r>
        <w:rPr>
          <w:rFonts w:hint="eastAsia" w:ascii="宋体" w:hAnsi="宋体" w:cs="宋体"/>
          <w:b/>
          <w:color w:val="000000" w:themeColor="text1"/>
          <w:sz w:val="24"/>
          <w:szCs w:val="24"/>
          <w14:textFill>
            <w14:solidFill>
              <w14:schemeClr w14:val="tx1"/>
            </w14:solidFill>
          </w14:textFill>
        </w:rPr>
        <w:t>25、</w:t>
      </w:r>
      <w:r>
        <w:rPr>
          <w:rFonts w:hint="eastAsia" w:ascii="宋体" w:hAnsi="宋体" w:cs="宋体"/>
          <w:color w:val="000000" w:themeColor="text1"/>
          <w:kern w:val="0"/>
          <w:sz w:val="24"/>
          <w14:textFill>
            <w14:solidFill>
              <w14:schemeClr w14:val="tx1"/>
            </w14:solidFill>
          </w14:textFill>
        </w:rPr>
        <w:t>评标委员会完成评标后，应按规定向招标人提交书面评标报告，评标报告应由评标委员会全体成员签字。对评标结论持有异议的评标委员会成员可以书面方式阐述其不同意见和理由。评标委员会成员拒绝在评标报告上签字且不陈述其不同意见和理由的，视为同意评标结论。评标委员会对此应做出书面说明并记录在案。</w:t>
      </w:r>
      <w:bookmarkEnd w:id="86"/>
      <w:bookmarkEnd w:id="87"/>
    </w:p>
    <w:p>
      <w:pPr>
        <w:pStyle w:val="15"/>
        <w:tabs>
          <w:tab w:val="left" w:pos="1000"/>
        </w:tabs>
        <w:snapToGrid w:val="0"/>
        <w:spacing w:line="360" w:lineRule="auto"/>
        <w:ind w:firstLine="482" w:firstLineChars="200"/>
        <w:jc w:val="left"/>
        <w:rPr>
          <w:rFonts w:ascii="宋体" w:hAnsi="宋体" w:cs="宋体"/>
          <w:b/>
          <w:color w:val="000000" w:themeColor="text1"/>
          <w:sz w:val="24"/>
          <w:szCs w:val="24"/>
          <w14:textFill>
            <w14:solidFill>
              <w14:schemeClr w14:val="tx1"/>
            </w14:solidFill>
          </w14:textFill>
        </w:rPr>
      </w:pPr>
      <w:bookmarkStart w:id="88" w:name="_Toc2861294"/>
      <w:bookmarkStart w:id="89" w:name="_Toc25658503"/>
      <w:r>
        <w:rPr>
          <w:rFonts w:hint="eastAsia" w:ascii="宋体" w:hAnsi="宋体" w:cs="宋体"/>
          <w:b/>
          <w:color w:val="000000" w:themeColor="text1"/>
          <w:sz w:val="24"/>
          <w:szCs w:val="24"/>
          <w14:textFill>
            <w14:solidFill>
              <w14:schemeClr w14:val="tx1"/>
            </w14:solidFill>
          </w14:textFill>
        </w:rPr>
        <w:t>26.确定中标人</w:t>
      </w:r>
      <w:bookmarkEnd w:id="88"/>
      <w:bookmarkEnd w:id="89"/>
    </w:p>
    <w:p>
      <w:pPr>
        <w:pStyle w:val="15"/>
        <w:tabs>
          <w:tab w:val="left" w:pos="1000"/>
        </w:tabs>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bookmarkStart w:id="90" w:name="_Toc2861295"/>
      <w:bookmarkStart w:id="91" w:name="_Toc25658504"/>
      <w:r>
        <w:rPr>
          <w:rFonts w:hint="eastAsia" w:ascii="宋体" w:hAnsi="宋体" w:cs="宋体"/>
          <w:b/>
          <w:color w:val="000000" w:themeColor="text1"/>
          <w:kern w:val="0"/>
          <w:sz w:val="24"/>
          <w14:textFill>
            <w14:solidFill>
              <w14:schemeClr w14:val="tx1"/>
            </w14:solidFill>
          </w14:textFill>
        </w:rPr>
        <w:t>26.1</w:t>
      </w:r>
      <w:r>
        <w:rPr>
          <w:rFonts w:hint="eastAsia" w:ascii="宋体" w:hAnsi="宋体" w:cs="宋体"/>
          <w:b/>
          <w:color w:val="000000" w:themeColor="text1"/>
          <w:sz w:val="24"/>
          <w14:textFill>
            <w14:solidFill>
              <w14:schemeClr w14:val="tx1"/>
            </w14:solidFill>
          </w14:textFill>
        </w:rPr>
        <w:t>评标委员会将根据总得分由高到低依次推荐中标候选人，具体见“第六章评标办法”。</w:t>
      </w:r>
      <w:bookmarkEnd w:id="90"/>
      <w:bookmarkEnd w:id="91"/>
    </w:p>
    <w:p>
      <w:pPr>
        <w:snapToGrid w:val="0"/>
        <w:spacing w:line="360" w:lineRule="auto"/>
        <w:jc w:val="center"/>
        <w:outlineLvl w:val="2"/>
        <w:rPr>
          <w:rFonts w:ascii="宋体" w:hAnsi="宋体" w:cs="宋体"/>
          <w:b/>
          <w:color w:val="000000" w:themeColor="text1"/>
          <w:sz w:val="36"/>
          <w14:textFill>
            <w14:solidFill>
              <w14:schemeClr w14:val="tx1"/>
            </w14:solidFill>
          </w14:textFill>
        </w:rPr>
      </w:pPr>
      <w:bookmarkStart w:id="92" w:name="_Toc2861297"/>
      <w:bookmarkStart w:id="93" w:name="_Toc25659021"/>
      <w:bookmarkStart w:id="94" w:name="_Toc25658506"/>
      <w:r>
        <w:rPr>
          <w:rFonts w:hint="eastAsia" w:ascii="宋体" w:hAnsi="宋体" w:cs="宋体"/>
          <w:b/>
          <w:color w:val="000000" w:themeColor="text1"/>
          <w:sz w:val="36"/>
          <w14:textFill>
            <w14:solidFill>
              <w14:schemeClr w14:val="tx1"/>
            </w14:solidFill>
          </w14:textFill>
        </w:rPr>
        <w:t>（七）授予合同</w:t>
      </w:r>
      <w:bookmarkEnd w:id="92"/>
      <w:bookmarkEnd w:id="93"/>
      <w:bookmarkEnd w:id="94"/>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27、中标</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27.1确定中标人后，招标人向中标人发出中标通知书，中标通知书将成为合同的组成部分。</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27.2中标人收到中标通知书后，应在15日内与招标人签订合同。中标人不与招标人订立合同的，投标保证金不予退还并取消其中标资格，并且，给招标人造成的损失超过投标保证金数额的，还应当对超过部分予以赔偿。</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28、合同签订</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28.1中标通知书发出后5日内，中标人应按本须知前附表第3项规定的金额向招标人提交履约保证金。</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28.2若中标人不能按本须知第27.2条的规定执行，招标人将有充分的理由视为中标人放弃中标项目和签订合同的权利，并没收其投标保证金。该行为给招标人造成损失超过投标保证金数额的，还应当对超过部分予以赔偿。</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28.3招标人与中标人将根据《中华人民共和国合同法》的规定，依据招标文件和投标文件签订设计合同。</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29、投标设计成果的使用说明</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29.1方案设计中标的投标人（以下简称中标人）应保证招标人不受到来自第三方关于侵犯设计权的指控，任何第三方如果提出侵权指控，中标人应与第三方交涉并承担可能发生的一切法律责任以及费用和造成的后果，并赔偿招标人的损失。</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29.2未经投标人书面同意，招标人不得将交付的设计方案向第三方转让或用于本招标范围外的其他建设项目。投标人的投标文件不予退还，方案设计成果及其设计理念在本项目的使用权归招标人所有（包括废标方案）。</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29.3未中标单位设计补偿</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所有投标单位其投标文本的知识产权均归招标人所有。</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本项目对未中标的投标人不予经济补偿。</w:t>
      </w:r>
    </w:p>
    <w:p>
      <w:pPr>
        <w:snapToGrid w:val="0"/>
        <w:spacing w:line="360" w:lineRule="auto"/>
        <w:ind w:firstLine="448" w:firstLineChars="200"/>
        <w:rPr>
          <w:rFonts w:ascii="宋体" w:hAnsi="宋体" w:cs="宋体"/>
          <w:color w:val="000000" w:themeColor="text1"/>
          <w:spacing w:val="-8"/>
          <w:sz w:val="24"/>
          <w:szCs w:val="24"/>
          <w14:textFill>
            <w14:solidFill>
              <w14:schemeClr w14:val="tx1"/>
            </w14:solidFill>
          </w14:textFill>
        </w:rPr>
      </w:pPr>
    </w:p>
    <w:p>
      <w:pPr>
        <w:snapToGrid w:val="0"/>
        <w:spacing w:line="360" w:lineRule="auto"/>
        <w:jc w:val="center"/>
        <w:outlineLvl w:val="2"/>
        <w:rPr>
          <w:rFonts w:ascii="宋体" w:hAnsi="宋体" w:cs="宋体"/>
          <w:b/>
          <w:color w:val="000000" w:themeColor="text1"/>
          <w:sz w:val="36"/>
          <w14:textFill>
            <w14:solidFill>
              <w14:schemeClr w14:val="tx1"/>
            </w14:solidFill>
          </w14:textFill>
        </w:rPr>
      </w:pPr>
      <w:bookmarkStart w:id="95" w:name="_Toc2861298"/>
      <w:bookmarkStart w:id="96" w:name="_Toc25659022"/>
      <w:bookmarkStart w:id="97" w:name="_Toc25658507"/>
      <w:r>
        <w:rPr>
          <w:rFonts w:hint="eastAsia" w:ascii="宋体" w:hAnsi="宋体" w:cs="宋体"/>
          <w:b/>
          <w:color w:val="000000" w:themeColor="text1"/>
          <w:sz w:val="36"/>
          <w14:textFill>
            <w14:solidFill>
              <w14:schemeClr w14:val="tx1"/>
            </w14:solidFill>
          </w14:textFill>
        </w:rPr>
        <w:t>（八）关于投标人异议和投诉</w:t>
      </w:r>
      <w:bookmarkEnd w:id="95"/>
      <w:bookmarkEnd w:id="96"/>
      <w:bookmarkEnd w:id="97"/>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30、对招标文件有异议的，潜在投标人或者其他利害关系人应当在投标截止时间5日前提出。</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31、对开标有异议的，应当在开标现场提出。开标结束后投标人不得对开标事项再提出异议。</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32、对评标结果有异议的，投标人或者其他利害关系人应当在中标候选人的公示期间提出。</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33、投标人或者其他利害关系人认为招标投标活动不符合法律、法规和规章规定的,可以依法向招标人提出异议，也可以在知道或者应当知道之日起10日内，向有关行政监督部门投诉，但就《中华人民共和国招标投标法实施条例》第二十二条、第四十四条、第五十四条规定事项进行投诉的，应当依法先向招标人提出异议。</w:t>
      </w:r>
    </w:p>
    <w:p>
      <w:pPr>
        <w:pStyle w:val="15"/>
        <w:tabs>
          <w:tab w:val="left" w:pos="1000"/>
        </w:tabs>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34、投标人提出的异议或投诉须符合苏建规字[2017]1号文的相关规定，否则，不予受理。</w:t>
      </w:r>
    </w:p>
    <w:p>
      <w:pPr>
        <w:snapToGrid w:val="0"/>
        <w:spacing w:line="360" w:lineRule="auto"/>
        <w:ind w:firstLine="720" w:firstLineChars="200"/>
        <w:rPr>
          <w:rFonts w:ascii="宋体" w:hAnsi="宋体" w:cs="宋体"/>
          <w:color w:val="000000" w:themeColor="text1"/>
          <w:sz w:val="36"/>
          <w:szCs w:val="36"/>
          <w14:textFill>
            <w14:solidFill>
              <w14:schemeClr w14:val="tx1"/>
            </w14:solidFill>
          </w14:textFill>
        </w:rPr>
        <w:sectPr>
          <w:footerReference r:id="rId4" w:type="first"/>
          <w:footerReference r:id="rId3" w:type="default"/>
          <w:pgSz w:w="11906" w:h="16838"/>
          <w:pgMar w:top="1247" w:right="1274" w:bottom="1247" w:left="1361" w:header="851" w:footer="992" w:gutter="283"/>
          <w:cols w:space="720" w:num="1"/>
          <w:titlePg/>
          <w:docGrid w:linePitch="312" w:charSpace="0"/>
        </w:sectPr>
      </w:pPr>
    </w:p>
    <w:p>
      <w:pPr>
        <w:rPr>
          <w:rFonts w:ascii="宋体" w:hAnsi="宋体" w:cs="宋体"/>
          <w:color w:val="000000" w:themeColor="text1"/>
          <w:sz w:val="36"/>
          <w:szCs w:val="36"/>
          <w14:textFill>
            <w14:solidFill>
              <w14:schemeClr w14:val="tx1"/>
            </w14:solidFill>
          </w14:textFill>
        </w:rPr>
      </w:pPr>
      <w:bookmarkStart w:id="98" w:name="_Toc16618"/>
      <w:bookmarkStart w:id="99" w:name="_Toc7437"/>
      <w:bookmarkStart w:id="100" w:name="_Toc25659023"/>
      <w:r>
        <w:rPr>
          <w:rFonts w:hint="eastAsia" w:ascii="宋体" w:hAnsi="宋体" w:cs="宋体"/>
          <w:color w:val="000000" w:themeColor="text1"/>
          <w:sz w:val="36"/>
          <w:szCs w:val="36"/>
          <w14:textFill>
            <w14:solidFill>
              <w14:schemeClr w14:val="tx1"/>
            </w14:solidFill>
          </w14:textFill>
        </w:rPr>
        <w:br w:type="page"/>
      </w:r>
    </w:p>
    <w:p>
      <w:pPr>
        <w:spacing w:line="580" w:lineRule="exact"/>
        <w:jc w:val="center"/>
        <w:outlineLvl w:val="0"/>
        <w:rPr>
          <w:rFonts w:ascii="宋体" w:hAnsi="宋体" w:cs="宋体"/>
          <w:b/>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第三章 设计任务书</w:t>
      </w:r>
      <w:bookmarkEnd w:id="98"/>
      <w:bookmarkEnd w:id="99"/>
      <w:bookmarkEnd w:id="100"/>
    </w:p>
    <w:p>
      <w:pPr>
        <w:pStyle w:val="21"/>
        <w:tabs>
          <w:tab w:val="left" w:pos="4160"/>
        </w:tabs>
        <w:spacing w:line="240" w:lineRule="auto"/>
        <w:ind w:firstLine="0" w:firstLineChars="0"/>
        <w:jc w:val="center"/>
        <w:outlineLvl w:val="0"/>
        <w:rPr>
          <w:rFonts w:ascii="楷体" w:hAnsi="楷体" w:eastAsia="楷体"/>
          <w:b/>
          <w:sz w:val="44"/>
          <w:szCs w:val="44"/>
        </w:rPr>
      </w:pPr>
      <w:bookmarkStart w:id="101" w:name="_Toc24534"/>
      <w:bookmarkStart w:id="102" w:name="_Toc28523"/>
      <w:bookmarkStart w:id="103" w:name="_Toc227040882"/>
      <w:bookmarkStart w:id="104" w:name="_Toc429294707"/>
      <w:bookmarkStart w:id="105" w:name="_Toc22865"/>
      <w:bookmarkStart w:id="106" w:name="_Toc14699"/>
      <w:r>
        <w:rPr>
          <w:rFonts w:hint="eastAsia" w:ascii="宋体" w:hAnsi="宋体" w:cs="宋体"/>
          <w:b/>
          <w:sz w:val="32"/>
          <w:szCs w:val="32"/>
        </w:rPr>
        <w:t>崇川区桃坞路街景提升改造工程设计任务</w:t>
      </w:r>
      <w:bookmarkEnd w:id="101"/>
      <w:bookmarkEnd w:id="102"/>
      <w:bookmarkStart w:id="107" w:name="_Toc299017610"/>
      <w:r>
        <w:rPr>
          <w:rFonts w:hint="eastAsia" w:ascii="宋体" w:hAnsi="宋体" w:cs="宋体"/>
          <w:b/>
          <w:sz w:val="32"/>
          <w:szCs w:val="32"/>
        </w:rPr>
        <w:t>书</w:t>
      </w:r>
      <w:bookmarkEnd w:id="107"/>
      <w:bookmarkStart w:id="108" w:name="_Toc78192057"/>
      <w:bookmarkStart w:id="109" w:name="_Toc67930715"/>
      <w:bookmarkStart w:id="110" w:name="_Toc5488"/>
    </w:p>
    <w:bookmarkEnd w:id="108"/>
    <w:bookmarkEnd w:id="109"/>
    <w:bookmarkEnd w:id="110"/>
    <w:p>
      <w:pPr>
        <w:adjustRightInd w:val="0"/>
        <w:spacing w:line="360" w:lineRule="auto"/>
        <w:ind w:firstLine="480" w:firstLineChars="200"/>
        <w:rPr>
          <w:rFonts w:ascii="宋体" w:hAnsi="宋体" w:cs="宋体"/>
          <w:b/>
          <w:bCs/>
          <w:sz w:val="24"/>
          <w:szCs w:val="24"/>
        </w:rPr>
      </w:pPr>
      <w:bookmarkStart w:id="111" w:name="_Hlk119592518"/>
      <w:bookmarkStart w:id="112" w:name="_Toc25659024"/>
      <w:r>
        <w:rPr>
          <w:rFonts w:hint="eastAsia" w:ascii="宋体" w:hAnsi="宋体"/>
          <w:b/>
          <w:bCs/>
          <w:sz w:val="24"/>
          <w:szCs w:val="24"/>
        </w:rPr>
        <w:t>一、项目背景</w:t>
      </w:r>
    </w:p>
    <w:p>
      <w:pPr>
        <w:spacing w:line="360" w:lineRule="auto"/>
        <w:ind w:firstLine="480" w:firstLineChars="200"/>
        <w:rPr>
          <w:rFonts w:ascii="宋体" w:hAnsi="宋体" w:cs="宋体"/>
          <w:sz w:val="24"/>
          <w:szCs w:val="24"/>
        </w:rPr>
      </w:pPr>
      <w:r>
        <w:rPr>
          <w:rFonts w:hint="eastAsia" w:ascii="宋体" w:hAnsi="宋体" w:cs="宋体"/>
          <w:sz w:val="24"/>
          <w:szCs w:val="24"/>
        </w:rPr>
        <w:t>为重现桃坞路的百年历史风采，打造精致靓丽的街景街貌，增强市民幸福感，彰显南通城市特色，对桃坞路建筑现状进行全面梳理，全面提升建筑立面、夜景照明、店招牌匾等视觉要素，实现建筑环境更加整洁、空间视觉更加协调、文化底蕴更加彰显。</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二、设计原则</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1、科学规范</w:t>
      </w:r>
    </w:p>
    <w:p>
      <w:pPr>
        <w:spacing w:line="360" w:lineRule="auto"/>
        <w:ind w:firstLine="480" w:firstLineChars="200"/>
        <w:rPr>
          <w:rFonts w:ascii="宋体" w:hAnsi="宋体" w:cs="宋体"/>
          <w:sz w:val="24"/>
          <w:szCs w:val="24"/>
        </w:rPr>
      </w:pPr>
      <w:r>
        <w:rPr>
          <w:rFonts w:hint="eastAsia" w:ascii="宋体" w:hAnsi="宋体" w:cs="宋体"/>
          <w:sz w:val="24"/>
          <w:szCs w:val="24"/>
        </w:rPr>
        <w:t>街景提升改造在规划布局和设计方式上应符合国家、江苏省、南通市等法规和规范要求，达到科学合理、和谐美观的设置目标。</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2、协调融合</w:t>
      </w:r>
    </w:p>
    <w:p>
      <w:pPr>
        <w:spacing w:line="360" w:lineRule="auto"/>
        <w:ind w:firstLine="480" w:firstLineChars="200"/>
        <w:rPr>
          <w:rFonts w:ascii="宋体" w:hAnsi="宋体" w:cs="宋体"/>
          <w:sz w:val="24"/>
          <w:szCs w:val="24"/>
        </w:rPr>
      </w:pPr>
      <w:r>
        <w:rPr>
          <w:rFonts w:hint="eastAsia" w:ascii="宋体" w:hAnsi="宋体" w:cs="宋体"/>
          <w:sz w:val="24"/>
          <w:szCs w:val="24"/>
        </w:rPr>
        <w:t>以历史文化建筑为基底，在进行视觉综合提升设计时应注重城市风貌的协调性，在造型风格、色彩材质、空间肌理上等彼此呼应，有机融合，相得益彰。</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3、特色鲜明</w:t>
      </w:r>
    </w:p>
    <w:p>
      <w:pPr>
        <w:spacing w:line="360" w:lineRule="auto"/>
        <w:ind w:firstLine="480" w:firstLineChars="200"/>
        <w:rPr>
          <w:rFonts w:ascii="宋体" w:hAnsi="宋体" w:cs="宋体"/>
          <w:sz w:val="24"/>
          <w:szCs w:val="24"/>
        </w:rPr>
      </w:pPr>
      <w:r>
        <w:rPr>
          <w:rFonts w:hint="eastAsia" w:ascii="宋体" w:hAnsi="宋体" w:cs="宋体"/>
          <w:sz w:val="24"/>
          <w:szCs w:val="24"/>
        </w:rPr>
        <w:t>街景提升改造应注重桃坞路对南通历史人文特点的彰显，体现桃坞路百年老街地位，形成街区特色亮点空间，打造历史文化新地标。</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4、安全实用</w:t>
      </w:r>
    </w:p>
    <w:p>
      <w:pPr>
        <w:spacing w:line="360" w:lineRule="auto"/>
        <w:ind w:firstLine="480" w:firstLineChars="200"/>
        <w:rPr>
          <w:rFonts w:ascii="宋体" w:hAnsi="宋体" w:cs="宋体"/>
          <w:sz w:val="24"/>
          <w:szCs w:val="24"/>
        </w:rPr>
      </w:pPr>
      <w:r>
        <w:rPr>
          <w:rFonts w:hint="eastAsia" w:ascii="宋体" w:hAnsi="宋体" w:cs="宋体"/>
          <w:sz w:val="24"/>
          <w:szCs w:val="24"/>
        </w:rPr>
        <w:t>选材得当、经济环保、美观耐用，便于施工和维护，安装设置方式牢固，安全性和实用性强。</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三、设计依据</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《中华人民共和国城市容貌标准》（住房和城乡建设部第</w:t>
      </w:r>
      <w:r>
        <w:rPr>
          <w:rFonts w:ascii="宋体" w:hAnsi="宋体" w:cs="宋体"/>
          <w:sz w:val="24"/>
          <w:szCs w:val="24"/>
        </w:rPr>
        <w:t>129号）</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《中华人民共和国道路交通安全法》（</w:t>
      </w:r>
      <w:r>
        <w:rPr>
          <w:rFonts w:ascii="宋体" w:hAnsi="宋体" w:cs="宋体"/>
          <w:sz w:val="24"/>
          <w:szCs w:val="24"/>
        </w:rPr>
        <w:t>2004年）</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《城市户外广告和招牌设施技术标准》（</w:t>
      </w:r>
      <w:r>
        <w:rPr>
          <w:rFonts w:ascii="宋体" w:hAnsi="宋体" w:cs="宋体"/>
          <w:sz w:val="24"/>
          <w:szCs w:val="24"/>
        </w:rPr>
        <w:t>CJJ/T149-2021）</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《城市景观照明技术标准》（</w:t>
      </w:r>
      <w:r>
        <w:rPr>
          <w:rFonts w:ascii="宋体" w:hAnsi="宋体" w:cs="宋体"/>
          <w:sz w:val="24"/>
          <w:szCs w:val="24"/>
        </w:rPr>
        <w:t>DB11/T388.1-2015）</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《民用建筑设计统一标准》（</w:t>
      </w:r>
      <w:r>
        <w:rPr>
          <w:rFonts w:ascii="宋体" w:hAnsi="宋体" w:cs="宋体"/>
          <w:sz w:val="24"/>
          <w:szCs w:val="24"/>
        </w:rPr>
        <w:t>GB50352-2019）</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《高层民用建筑设计防火规范》（</w:t>
      </w:r>
      <w:r>
        <w:rPr>
          <w:rFonts w:ascii="宋体" w:hAnsi="宋体" w:cs="宋体"/>
          <w:sz w:val="24"/>
          <w:szCs w:val="24"/>
        </w:rPr>
        <w:t>GB50045）</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《江苏省户外广告管理办法》（</w:t>
      </w:r>
      <w:r>
        <w:rPr>
          <w:rFonts w:ascii="宋体" w:hAnsi="宋体" w:cs="宋体"/>
          <w:sz w:val="24"/>
          <w:szCs w:val="24"/>
        </w:rPr>
        <w:t>2006年）</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《江苏省城市容貌标准》（</w:t>
      </w:r>
      <w:r>
        <w:rPr>
          <w:rFonts w:ascii="宋体" w:hAnsi="宋体" w:cs="宋体"/>
          <w:sz w:val="24"/>
          <w:szCs w:val="24"/>
        </w:rPr>
        <w:t>2016年）</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《江苏省城市市容和环境卫生管理条例》（</w:t>
      </w:r>
      <w:r>
        <w:rPr>
          <w:rFonts w:ascii="宋体" w:hAnsi="宋体" w:cs="宋体"/>
          <w:sz w:val="24"/>
          <w:szCs w:val="24"/>
        </w:rPr>
        <w:t>2012年）</w:t>
      </w:r>
    </w:p>
    <w:p>
      <w:pPr>
        <w:pStyle w:val="112"/>
        <w:numPr>
          <w:ilvl w:val="0"/>
          <w:numId w:val="2"/>
        </w:numPr>
        <w:spacing w:line="360" w:lineRule="auto"/>
        <w:ind w:firstLineChars="0"/>
        <w:rPr>
          <w:rFonts w:ascii="宋体" w:hAnsi="宋体" w:cs="宋体"/>
          <w:sz w:val="24"/>
          <w:szCs w:val="24"/>
        </w:rPr>
      </w:pPr>
      <w:r>
        <w:rPr>
          <w:rFonts w:hint="eastAsia" w:ascii="宋体" w:hAnsi="宋体" w:cs="宋体"/>
          <w:sz w:val="24"/>
          <w:szCs w:val="24"/>
        </w:rPr>
        <w:t>其他相关材料</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四、设计范围</w:t>
      </w:r>
    </w:p>
    <w:p>
      <w:pPr>
        <w:spacing w:line="360" w:lineRule="auto"/>
        <w:ind w:firstLine="480" w:firstLineChars="200"/>
        <w:rPr>
          <w:rFonts w:ascii="宋体" w:hAnsi="宋体" w:cs="宋体"/>
          <w:sz w:val="24"/>
          <w:szCs w:val="24"/>
        </w:rPr>
      </w:pPr>
      <w:r>
        <w:rPr>
          <w:rFonts w:hint="eastAsia" w:ascii="宋体" w:hAnsi="宋体" w:cs="宋体"/>
          <w:sz w:val="24"/>
          <w:szCs w:val="24"/>
        </w:rPr>
        <w:t>桃坞路街景提升改造设计项目位于南通市崇川区桃坞路，西起姚港路，东至跃龙路，道路全长约</w:t>
      </w:r>
      <w:r>
        <w:rPr>
          <w:rFonts w:ascii="宋体" w:hAnsi="宋体" w:cs="宋体"/>
          <w:sz w:val="24"/>
          <w:szCs w:val="24"/>
        </w:rPr>
        <w:t>520米。本次</w:t>
      </w:r>
      <w:r>
        <w:rPr>
          <w:rFonts w:hint="eastAsia" w:ascii="宋体" w:hAnsi="宋体" w:cs="宋体"/>
          <w:sz w:val="24"/>
          <w:szCs w:val="24"/>
        </w:rPr>
        <w:t>设计</w:t>
      </w:r>
      <w:r>
        <w:rPr>
          <w:rFonts w:ascii="宋体" w:hAnsi="宋体" w:cs="宋体"/>
          <w:sz w:val="24"/>
          <w:szCs w:val="24"/>
        </w:rPr>
        <w:t>的内容主要包括莘园大厦、</w:t>
      </w:r>
      <w:r>
        <w:rPr>
          <w:rFonts w:hint="eastAsia" w:ascii="宋体" w:hAnsi="宋体" w:cs="宋体"/>
          <w:sz w:val="24"/>
          <w:szCs w:val="24"/>
        </w:rPr>
        <w:t>更俗剧院、桃坞路服饰城</w:t>
      </w:r>
      <w:r>
        <w:rPr>
          <w:rFonts w:ascii="宋体" w:hAnsi="宋体" w:cs="宋体"/>
          <w:sz w:val="24"/>
          <w:szCs w:val="24"/>
        </w:rPr>
        <w:t>及沿街二楼以下的建筑物</w:t>
      </w:r>
      <w:r>
        <w:rPr>
          <w:rFonts w:hint="eastAsia" w:ascii="宋体" w:hAnsi="宋体" w:cs="宋体"/>
          <w:sz w:val="24"/>
          <w:szCs w:val="24"/>
        </w:rPr>
        <w:t>街景提升改造</w:t>
      </w:r>
      <w:r>
        <w:rPr>
          <w:rFonts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桃坞路设计范围建筑清单：</w:t>
      </w:r>
    </w:p>
    <w:tbl>
      <w:tblPr>
        <w:tblStyle w:val="4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04"/>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4" w:type="dxa"/>
            <w:shd w:val="clear" w:color="auto" w:fill="FFFFFF" w:themeFill="background1"/>
            <w:vAlign w:val="center"/>
          </w:tcPr>
          <w:p>
            <w:pPr>
              <w:spacing w:line="360" w:lineRule="auto"/>
              <w:rPr>
                <w:rFonts w:ascii="宋体" w:hAnsi="宋体" w:cs="Calibri"/>
                <w:kern w:val="0"/>
                <w:sz w:val="24"/>
                <w:szCs w:val="24"/>
              </w:rPr>
            </w:pPr>
            <w:bookmarkStart w:id="113" w:name="_Hlk88929176"/>
            <w:r>
              <w:rPr>
                <w:rFonts w:hint="eastAsia" w:ascii="宋体" w:hAnsi="宋体" w:cs="Calibri"/>
                <w:kern w:val="0"/>
                <w:sz w:val="24"/>
                <w:szCs w:val="24"/>
              </w:rPr>
              <w:t>序号</w:t>
            </w:r>
          </w:p>
        </w:tc>
        <w:tc>
          <w:tcPr>
            <w:tcW w:w="1701" w:type="dxa"/>
            <w:shd w:val="clear" w:color="auto" w:fill="FFFFFF" w:themeFill="background1"/>
            <w:vAlign w:val="center"/>
          </w:tcPr>
          <w:p>
            <w:pPr>
              <w:spacing w:line="360" w:lineRule="auto"/>
              <w:ind w:firstLine="480" w:firstLineChars="200"/>
              <w:rPr>
                <w:rFonts w:ascii="宋体" w:hAnsi="宋体" w:cs="Calibri"/>
                <w:kern w:val="0"/>
                <w:sz w:val="24"/>
                <w:szCs w:val="24"/>
              </w:rPr>
            </w:pPr>
            <w:r>
              <w:rPr>
                <w:rFonts w:hint="eastAsia" w:ascii="宋体" w:hAnsi="宋体" w:cs="Calibri"/>
                <w:kern w:val="0"/>
                <w:sz w:val="24"/>
                <w:szCs w:val="24"/>
              </w:rPr>
              <w:t>方向</w:t>
            </w:r>
          </w:p>
        </w:tc>
        <w:tc>
          <w:tcPr>
            <w:tcW w:w="5954" w:type="dxa"/>
            <w:shd w:val="clear" w:color="auto" w:fill="FFFFFF" w:themeFill="background1"/>
            <w:vAlign w:val="center"/>
          </w:tcPr>
          <w:p>
            <w:pPr>
              <w:spacing w:line="360" w:lineRule="auto"/>
              <w:ind w:firstLine="480" w:firstLineChars="200"/>
              <w:rPr>
                <w:rFonts w:ascii="宋体" w:hAnsi="宋体" w:cs="Calibri"/>
                <w:kern w:val="0"/>
                <w:sz w:val="24"/>
                <w:szCs w:val="24"/>
              </w:rPr>
            </w:pPr>
            <w:r>
              <w:rPr>
                <w:rFonts w:hint="eastAsia" w:ascii="宋体" w:hAnsi="宋体" w:cs="Calibri"/>
                <w:kern w:val="0"/>
                <w:sz w:val="24"/>
                <w:szCs w:val="24"/>
              </w:rPr>
              <w:t>涵盖建筑名称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FFFFFF" w:themeFill="background1"/>
          </w:tcPr>
          <w:p>
            <w:pPr>
              <w:spacing w:line="360" w:lineRule="auto"/>
              <w:ind w:firstLine="170" w:firstLineChars="71"/>
              <w:rPr>
                <w:rFonts w:ascii="宋体" w:hAnsi="宋体" w:cs="Calibri"/>
                <w:kern w:val="0"/>
                <w:sz w:val="24"/>
                <w:szCs w:val="24"/>
              </w:rPr>
            </w:pPr>
            <w:r>
              <w:rPr>
                <w:rFonts w:hint="eastAsia" w:ascii="宋体" w:hAnsi="宋体" w:cs="Calibri"/>
                <w:kern w:val="0"/>
                <w:sz w:val="24"/>
                <w:szCs w:val="24"/>
              </w:rPr>
              <w:t>1</w:t>
            </w:r>
          </w:p>
        </w:tc>
        <w:tc>
          <w:tcPr>
            <w:tcW w:w="1701" w:type="dxa"/>
            <w:shd w:val="clear" w:color="auto" w:fill="FFFFFF" w:themeFill="background1"/>
            <w:vAlign w:val="center"/>
          </w:tcPr>
          <w:p>
            <w:pPr>
              <w:spacing w:line="360" w:lineRule="auto"/>
              <w:rPr>
                <w:rFonts w:ascii="宋体" w:hAnsi="宋体" w:cs="Calibri"/>
                <w:kern w:val="0"/>
                <w:sz w:val="24"/>
                <w:szCs w:val="24"/>
              </w:rPr>
            </w:pPr>
            <w:r>
              <w:rPr>
                <w:rFonts w:hint="eastAsia" w:ascii="宋体" w:hAnsi="宋体" w:cs="Calibri"/>
                <w:kern w:val="0"/>
                <w:sz w:val="24"/>
                <w:szCs w:val="24"/>
              </w:rPr>
              <w:t>道路北侧</w:t>
            </w:r>
          </w:p>
        </w:tc>
        <w:tc>
          <w:tcPr>
            <w:tcW w:w="5954" w:type="dxa"/>
            <w:shd w:val="clear" w:color="auto" w:fill="FFFFFF" w:themeFill="background1"/>
            <w:vAlign w:val="center"/>
          </w:tcPr>
          <w:p>
            <w:pPr>
              <w:spacing w:line="360" w:lineRule="auto"/>
              <w:rPr>
                <w:rFonts w:ascii="宋体" w:hAnsi="宋体" w:cs="Calibri"/>
                <w:kern w:val="0"/>
                <w:sz w:val="24"/>
                <w:szCs w:val="24"/>
              </w:rPr>
            </w:pPr>
            <w:r>
              <w:rPr>
                <w:rFonts w:hint="eastAsia" w:ascii="宋体" w:hAnsi="宋体" w:cs="Calibri"/>
                <w:kern w:val="0"/>
                <w:sz w:val="24"/>
                <w:szCs w:val="24"/>
              </w:rPr>
              <w:t>更俗剧院、崇川区政府、友谊公寓、友谊大厦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6" w:hRule="atLeast"/>
          <w:jc w:val="center"/>
        </w:trPr>
        <w:tc>
          <w:tcPr>
            <w:tcW w:w="704" w:type="dxa"/>
            <w:shd w:val="clear" w:color="auto" w:fill="FFFFFF" w:themeFill="background1"/>
          </w:tcPr>
          <w:p>
            <w:pPr>
              <w:spacing w:line="360" w:lineRule="auto"/>
              <w:ind w:firstLine="170" w:firstLineChars="71"/>
              <w:rPr>
                <w:rFonts w:ascii="宋体" w:hAnsi="宋体" w:cs="Calibri"/>
                <w:kern w:val="0"/>
                <w:sz w:val="24"/>
                <w:szCs w:val="24"/>
              </w:rPr>
            </w:pPr>
            <w:r>
              <w:rPr>
                <w:rFonts w:hint="eastAsia" w:ascii="宋体" w:hAnsi="宋体" w:cs="Calibri"/>
                <w:kern w:val="0"/>
                <w:sz w:val="24"/>
                <w:szCs w:val="24"/>
              </w:rPr>
              <w:t>2</w:t>
            </w:r>
          </w:p>
        </w:tc>
        <w:tc>
          <w:tcPr>
            <w:tcW w:w="1701" w:type="dxa"/>
            <w:shd w:val="clear" w:color="auto" w:fill="FFFFFF" w:themeFill="background1"/>
            <w:vAlign w:val="center"/>
          </w:tcPr>
          <w:p>
            <w:pPr>
              <w:spacing w:line="360" w:lineRule="auto"/>
              <w:rPr>
                <w:rFonts w:ascii="宋体" w:hAnsi="宋体" w:cs="Calibri"/>
                <w:kern w:val="0"/>
                <w:sz w:val="24"/>
                <w:szCs w:val="24"/>
              </w:rPr>
            </w:pPr>
            <w:r>
              <w:rPr>
                <w:rFonts w:hint="eastAsia" w:ascii="宋体" w:hAnsi="宋体" w:cs="Calibri"/>
                <w:kern w:val="0"/>
                <w:sz w:val="24"/>
                <w:szCs w:val="24"/>
              </w:rPr>
              <w:t>道路南侧</w:t>
            </w:r>
          </w:p>
        </w:tc>
        <w:tc>
          <w:tcPr>
            <w:tcW w:w="5954" w:type="dxa"/>
            <w:shd w:val="clear" w:color="auto" w:fill="FFFFFF" w:themeFill="background1"/>
            <w:vAlign w:val="center"/>
          </w:tcPr>
          <w:p>
            <w:pPr>
              <w:spacing w:line="360" w:lineRule="auto"/>
              <w:rPr>
                <w:rFonts w:ascii="宋体" w:hAnsi="宋体" w:cs="Calibri"/>
                <w:kern w:val="0"/>
                <w:sz w:val="24"/>
                <w:szCs w:val="24"/>
              </w:rPr>
            </w:pPr>
            <w:r>
              <w:rPr>
                <w:rFonts w:hint="eastAsia" w:ascii="宋体" w:hAnsi="宋体" w:cs="Calibri"/>
                <w:kern w:val="0"/>
                <w:sz w:val="24"/>
                <w:szCs w:val="24"/>
              </w:rPr>
              <w:t>莘园大厦、桃坞路服饰城、南通古玩城、浦发银行大厦</w:t>
            </w:r>
          </w:p>
        </w:tc>
      </w:tr>
      <w:bookmarkEnd w:id="113"/>
    </w:tbl>
    <w:p>
      <w:pPr>
        <w:spacing w:line="360" w:lineRule="auto"/>
        <w:ind w:firstLine="480" w:firstLineChars="200"/>
        <w:rPr>
          <w:rFonts w:ascii="宋体" w:hAnsi="宋体" w:cs="宋体"/>
          <w:b/>
          <w:bCs/>
          <w:sz w:val="24"/>
          <w:szCs w:val="24"/>
        </w:rPr>
      </w:pPr>
      <w:r>
        <w:rPr>
          <w:rFonts w:hint="eastAsia" w:ascii="宋体" w:hAnsi="宋体" w:cs="宋体"/>
          <w:b/>
          <w:bCs/>
          <w:sz w:val="24"/>
          <w:szCs w:val="24"/>
        </w:rPr>
        <w:t>五、设计内容</w:t>
      </w:r>
    </w:p>
    <w:p>
      <w:pPr>
        <w:spacing w:line="360" w:lineRule="auto"/>
        <w:ind w:firstLine="480" w:firstLineChars="200"/>
        <w:rPr>
          <w:rFonts w:ascii="宋体" w:hAnsi="宋体" w:cs="宋体"/>
          <w:sz w:val="24"/>
          <w:szCs w:val="24"/>
        </w:rPr>
      </w:pPr>
      <w:r>
        <w:rPr>
          <w:rFonts w:hint="eastAsia" w:ascii="宋体" w:hAnsi="宋体" w:cs="宋体"/>
          <w:sz w:val="24"/>
          <w:szCs w:val="24"/>
        </w:rPr>
        <w:t>结合桃坞路功能定位、现状综合分析，提出整体街景提升设计思路，全面提升建筑立面、夜景照明、店招牌匾等核心要素，运用</w:t>
      </w:r>
      <w:r>
        <w:rPr>
          <w:rFonts w:hint="eastAsia" w:ascii="宋体" w:hAnsi="宋体"/>
          <w:sz w:val="24"/>
          <w:szCs w:val="24"/>
        </w:rPr>
        <w:t>方案设计及施工图设计，指导后期改造升级。</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1）总则。</w:t>
      </w:r>
      <w:r>
        <w:rPr>
          <w:rFonts w:hint="eastAsia" w:ascii="宋体" w:hAnsi="宋体" w:cs="宋体"/>
          <w:sz w:val="24"/>
          <w:szCs w:val="24"/>
        </w:rPr>
        <w:t>设计背景、</w:t>
      </w:r>
      <w:r>
        <w:rPr>
          <w:rFonts w:ascii="宋体" w:hAnsi="宋体" w:cs="宋体"/>
          <w:sz w:val="24"/>
          <w:szCs w:val="24"/>
        </w:rPr>
        <w:t>范围、原则、依据等。</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设计</w:t>
      </w:r>
      <w:r>
        <w:rPr>
          <w:rFonts w:ascii="宋体" w:hAnsi="宋体" w:cs="宋体"/>
          <w:sz w:val="24"/>
          <w:szCs w:val="24"/>
        </w:rPr>
        <w:t>目标及定位。结合相关上位规划和优秀案例分析，立足本次</w:t>
      </w:r>
      <w:r>
        <w:rPr>
          <w:rFonts w:hint="eastAsia" w:ascii="宋体" w:hAnsi="宋体" w:cs="宋体"/>
          <w:sz w:val="24"/>
          <w:szCs w:val="24"/>
        </w:rPr>
        <w:t>设计</w:t>
      </w:r>
      <w:r>
        <w:rPr>
          <w:rFonts w:ascii="宋体" w:hAnsi="宋体" w:cs="宋体"/>
          <w:sz w:val="24"/>
          <w:szCs w:val="24"/>
        </w:rPr>
        <w:t>的实际情况，提出</w:t>
      </w:r>
      <w:r>
        <w:rPr>
          <w:rFonts w:hint="eastAsia" w:ascii="宋体" w:hAnsi="宋体" w:cs="宋体"/>
          <w:sz w:val="24"/>
          <w:szCs w:val="24"/>
        </w:rPr>
        <w:t>设计</w:t>
      </w:r>
      <w:r>
        <w:rPr>
          <w:rFonts w:ascii="宋体" w:hAnsi="宋体" w:cs="宋体"/>
          <w:sz w:val="24"/>
          <w:szCs w:val="24"/>
        </w:rPr>
        <w:t>思路及目标定位。</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3）更新建筑立面。</w:t>
      </w:r>
      <w:r>
        <w:rPr>
          <w:rFonts w:hint="eastAsia" w:ascii="宋体" w:hAnsi="宋体" w:cs="宋体"/>
          <w:sz w:val="24"/>
          <w:szCs w:val="24"/>
        </w:rPr>
        <w:t>优化立面材质，</w:t>
      </w:r>
      <w:r>
        <w:rPr>
          <w:rFonts w:ascii="宋体" w:hAnsi="宋体" w:cs="宋体"/>
          <w:sz w:val="24"/>
          <w:szCs w:val="24"/>
        </w:rPr>
        <w:t>修复破损墙面，</w:t>
      </w:r>
      <w:r>
        <w:rPr>
          <w:rFonts w:hint="eastAsia" w:ascii="宋体" w:hAnsi="宋体" w:cs="宋体"/>
          <w:sz w:val="24"/>
          <w:szCs w:val="24"/>
        </w:rPr>
        <w:t>调整空调布局，修饰立面色彩</w:t>
      </w:r>
      <w:r>
        <w:rPr>
          <w:rFonts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4）完善夜景亮化。增加建筑天际线、</w:t>
      </w:r>
      <w:r>
        <w:rPr>
          <w:rFonts w:hint="eastAsia" w:ascii="宋体" w:hAnsi="宋体" w:cs="宋体"/>
          <w:sz w:val="24"/>
          <w:szCs w:val="24"/>
        </w:rPr>
        <w:t>建筑立面及</w:t>
      </w:r>
      <w:r>
        <w:rPr>
          <w:rFonts w:ascii="宋体" w:hAnsi="宋体" w:cs="宋体"/>
          <w:sz w:val="24"/>
          <w:szCs w:val="24"/>
        </w:rPr>
        <w:t>沿街底商步行空间的照明设计。</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5）美化</w:t>
      </w:r>
      <w:r>
        <w:rPr>
          <w:rFonts w:hint="eastAsia" w:ascii="宋体" w:hAnsi="宋体" w:cs="宋体"/>
          <w:sz w:val="24"/>
          <w:szCs w:val="24"/>
        </w:rPr>
        <w:t>店招牌匾</w:t>
      </w:r>
      <w:r>
        <w:rPr>
          <w:rFonts w:ascii="宋体" w:hAnsi="宋体" w:cs="宋体"/>
          <w:sz w:val="24"/>
          <w:szCs w:val="24"/>
        </w:rPr>
        <w:t>。对店招牌匾进行</w:t>
      </w:r>
      <w:r>
        <w:rPr>
          <w:rFonts w:hint="eastAsia" w:ascii="宋体" w:hAnsi="宋体" w:cs="宋体"/>
          <w:sz w:val="24"/>
          <w:szCs w:val="24"/>
        </w:rPr>
        <w:t>综合分析，优化提升部分品质较差的店招牌匾，</w:t>
      </w:r>
      <w:r>
        <w:rPr>
          <w:rFonts w:ascii="宋体" w:hAnsi="宋体" w:cs="宋体"/>
          <w:sz w:val="24"/>
          <w:szCs w:val="24"/>
        </w:rPr>
        <w:t>使之既能展现商家个性，又能展现街区文化。</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）施工图设计。针对街景提升改造设计方案，进行施工材质、尺寸、色彩等施工引导设计。</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六、设计成果</w:t>
      </w:r>
    </w:p>
    <w:p>
      <w:pPr>
        <w:spacing w:line="360" w:lineRule="auto"/>
        <w:ind w:firstLine="480" w:firstLineChars="200"/>
        <w:rPr>
          <w:rFonts w:ascii="宋体" w:hAnsi="宋体" w:cs="宋体"/>
          <w:sz w:val="24"/>
          <w:szCs w:val="24"/>
        </w:rPr>
      </w:pPr>
      <w:r>
        <w:rPr>
          <w:rFonts w:hint="eastAsia" w:ascii="宋体" w:hAnsi="宋体" w:cs="宋体"/>
          <w:sz w:val="24"/>
          <w:szCs w:val="24"/>
        </w:rPr>
        <w:t>本次设计的所有成果内容及深度应严格符合相关法律、法规、标准和技术规范的要求，所有成果均应有符合要求的电子文档及相应的成果光盘。施工图必须满足施工的技术规范要求和施工工艺的要求，体现出施工的具体工艺做法和要求（不局限于施工做法、施工尺寸的要求、测量的要求等等）。</w:t>
      </w:r>
    </w:p>
    <w:p>
      <w:pPr>
        <w:spacing w:line="360" w:lineRule="auto"/>
        <w:ind w:firstLine="480" w:firstLineChars="200"/>
        <w:rPr>
          <w:rFonts w:ascii="宋体" w:hAnsi="宋体" w:cs="宋体"/>
          <w:sz w:val="24"/>
          <w:szCs w:val="24"/>
        </w:rPr>
      </w:pPr>
      <w:r>
        <w:rPr>
          <w:rFonts w:hint="eastAsia" w:ascii="宋体" w:hAnsi="宋体" w:cs="宋体"/>
          <w:sz w:val="24"/>
          <w:szCs w:val="24"/>
        </w:rPr>
        <w:t>1、设计文件：包括封面、目录、说明、图纸及图示等，全部说明和图纸</w:t>
      </w:r>
      <w:r>
        <w:rPr>
          <w:rFonts w:ascii="宋体" w:hAnsi="宋体" w:cs="宋体"/>
          <w:sz w:val="24"/>
          <w:szCs w:val="24"/>
        </w:rPr>
        <w:t>装订成册，数量5套</w:t>
      </w:r>
      <w:r>
        <w:rPr>
          <w:rFonts w:hint="eastAsia" w:ascii="宋体" w:hAnsi="宋体" w:cs="宋体"/>
          <w:sz w:val="24"/>
          <w:szCs w:val="24"/>
        </w:rPr>
        <w:t>。</w:t>
      </w:r>
    </w:p>
    <w:p>
      <w:pPr>
        <w:pStyle w:val="44"/>
        <w:ind w:firstLineChars="0"/>
        <w:rPr>
          <w:rFonts w:ascii="宋体" w:hAnsi="宋体" w:cs="宋体"/>
          <w:sz w:val="24"/>
          <w:szCs w:val="24"/>
        </w:rPr>
      </w:pPr>
      <w:r>
        <w:rPr>
          <w:rFonts w:ascii="宋体" w:hAnsi="宋体" w:cs="宋体"/>
          <w:sz w:val="24"/>
          <w:szCs w:val="24"/>
        </w:rPr>
        <w:t>2</w:t>
      </w:r>
      <w:r>
        <w:rPr>
          <w:rFonts w:hint="eastAsia" w:ascii="宋体" w:hAnsi="宋体" w:cs="宋体"/>
          <w:sz w:val="24"/>
          <w:szCs w:val="24"/>
        </w:rPr>
        <w:t>、方案文本应包括：设计范围、目标、原则、依据、设计理念、设计方案及施工图等内容。</w:t>
      </w:r>
    </w:p>
    <w:p>
      <w:pPr>
        <w:pStyle w:val="44"/>
        <w:ind w:firstLineChars="0"/>
        <w:rPr>
          <w:rFonts w:ascii="宋体" w:hAnsi="宋体" w:cs="宋体"/>
          <w:sz w:val="24"/>
          <w:szCs w:val="24"/>
        </w:rPr>
      </w:pPr>
      <w:r>
        <w:rPr>
          <w:rFonts w:ascii="宋体" w:hAnsi="宋体" w:cs="宋体"/>
          <w:sz w:val="24"/>
          <w:szCs w:val="24"/>
        </w:rPr>
        <w:t>3</w:t>
      </w:r>
      <w:r>
        <w:rPr>
          <w:rFonts w:hint="eastAsia" w:ascii="宋体" w:hAnsi="宋体" w:cs="宋体"/>
          <w:sz w:val="24"/>
          <w:szCs w:val="24"/>
        </w:rPr>
        <w:t>、方案图纸应包括：区位图、现状分析图、建筑方案效果图、施工图等。</w:t>
      </w:r>
    </w:p>
    <w:p>
      <w:pPr>
        <w:pStyle w:val="44"/>
        <w:ind w:firstLineChars="0"/>
        <w:rPr>
          <w:rFonts w:ascii="宋体" w:hAnsi="宋体" w:cs="宋体"/>
          <w:sz w:val="24"/>
          <w:szCs w:val="24"/>
        </w:rPr>
      </w:pPr>
      <w:r>
        <w:rPr>
          <w:rFonts w:ascii="宋体" w:hAnsi="宋体" w:cs="宋体"/>
          <w:sz w:val="24"/>
          <w:szCs w:val="24"/>
        </w:rPr>
        <w:t>4</w:t>
      </w:r>
      <w:r>
        <w:rPr>
          <w:rFonts w:hint="eastAsia" w:ascii="宋体" w:hAnsi="宋体" w:cs="宋体"/>
          <w:sz w:val="24"/>
          <w:szCs w:val="24"/>
        </w:rPr>
        <w:t>、成果电子文件一套：包括规划设计方案（PPT格式）、施工图。</w:t>
      </w:r>
    </w:p>
    <w:bookmarkEnd w:id="111"/>
    <w:p>
      <w:pPr>
        <w:spacing w:line="360" w:lineRule="auto"/>
        <w:ind w:firstLine="480" w:firstLineChars="200"/>
        <w:rPr>
          <w:rFonts w:ascii="宋体" w:hAnsi="宋体" w:cs="宋体"/>
          <w:sz w:val="24"/>
          <w:szCs w:val="24"/>
        </w:rPr>
      </w:pPr>
      <w:r>
        <w:rPr>
          <w:rFonts w:hint="eastAsia" w:ascii="宋体" w:hAnsi="宋体" w:cs="宋体"/>
          <w:sz w:val="24"/>
          <w:szCs w:val="24"/>
        </w:rPr>
        <w:t>七、付款方式：</w:t>
      </w:r>
    </w:p>
    <w:p>
      <w:pPr>
        <w:pStyle w:val="44"/>
        <w:ind w:firstLineChars="0"/>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自本合同签定后7个工作日内，甲方向乙方支付合同价款的30%；</w:t>
      </w:r>
    </w:p>
    <w:p>
      <w:pPr>
        <w:pStyle w:val="44"/>
        <w:ind w:firstLineChars="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乙方设计效果图经甲方确认，15个工作日内支付至合同价款的60%；</w:t>
      </w:r>
    </w:p>
    <w:p>
      <w:pPr>
        <w:pStyle w:val="44"/>
        <w:ind w:firstLineChars="0"/>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乙方施工图经甲方确认，通过施工图审查机构审查后15个工作日内支付至合同价的90%；</w:t>
      </w:r>
    </w:p>
    <w:p>
      <w:pPr>
        <w:pStyle w:val="44"/>
        <w:ind w:firstLineChars="0"/>
        <w:rPr>
          <w:rFonts w:ascii="宋体" w:hAnsi="宋体" w:cs="宋体"/>
          <w:bCs/>
          <w:color w:val="000000" w:themeColor="text1"/>
          <w:sz w:val="36"/>
          <w:szCs w:val="36"/>
          <w14:textFill>
            <w14:solidFill>
              <w14:schemeClr w14:val="tx1"/>
            </w14:solidFill>
          </w14:textFill>
        </w:rPr>
      </w:pPr>
      <w:r>
        <w:rPr>
          <w:rFonts w:ascii="宋体" w:hAnsi="宋体" w:cs="宋体"/>
          <w:sz w:val="24"/>
          <w:szCs w:val="24"/>
        </w:rPr>
        <w:t>4</w:t>
      </w:r>
      <w:r>
        <w:rPr>
          <w:rFonts w:hint="eastAsia" w:ascii="宋体" w:hAnsi="宋体" w:cs="宋体"/>
          <w:sz w:val="24"/>
          <w:szCs w:val="24"/>
        </w:rPr>
        <w:t>、</w:t>
      </w:r>
      <w:r>
        <w:rPr>
          <w:rFonts w:ascii="宋体" w:hAnsi="宋体" w:cs="宋体"/>
          <w:sz w:val="24"/>
          <w:szCs w:val="24"/>
        </w:rPr>
        <w:t>余款待工程竣工验收后15个工作日内一次性结清。</w:t>
      </w:r>
      <w:r>
        <w:rPr>
          <w:rFonts w:hint="eastAsia" w:ascii="宋体" w:hAnsi="宋体" w:cs="宋体"/>
          <w:bCs/>
          <w:color w:val="000000" w:themeColor="text1"/>
          <w:sz w:val="36"/>
          <w:szCs w:val="36"/>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第四章合同条款及格式</w:t>
      </w:r>
      <w:bookmarkEnd w:id="103"/>
      <w:bookmarkEnd w:id="104"/>
      <w:bookmarkEnd w:id="105"/>
      <w:bookmarkEnd w:id="106"/>
      <w:bookmarkEnd w:id="112"/>
    </w:p>
    <w:p>
      <w:pPr>
        <w:wordWrap w:val="0"/>
        <w:jc w:val="right"/>
        <w:rPr>
          <w:rFonts w:ascii="宋体" w:hAnsi="宋体" w:cs="宋体"/>
          <w:b/>
          <w:bCs/>
          <w:spacing w:val="60"/>
          <w:sz w:val="28"/>
          <w:szCs w:val="28"/>
        </w:rPr>
      </w:pPr>
      <w:bookmarkStart w:id="114" w:name="_Toc16283"/>
      <w:bookmarkStart w:id="115" w:name="_Toc17138"/>
      <w:r>
        <w:rPr>
          <w:rFonts w:hint="eastAsia" w:ascii="宋体" w:hAnsi="宋体" w:cs="宋体"/>
          <w:sz w:val="28"/>
          <w:szCs w:val="28"/>
        </w:rPr>
        <w:t>合同编号：</w:t>
      </w:r>
    </w:p>
    <w:p>
      <w:pPr>
        <w:jc w:val="center"/>
        <w:rPr>
          <w:rFonts w:ascii="宋体" w:hAnsi="宋体" w:cs="宋体"/>
          <w:b/>
          <w:bCs/>
          <w:spacing w:val="60"/>
          <w:sz w:val="28"/>
          <w:szCs w:val="28"/>
        </w:rPr>
      </w:pPr>
    </w:p>
    <w:p>
      <w:pPr>
        <w:pStyle w:val="19"/>
      </w:pPr>
    </w:p>
    <w:p>
      <w:pPr>
        <w:jc w:val="center"/>
        <w:rPr>
          <w:rFonts w:ascii="宋体" w:hAnsi="宋体" w:cs="宋体"/>
          <w:b/>
          <w:bCs/>
          <w:spacing w:val="60"/>
          <w:sz w:val="28"/>
          <w:szCs w:val="28"/>
        </w:rPr>
      </w:pPr>
    </w:p>
    <w:p>
      <w:pPr>
        <w:jc w:val="center"/>
        <w:rPr>
          <w:rFonts w:ascii="宋体" w:hAnsi="宋体" w:cs="宋体"/>
          <w:b/>
          <w:bCs/>
          <w:spacing w:val="60"/>
          <w:sz w:val="28"/>
          <w:szCs w:val="28"/>
        </w:rPr>
      </w:pPr>
    </w:p>
    <w:p>
      <w:pPr>
        <w:ind w:right="420"/>
        <w:jc w:val="center"/>
        <w:rPr>
          <w:rFonts w:ascii="宋体" w:hAnsi="宋体" w:cs="宋体"/>
          <w:b/>
          <w:sz w:val="44"/>
          <w:szCs w:val="44"/>
        </w:rPr>
      </w:pPr>
      <w:r>
        <w:rPr>
          <w:rFonts w:hint="eastAsia" w:ascii="宋体" w:hAnsi="宋体" w:cs="宋体"/>
          <w:b/>
          <w:sz w:val="44"/>
          <w:szCs w:val="44"/>
        </w:rPr>
        <w:t xml:space="preserve"> 设 计 合 同</w:t>
      </w:r>
    </w:p>
    <w:p>
      <w:pPr>
        <w:ind w:right="420"/>
        <w:jc w:val="center"/>
        <w:rPr>
          <w:rFonts w:ascii="宋体" w:hAnsi="宋体" w:cs="宋体"/>
          <w:b/>
          <w:sz w:val="28"/>
          <w:szCs w:val="28"/>
        </w:rPr>
      </w:pPr>
    </w:p>
    <w:p>
      <w:pPr>
        <w:ind w:right="420"/>
        <w:jc w:val="center"/>
        <w:rPr>
          <w:rFonts w:ascii="宋体" w:hAnsi="宋体" w:cs="宋体"/>
          <w:b/>
          <w:sz w:val="28"/>
          <w:szCs w:val="28"/>
        </w:rPr>
      </w:pPr>
    </w:p>
    <w:p>
      <w:pPr>
        <w:pStyle w:val="19"/>
        <w:rPr>
          <w:rFonts w:ascii="宋体" w:eastAsia="宋体" w:cs="宋体"/>
          <w:b/>
        </w:rPr>
      </w:pPr>
    </w:p>
    <w:p>
      <w:pPr>
        <w:pStyle w:val="20"/>
        <w:rPr>
          <w:rFonts w:ascii="宋体" w:hAnsi="宋体" w:cs="宋体"/>
          <w:b/>
          <w:sz w:val="28"/>
          <w:szCs w:val="28"/>
        </w:rPr>
      </w:pPr>
    </w:p>
    <w:p/>
    <w:p>
      <w:pPr>
        <w:ind w:right="420"/>
        <w:jc w:val="center"/>
        <w:rPr>
          <w:rFonts w:ascii="宋体" w:hAnsi="宋体" w:cs="宋体"/>
          <w:b/>
          <w:sz w:val="28"/>
          <w:szCs w:val="28"/>
        </w:rPr>
      </w:pPr>
    </w:p>
    <w:p>
      <w:pPr>
        <w:pStyle w:val="19"/>
        <w:rPr>
          <w:rFonts w:ascii="宋体" w:eastAsia="宋体" w:cs="宋体"/>
          <w:b/>
        </w:rPr>
      </w:pPr>
    </w:p>
    <w:p>
      <w:pPr>
        <w:pStyle w:val="20"/>
        <w:rPr>
          <w:rFonts w:ascii="宋体" w:hAnsi="宋体" w:cs="宋体"/>
          <w:b/>
          <w:sz w:val="28"/>
          <w:szCs w:val="28"/>
        </w:rPr>
      </w:pPr>
    </w:p>
    <w:p/>
    <w:p>
      <w:pPr>
        <w:adjustRightInd w:val="0"/>
        <w:snapToGrid w:val="0"/>
        <w:spacing w:line="480" w:lineRule="auto"/>
        <w:ind w:left="2021" w:leftChars="296" w:hanging="1400" w:hangingChars="500"/>
        <w:rPr>
          <w:rFonts w:ascii="宋体" w:hAnsi="宋体" w:cs="宋体"/>
          <w:b/>
          <w:sz w:val="28"/>
          <w:szCs w:val="28"/>
          <w:u w:val="single"/>
          <w:lang w:val="zh-CN"/>
        </w:rPr>
      </w:pPr>
      <w:r>
        <w:rPr>
          <w:rFonts w:hint="eastAsia" w:ascii="宋体" w:hAnsi="宋体" w:cs="宋体"/>
          <w:b/>
          <w:sz w:val="28"/>
          <w:szCs w:val="28"/>
          <w:lang w:val="zh-CN"/>
        </w:rPr>
        <w:t xml:space="preserve">项目名称： </w:t>
      </w:r>
    </w:p>
    <w:p>
      <w:pPr>
        <w:adjustRightInd w:val="0"/>
        <w:snapToGrid w:val="0"/>
        <w:spacing w:line="480" w:lineRule="auto"/>
        <w:ind w:left="2021" w:leftChars="296" w:hanging="1400" w:hangingChars="500"/>
        <w:rPr>
          <w:rFonts w:ascii="宋体" w:hAnsi="宋体" w:cs="宋体"/>
          <w:b/>
          <w:sz w:val="28"/>
          <w:szCs w:val="28"/>
          <w:u w:val="single"/>
          <w:lang w:val="zh-CN"/>
        </w:rPr>
      </w:pPr>
      <w:r>
        <w:rPr>
          <w:rFonts w:hint="eastAsia" w:ascii="宋体" w:hAnsi="宋体" w:cs="宋体"/>
          <w:b/>
          <w:sz w:val="28"/>
          <w:szCs w:val="28"/>
          <w:lang w:val="zh-CN"/>
        </w:rPr>
        <w:t>委托方（甲方）：</w:t>
      </w:r>
    </w:p>
    <w:p>
      <w:pPr>
        <w:adjustRightInd w:val="0"/>
        <w:snapToGrid w:val="0"/>
        <w:spacing w:line="480" w:lineRule="auto"/>
        <w:ind w:firstLine="560" w:firstLineChars="200"/>
        <w:jc w:val="left"/>
        <w:rPr>
          <w:rFonts w:ascii="宋体" w:hAnsi="宋体" w:cs="宋体"/>
          <w:b/>
          <w:sz w:val="28"/>
          <w:szCs w:val="28"/>
          <w:lang w:val="zh-CN"/>
        </w:rPr>
      </w:pPr>
      <w:r>
        <w:rPr>
          <w:rFonts w:hint="eastAsia" w:ascii="宋体" w:hAnsi="宋体" w:cs="宋体"/>
          <w:b/>
          <w:sz w:val="28"/>
          <w:szCs w:val="28"/>
        </w:rPr>
        <w:t>设计</w:t>
      </w:r>
      <w:r>
        <w:rPr>
          <w:rFonts w:hint="eastAsia" w:ascii="宋体" w:hAnsi="宋体" w:cs="宋体"/>
          <w:b/>
          <w:sz w:val="28"/>
          <w:szCs w:val="28"/>
          <w:lang w:val="zh-CN"/>
        </w:rPr>
        <w:t>方（乙方）：</w:t>
      </w:r>
    </w:p>
    <w:p>
      <w:pPr>
        <w:adjustRightInd w:val="0"/>
        <w:snapToGrid w:val="0"/>
        <w:spacing w:line="480" w:lineRule="auto"/>
        <w:ind w:firstLine="548" w:firstLineChars="196"/>
        <w:rPr>
          <w:rFonts w:ascii="宋体" w:hAnsi="宋体" w:cs="宋体"/>
          <w:b/>
          <w:sz w:val="28"/>
          <w:szCs w:val="28"/>
          <w:u w:val="single"/>
          <w:lang w:val="zh-CN"/>
        </w:rPr>
      </w:pPr>
      <w:r>
        <w:rPr>
          <w:rFonts w:hint="eastAsia" w:ascii="宋体" w:hAnsi="宋体" w:cs="宋体"/>
          <w:b/>
          <w:sz w:val="28"/>
          <w:szCs w:val="28"/>
          <w:lang w:val="zh-CN"/>
        </w:rPr>
        <w:t>签订时间：</w:t>
      </w:r>
      <w:r>
        <w:rPr>
          <w:rFonts w:hint="eastAsia" w:ascii="宋体" w:hAnsi="宋体" w:cs="宋体"/>
          <w:b/>
          <w:sz w:val="28"/>
          <w:szCs w:val="28"/>
          <w:u w:val="single"/>
          <w:lang w:val="zh-CN"/>
        </w:rPr>
        <w:t xml:space="preserve">            202</w:t>
      </w:r>
      <w:r>
        <w:rPr>
          <w:rFonts w:hint="eastAsia" w:ascii="宋体" w:hAnsi="宋体" w:cs="宋体"/>
          <w:b/>
          <w:sz w:val="28"/>
          <w:szCs w:val="28"/>
          <w:u w:val="single"/>
        </w:rPr>
        <w:t>3</w:t>
      </w:r>
      <w:r>
        <w:rPr>
          <w:rFonts w:hint="eastAsia" w:ascii="宋体" w:hAnsi="宋体" w:cs="宋体"/>
          <w:b/>
          <w:sz w:val="28"/>
          <w:szCs w:val="28"/>
          <w:u w:val="single"/>
          <w:lang w:val="zh-CN"/>
        </w:rPr>
        <w:t xml:space="preserve">年月日            </w:t>
      </w:r>
    </w:p>
    <w:p>
      <w:pPr>
        <w:adjustRightInd w:val="0"/>
        <w:snapToGrid w:val="0"/>
        <w:spacing w:line="480" w:lineRule="auto"/>
        <w:ind w:firstLine="548" w:firstLineChars="196"/>
        <w:rPr>
          <w:rFonts w:ascii="宋体" w:hAnsi="宋体" w:cs="宋体"/>
          <w:b/>
          <w:sz w:val="28"/>
          <w:szCs w:val="28"/>
          <w:u w:val="single"/>
          <w:lang w:val="zh-CN"/>
        </w:rPr>
      </w:pPr>
      <w:r>
        <w:rPr>
          <w:rFonts w:hint="eastAsia" w:ascii="宋体" w:hAnsi="宋体" w:cs="宋体"/>
          <w:b/>
          <w:sz w:val="28"/>
          <w:szCs w:val="28"/>
          <w:lang w:val="zh-CN"/>
        </w:rPr>
        <w:t>签订地点：</w:t>
      </w:r>
      <w:r>
        <w:rPr>
          <w:rFonts w:hint="eastAsia" w:ascii="宋体" w:hAnsi="宋体" w:cs="宋体"/>
          <w:b/>
          <w:sz w:val="28"/>
          <w:szCs w:val="28"/>
          <w:u w:val="single"/>
          <w:lang w:val="zh-CN"/>
        </w:rPr>
        <w:t xml:space="preserve">               江苏省南通市             </w:t>
      </w:r>
    </w:p>
    <w:p>
      <w:pPr>
        <w:adjustRightInd w:val="0"/>
        <w:snapToGrid w:val="0"/>
        <w:spacing w:line="480" w:lineRule="auto"/>
        <w:ind w:firstLine="548" w:firstLineChars="196"/>
        <w:rPr>
          <w:rFonts w:ascii="宋体" w:hAnsi="宋体" w:cs="宋体"/>
          <w:sz w:val="24"/>
        </w:rPr>
      </w:pPr>
      <w:r>
        <w:rPr>
          <w:rFonts w:hint="eastAsia" w:ascii="宋体" w:hAnsi="宋体" w:cs="宋体"/>
          <w:b/>
          <w:sz w:val="28"/>
          <w:szCs w:val="28"/>
          <w:lang w:val="zh-CN"/>
        </w:rPr>
        <w:t>有效期限：</w:t>
      </w:r>
      <w:r>
        <w:rPr>
          <w:rFonts w:hint="eastAsia" w:ascii="宋体" w:hAnsi="宋体" w:cs="宋体"/>
          <w:b/>
          <w:sz w:val="28"/>
          <w:szCs w:val="28"/>
          <w:u w:val="single"/>
          <w:lang w:val="zh-CN"/>
        </w:rPr>
        <w:t xml:space="preserve">  自合同签订之日起至合同条款全部履行完止</w:t>
      </w:r>
    </w:p>
    <w:p>
      <w:pPr>
        <w:spacing w:line="360" w:lineRule="auto"/>
        <w:rPr>
          <w:rFonts w:ascii="宋体" w:hAnsi="宋体" w:cs="宋体"/>
          <w:sz w:val="24"/>
        </w:rPr>
      </w:pPr>
      <w:r>
        <w:rPr>
          <w:rFonts w:hint="eastAsia" w:ascii="宋体" w:hAnsi="宋体" w:cs="宋体"/>
          <w:sz w:val="24"/>
        </w:rPr>
        <w:t>委托方（甲方）：</w:t>
      </w:r>
      <w:r>
        <w:rPr>
          <w:rFonts w:hint="eastAsia" w:ascii="宋体" w:hAnsi="宋体" w:cs="宋体"/>
          <w:spacing w:val="-6"/>
          <w:sz w:val="24"/>
          <w:u w:val="single"/>
        </w:rPr>
        <w:t>南通市崇川区城市管理局</w:t>
      </w:r>
    </w:p>
    <w:p>
      <w:pPr>
        <w:spacing w:line="360" w:lineRule="auto"/>
        <w:rPr>
          <w:rFonts w:ascii="宋体" w:hAnsi="宋体" w:cs="宋体"/>
          <w:sz w:val="24"/>
          <w:u w:val="single"/>
        </w:rPr>
      </w:pPr>
      <w:r>
        <w:rPr>
          <w:rFonts w:hint="eastAsia" w:ascii="宋体" w:hAnsi="宋体" w:cs="宋体"/>
          <w:sz w:val="24"/>
        </w:rPr>
        <w:t>设计方（乙方）：</w:t>
      </w:r>
    </w:p>
    <w:p>
      <w:pPr>
        <w:spacing w:line="360" w:lineRule="auto"/>
        <w:ind w:firstLine="480" w:firstLineChars="200"/>
        <w:rPr>
          <w:rFonts w:ascii="宋体" w:hAnsi="宋体" w:cs="宋体"/>
          <w:sz w:val="24"/>
        </w:rPr>
      </w:pPr>
      <w:r>
        <w:rPr>
          <w:rFonts w:hint="eastAsia" w:ascii="宋体" w:hAnsi="宋体" w:cs="宋体"/>
          <w:sz w:val="24"/>
        </w:rPr>
        <w:t>甲方委托乙方承担</w:t>
      </w:r>
      <w:r>
        <w:rPr>
          <w:rFonts w:hint="eastAsia" w:ascii="宋体" w:hAnsi="宋体" w:cs="宋体"/>
          <w:sz w:val="24"/>
          <w:u w:val="single"/>
        </w:rPr>
        <w:t xml:space="preserve"> 崇川区桃坞路街景提升设计项目 </w:t>
      </w:r>
      <w:r>
        <w:rPr>
          <w:rFonts w:hint="eastAsia" w:ascii="宋体" w:hAnsi="宋体" w:cs="宋体"/>
          <w:sz w:val="24"/>
        </w:rPr>
        <w:t>工作，经双方协商一致，签订本合同。</w:t>
      </w:r>
    </w:p>
    <w:p>
      <w:pPr>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第一条  本合同依据下列文件签订</w:t>
      </w:r>
    </w:p>
    <w:p>
      <w:pPr>
        <w:spacing w:line="360" w:lineRule="auto"/>
        <w:ind w:firstLine="480" w:firstLineChars="200"/>
        <w:rPr>
          <w:rFonts w:ascii="宋体" w:hAnsi="宋体" w:cs="宋体"/>
          <w:sz w:val="24"/>
        </w:rPr>
      </w:pPr>
      <w:r>
        <w:rPr>
          <w:rFonts w:hint="eastAsia" w:ascii="宋体" w:hAnsi="宋体" w:cs="宋体"/>
          <w:sz w:val="24"/>
        </w:rPr>
        <w:t>1.1 《中华人民共和国民法典》、《中华人民共和国建筑法》、《建设工程勘察设计管理条例》、《建设工程质量管理条例》和《江苏省建设工程勘察设计管理办法》。</w:t>
      </w:r>
    </w:p>
    <w:p>
      <w:pPr>
        <w:spacing w:line="360" w:lineRule="auto"/>
        <w:ind w:firstLine="480" w:firstLineChars="200"/>
        <w:rPr>
          <w:rFonts w:ascii="宋体" w:hAnsi="宋体" w:cs="宋体"/>
          <w:sz w:val="24"/>
        </w:rPr>
      </w:pPr>
      <w:r>
        <w:rPr>
          <w:rFonts w:hint="eastAsia" w:ascii="宋体" w:hAnsi="宋体" w:cs="宋体"/>
          <w:sz w:val="24"/>
        </w:rPr>
        <w:t>1.2 国家、省及南通市有关工程勘察设计管理法规、规章和规范性文件。</w:t>
      </w:r>
    </w:p>
    <w:p>
      <w:pPr>
        <w:spacing w:line="360" w:lineRule="auto"/>
        <w:ind w:firstLine="480" w:firstLineChars="200"/>
        <w:rPr>
          <w:rFonts w:ascii="宋体" w:hAnsi="宋体" w:cs="宋体"/>
          <w:sz w:val="24"/>
        </w:rPr>
      </w:pPr>
      <w:r>
        <w:rPr>
          <w:rFonts w:hint="eastAsia" w:ascii="宋体" w:hAnsi="宋体" w:cs="宋体"/>
          <w:sz w:val="24"/>
        </w:rPr>
        <w:t>1.3 建设工程批准文件。</w:t>
      </w:r>
    </w:p>
    <w:p>
      <w:pPr>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第二条  建设工程设计项目的名称、地点、规模、投资、 勘察设计内容及标准</w:t>
      </w:r>
    </w:p>
    <w:p>
      <w:pPr>
        <w:pStyle w:val="18"/>
        <w:rPr>
          <w:rFonts w:ascii="宋体" w:hAnsi="宋体" w:cs="宋体"/>
        </w:rPr>
      </w:pPr>
      <w:r>
        <w:rPr>
          <w:rFonts w:hint="eastAsia" w:ascii="宋体" w:hAnsi="宋体" w:cs="宋体"/>
        </w:rPr>
        <w:t>2.1 工程项目的名称：崇川区桃坞路</w:t>
      </w:r>
      <w:r>
        <w:rPr>
          <w:rFonts w:hint="eastAsia"/>
        </w:rPr>
        <w:t>街景提升</w:t>
      </w:r>
      <w:r>
        <w:rPr>
          <w:rFonts w:hint="eastAsia" w:ascii="宋体" w:hAnsi="宋体" w:cs="宋体"/>
        </w:rPr>
        <w:t>设计项目</w:t>
      </w:r>
    </w:p>
    <w:p>
      <w:pPr>
        <w:spacing w:line="360" w:lineRule="auto"/>
        <w:ind w:firstLine="480" w:firstLineChars="200"/>
        <w:rPr>
          <w:rFonts w:ascii="宋体" w:hAnsi="宋体" w:cs="宋体"/>
          <w:sz w:val="24"/>
        </w:rPr>
      </w:pPr>
      <w:r>
        <w:rPr>
          <w:rFonts w:hint="eastAsia" w:ascii="宋体" w:hAnsi="宋体" w:cs="宋体"/>
          <w:sz w:val="24"/>
        </w:rPr>
        <w:t>2.2 工程项目的地点：南通市崇川桃坞路</w:t>
      </w:r>
    </w:p>
    <w:p>
      <w:pPr>
        <w:spacing w:line="360" w:lineRule="auto"/>
        <w:ind w:firstLine="480" w:firstLineChars="200"/>
        <w:rPr>
          <w:rFonts w:ascii="宋体" w:hAnsi="宋体" w:cs="宋体"/>
          <w:kern w:val="0"/>
          <w:sz w:val="24"/>
        </w:rPr>
      </w:pPr>
      <w:r>
        <w:rPr>
          <w:rFonts w:hint="eastAsia" w:ascii="宋体" w:hAnsi="宋体" w:cs="宋体"/>
          <w:kern w:val="0"/>
          <w:sz w:val="24"/>
        </w:rPr>
        <w:t>2.3 工程项目的规模：南通市崇川区桃坞路，西起姚港路，东至跃龙路，道路全长约520米。本次设计的内容主要包括莘园大厦、更俗剧院、桃坞路服饰城及沿街二楼以下的建筑物视觉综合提升</w:t>
      </w:r>
    </w:p>
    <w:p>
      <w:pPr>
        <w:spacing w:line="360" w:lineRule="auto"/>
        <w:ind w:firstLine="480" w:firstLineChars="200"/>
        <w:rPr>
          <w:rFonts w:ascii="宋体" w:hAnsi="宋体" w:cs="宋体"/>
          <w:sz w:val="24"/>
        </w:rPr>
      </w:pPr>
      <w:r>
        <w:rPr>
          <w:rFonts w:hint="eastAsia" w:ascii="宋体" w:hAnsi="宋体" w:cs="宋体"/>
          <w:sz w:val="24"/>
        </w:rPr>
        <w:t>2.4 工程特征及附注说明：具体内容详见方案设计。</w:t>
      </w:r>
    </w:p>
    <w:p>
      <w:pPr>
        <w:spacing w:line="360" w:lineRule="auto"/>
        <w:ind w:firstLine="480" w:firstLineChars="200"/>
        <w:rPr>
          <w:rFonts w:ascii="宋体" w:hAnsi="宋体" w:cs="宋体"/>
          <w:sz w:val="24"/>
        </w:rPr>
      </w:pPr>
      <w:r>
        <w:rPr>
          <w:rFonts w:hint="eastAsia" w:ascii="宋体" w:hAnsi="宋体" w:cs="宋体"/>
          <w:sz w:val="24"/>
        </w:rPr>
        <w:t>2.5 工程项目的投资总额：约1000万元</w:t>
      </w:r>
    </w:p>
    <w:p>
      <w:pPr>
        <w:spacing w:line="360" w:lineRule="auto"/>
        <w:ind w:firstLine="480" w:firstLineChars="200"/>
        <w:rPr>
          <w:rFonts w:ascii="宋体" w:hAnsi="宋体" w:cs="宋体"/>
          <w:sz w:val="24"/>
        </w:rPr>
      </w:pPr>
      <w:r>
        <w:rPr>
          <w:rFonts w:hint="eastAsia" w:ascii="宋体" w:hAnsi="宋体" w:cs="宋体"/>
          <w:sz w:val="24"/>
        </w:rPr>
        <w:t>2.6 工程项目的设计内容：</w:t>
      </w:r>
    </w:p>
    <w:p>
      <w:pPr>
        <w:spacing w:line="360" w:lineRule="auto"/>
        <w:ind w:firstLine="480" w:firstLineChars="200"/>
        <w:rPr>
          <w:rFonts w:ascii="宋体" w:hAnsi="宋体" w:cs="宋体"/>
          <w:sz w:val="24"/>
        </w:rPr>
      </w:pPr>
      <w:r>
        <w:rPr>
          <w:rFonts w:hint="eastAsia" w:ascii="宋体" w:hAnsi="宋体" w:cs="宋体"/>
          <w:sz w:val="24"/>
        </w:rPr>
        <w:t>（1）完成本项目内所有工程的方案设计、初步设计、施工图设计。</w:t>
      </w:r>
    </w:p>
    <w:p>
      <w:pPr>
        <w:spacing w:line="360" w:lineRule="auto"/>
        <w:ind w:firstLine="480" w:firstLineChars="200"/>
        <w:rPr>
          <w:rFonts w:ascii="宋体" w:hAnsi="宋体" w:cs="宋体"/>
          <w:sz w:val="24"/>
        </w:rPr>
      </w:pPr>
      <w:r>
        <w:rPr>
          <w:rFonts w:hint="eastAsia" w:ascii="宋体" w:hAnsi="宋体" w:cs="宋体"/>
          <w:sz w:val="24"/>
        </w:rPr>
        <w:t>（2）各成果报告、设计文件确定过程中的设计修改完善；</w:t>
      </w:r>
    </w:p>
    <w:p>
      <w:pPr>
        <w:spacing w:line="360" w:lineRule="auto"/>
        <w:ind w:firstLine="480" w:firstLineChars="200"/>
        <w:rPr>
          <w:rFonts w:ascii="宋体" w:hAnsi="宋体" w:cs="宋体"/>
          <w:sz w:val="24"/>
        </w:rPr>
      </w:pPr>
      <w:r>
        <w:rPr>
          <w:rFonts w:hint="eastAsia" w:ascii="宋体" w:hAnsi="宋体" w:cs="宋体"/>
          <w:sz w:val="24"/>
        </w:rPr>
        <w:t>（3）设计所必需的现场察看；</w:t>
      </w:r>
    </w:p>
    <w:p>
      <w:pPr>
        <w:spacing w:line="360" w:lineRule="auto"/>
        <w:ind w:firstLine="480" w:firstLineChars="200"/>
        <w:rPr>
          <w:rFonts w:ascii="宋体" w:hAnsi="宋体" w:cs="宋体"/>
          <w:sz w:val="24"/>
        </w:rPr>
      </w:pPr>
      <w:r>
        <w:rPr>
          <w:rFonts w:hint="eastAsia" w:ascii="宋体" w:hAnsi="宋体" w:cs="宋体"/>
          <w:sz w:val="24"/>
        </w:rPr>
        <w:t>（4）编制符合南通市相关规定的设计估算，并确保估算的相对准确。</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）乙方须提交相关设计文件及相</w:t>
      </w:r>
      <w:r>
        <w:rPr>
          <w:rFonts w:hint="eastAsia" w:ascii="宋体" w:hAnsi="宋体" w:cs="宋体"/>
          <w:sz w:val="24"/>
          <w:highlight w:val="none"/>
        </w:rPr>
        <w:t>关的计算书。</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）制作效果图、汇报材料。</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）主动与各相关部门沟通做好对接工作、全力配合甲方及相关部门对初步设计及施工图设计成果进行会审，直至审查通过。全力配合甲方参与施工图设计至施工阶段项目阶段性关键会议，并提供技术指导</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）招标文件中规定的其他内容。</w:t>
      </w:r>
    </w:p>
    <w:p>
      <w:pPr>
        <w:spacing w:line="360" w:lineRule="auto"/>
        <w:ind w:firstLine="480" w:firstLineChars="200"/>
        <w:rPr>
          <w:rFonts w:ascii="宋体" w:hAnsi="宋体" w:cs="宋体"/>
          <w:sz w:val="24"/>
        </w:rPr>
      </w:pPr>
      <w:r>
        <w:rPr>
          <w:rFonts w:hint="eastAsia" w:ascii="宋体" w:hAnsi="宋体" w:cs="宋体"/>
          <w:sz w:val="24"/>
        </w:rPr>
        <w:t>2.7设计要求：</w:t>
      </w:r>
    </w:p>
    <w:p>
      <w:pPr>
        <w:spacing w:line="360" w:lineRule="auto"/>
        <w:ind w:firstLine="480" w:firstLineChars="200"/>
        <w:rPr>
          <w:rFonts w:ascii="宋体" w:hAnsi="宋体" w:cs="宋体"/>
          <w:sz w:val="24"/>
        </w:rPr>
      </w:pPr>
      <w:r>
        <w:rPr>
          <w:rFonts w:hint="eastAsia" w:ascii="宋体" w:hAnsi="宋体" w:cs="宋体"/>
          <w:sz w:val="24"/>
        </w:rPr>
        <w:t>（1）所有工程设计须符合现行国家、行业、地方的相关设计规范、标准、规定等要求。</w:t>
      </w:r>
    </w:p>
    <w:p>
      <w:pPr>
        <w:spacing w:line="360" w:lineRule="auto"/>
        <w:ind w:firstLine="480" w:firstLineChars="200"/>
        <w:rPr>
          <w:rFonts w:ascii="宋体" w:hAnsi="宋体" w:cs="宋体"/>
          <w:sz w:val="24"/>
        </w:rPr>
      </w:pPr>
      <w:r>
        <w:rPr>
          <w:rFonts w:hint="eastAsia" w:ascii="宋体" w:hAnsi="宋体" w:cs="宋体"/>
          <w:sz w:val="24"/>
        </w:rPr>
        <w:t>（2）确保所有设计文件通过审查。</w:t>
      </w:r>
    </w:p>
    <w:p>
      <w:pPr>
        <w:spacing w:line="360" w:lineRule="auto"/>
        <w:ind w:firstLine="480" w:firstLineChars="200"/>
        <w:rPr>
          <w:rFonts w:ascii="宋体" w:hAnsi="宋体" w:cs="宋体"/>
          <w:sz w:val="24"/>
        </w:rPr>
      </w:pPr>
      <w:r>
        <w:rPr>
          <w:rFonts w:hint="eastAsia" w:ascii="宋体" w:hAnsi="宋体" w:cs="宋体"/>
          <w:sz w:val="24"/>
        </w:rPr>
        <w:t>（3）负责各设计图纸送审、对接及配合并按要求进行修改到位，直至合格。</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）招标人提出的其他标准。</w:t>
      </w:r>
    </w:p>
    <w:p>
      <w:pPr>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第三条  甲方向乙方提交的有关资料及文件</w:t>
      </w:r>
    </w:p>
    <w:p>
      <w:pPr>
        <w:spacing w:line="360" w:lineRule="auto"/>
        <w:ind w:firstLine="480" w:firstLineChars="200"/>
        <w:rPr>
          <w:rFonts w:ascii="宋体" w:hAnsi="宋体" w:cs="宋体"/>
          <w:sz w:val="24"/>
        </w:rPr>
      </w:pPr>
      <w:r>
        <w:rPr>
          <w:rFonts w:hint="eastAsia" w:ascii="宋体" w:hAnsi="宋体" w:cs="宋体"/>
          <w:sz w:val="24"/>
        </w:rPr>
        <w:t>已与招标文件一同提交。</w:t>
      </w:r>
    </w:p>
    <w:p>
      <w:pPr>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第四条  乙方向甲方交付的文件</w:t>
      </w:r>
    </w:p>
    <w:tbl>
      <w:tblPr>
        <w:tblStyle w:val="45"/>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966"/>
        <w:gridCol w:w="1333"/>
        <w:gridCol w:w="2069"/>
        <w:gridCol w:w="2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0"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2966" w:type="dxa"/>
            <w:vAlign w:val="center"/>
          </w:tcPr>
          <w:p>
            <w:pPr>
              <w:spacing w:line="360" w:lineRule="exact"/>
              <w:jc w:val="center"/>
              <w:rPr>
                <w:rFonts w:ascii="宋体" w:hAnsi="宋体" w:cs="宋体"/>
                <w:szCs w:val="21"/>
              </w:rPr>
            </w:pPr>
            <w:r>
              <w:rPr>
                <w:rFonts w:hint="eastAsia" w:ascii="宋体" w:hAnsi="宋体" w:cs="宋体"/>
                <w:szCs w:val="21"/>
              </w:rPr>
              <w:t>资料及文件名称</w:t>
            </w:r>
          </w:p>
        </w:tc>
        <w:tc>
          <w:tcPr>
            <w:tcW w:w="1333" w:type="dxa"/>
            <w:vAlign w:val="center"/>
          </w:tcPr>
          <w:p>
            <w:pPr>
              <w:spacing w:line="360" w:lineRule="exact"/>
              <w:jc w:val="center"/>
              <w:rPr>
                <w:rFonts w:ascii="宋体" w:hAnsi="宋体" w:cs="宋体"/>
                <w:szCs w:val="21"/>
              </w:rPr>
            </w:pPr>
            <w:r>
              <w:rPr>
                <w:rFonts w:hint="eastAsia" w:ascii="宋体" w:hAnsi="宋体" w:cs="宋体"/>
                <w:szCs w:val="21"/>
              </w:rPr>
              <w:t>份数</w:t>
            </w:r>
          </w:p>
        </w:tc>
        <w:tc>
          <w:tcPr>
            <w:tcW w:w="2069" w:type="dxa"/>
            <w:vAlign w:val="center"/>
          </w:tcPr>
          <w:p>
            <w:pPr>
              <w:spacing w:line="360" w:lineRule="exact"/>
              <w:jc w:val="center"/>
              <w:rPr>
                <w:rFonts w:ascii="宋体" w:hAnsi="宋体" w:cs="宋体"/>
                <w:szCs w:val="21"/>
              </w:rPr>
            </w:pPr>
            <w:r>
              <w:rPr>
                <w:rFonts w:hint="eastAsia" w:ascii="宋体" w:hAnsi="宋体" w:cs="宋体"/>
                <w:szCs w:val="21"/>
              </w:rPr>
              <w:t>提交日期</w:t>
            </w:r>
          </w:p>
        </w:tc>
        <w:tc>
          <w:tcPr>
            <w:tcW w:w="2092" w:type="dxa"/>
            <w:vAlign w:val="center"/>
          </w:tcPr>
          <w:p>
            <w:pPr>
              <w:spacing w:line="360" w:lineRule="exact"/>
              <w:jc w:val="center"/>
              <w:rPr>
                <w:rFonts w:ascii="宋体" w:hAnsi="宋体" w:cs="宋体"/>
                <w:szCs w:val="21"/>
              </w:rPr>
            </w:pPr>
            <w:r>
              <w:rPr>
                <w:rFonts w:hint="eastAsia" w:ascii="宋体" w:hAnsi="宋体" w:cs="宋体"/>
                <w:szCs w:val="21"/>
              </w:rPr>
              <w:t>有关事宜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c>
          <w:tcPr>
            <w:tcW w:w="2966" w:type="dxa"/>
            <w:vAlign w:val="center"/>
          </w:tcPr>
          <w:p>
            <w:pPr>
              <w:spacing w:line="360" w:lineRule="auto"/>
              <w:jc w:val="center"/>
              <w:rPr>
                <w:rFonts w:ascii="宋体" w:hAnsi="宋体" w:cs="仿宋_GB2312"/>
                <w:sz w:val="23"/>
                <w:szCs w:val="23"/>
              </w:rPr>
            </w:pPr>
            <w:r>
              <w:rPr>
                <w:rFonts w:hint="eastAsia" w:ascii="宋体" w:hAnsi="宋体" w:cs="仿宋_GB2312"/>
                <w:sz w:val="23"/>
                <w:szCs w:val="23"/>
              </w:rPr>
              <w:t>初步设计文本</w:t>
            </w:r>
          </w:p>
          <w:p>
            <w:pPr>
              <w:spacing w:line="360" w:lineRule="auto"/>
              <w:jc w:val="center"/>
              <w:rPr>
                <w:rFonts w:ascii="宋体" w:hAnsi="宋体" w:cs="宋体"/>
                <w:szCs w:val="21"/>
              </w:rPr>
            </w:pPr>
            <w:r>
              <w:rPr>
                <w:rFonts w:hint="eastAsia" w:ascii="宋体" w:hAnsi="宋体" w:cs="仿宋_GB2312"/>
                <w:kern w:val="0"/>
                <w:sz w:val="23"/>
                <w:szCs w:val="23"/>
              </w:rPr>
              <w:t>（</w:t>
            </w:r>
            <w:r>
              <w:rPr>
                <w:rFonts w:hint="eastAsia" w:ascii="宋体" w:hAnsi="宋体" w:cs="仿宋_GB2312"/>
                <w:sz w:val="23"/>
                <w:szCs w:val="23"/>
              </w:rPr>
              <w:t>含软件版本）</w:t>
            </w:r>
          </w:p>
        </w:tc>
        <w:tc>
          <w:tcPr>
            <w:tcW w:w="133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sz w:val="23"/>
                <w:szCs w:val="23"/>
              </w:rPr>
              <w:t>5</w:t>
            </w:r>
            <w:r>
              <w:rPr>
                <w:rFonts w:hint="eastAsia" w:ascii="宋体" w:hAnsi="宋体" w:cs="仿宋_GB2312"/>
                <w:kern w:val="0"/>
                <w:sz w:val="23"/>
                <w:szCs w:val="23"/>
              </w:rPr>
              <w:t>份</w:t>
            </w:r>
          </w:p>
        </w:tc>
        <w:tc>
          <w:tcPr>
            <w:tcW w:w="2069" w:type="dxa"/>
            <w:vAlign w:val="center"/>
          </w:tcPr>
          <w:p>
            <w:pPr>
              <w:spacing w:line="360" w:lineRule="auto"/>
              <w:jc w:val="center"/>
              <w:rPr>
                <w:rFonts w:ascii="宋体" w:hAnsi="宋体" w:cs="宋体"/>
                <w:szCs w:val="21"/>
              </w:rPr>
            </w:pPr>
            <w:r>
              <w:rPr>
                <w:rFonts w:hint="eastAsia" w:ascii="宋体" w:hAnsi="宋体" w:cs="仿宋_GB2312"/>
                <w:sz w:val="23"/>
                <w:szCs w:val="23"/>
              </w:rPr>
              <w:t>按甲方要求</w:t>
            </w:r>
          </w:p>
        </w:tc>
        <w:tc>
          <w:tcPr>
            <w:tcW w:w="2092" w:type="dxa"/>
            <w:vAlign w:val="center"/>
          </w:tcPr>
          <w:p>
            <w:pPr>
              <w:spacing w:line="360" w:lineRule="auto"/>
              <w:rPr>
                <w:rFonts w:hint="default" w:ascii="宋体" w:hAnsi="宋体" w:cs="宋体"/>
                <w:szCs w:val="21"/>
                <w:lang w:val="en-US"/>
              </w:rPr>
            </w:pPr>
            <w:r>
              <w:rPr>
                <w:rFonts w:hint="eastAsia" w:ascii="宋体" w:hAnsi="宋体" w:cs="仿宋_GB2312"/>
                <w:sz w:val="23"/>
                <w:szCs w:val="23"/>
              </w:rPr>
              <w:t>同步提交电子版PDF及</w:t>
            </w:r>
            <w:r>
              <w:rPr>
                <w:rFonts w:hint="eastAsia" w:ascii="宋体" w:hAnsi="宋体" w:cs="仿宋_GB2312"/>
                <w:sz w:val="23"/>
                <w:szCs w:val="23"/>
                <w:lang w:val="en-US" w:eastAsia="zh-CN"/>
              </w:rPr>
              <w:t>PPT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0"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c>
          <w:tcPr>
            <w:tcW w:w="2966" w:type="dxa"/>
            <w:vAlign w:val="center"/>
          </w:tcPr>
          <w:p>
            <w:pPr>
              <w:spacing w:line="360" w:lineRule="auto"/>
              <w:jc w:val="center"/>
              <w:rPr>
                <w:rFonts w:ascii="宋体" w:hAnsi="宋体" w:cs="宋体"/>
                <w:szCs w:val="21"/>
              </w:rPr>
            </w:pPr>
            <w:r>
              <w:rPr>
                <w:rFonts w:hint="eastAsia" w:ascii="宋体" w:hAnsi="宋体" w:cs="仿宋_GB2312"/>
                <w:kern w:val="0"/>
                <w:sz w:val="23"/>
                <w:szCs w:val="23"/>
              </w:rPr>
              <w:t>施工图设计文本</w:t>
            </w:r>
          </w:p>
        </w:tc>
        <w:tc>
          <w:tcPr>
            <w:tcW w:w="1333"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仿宋_GB2312"/>
                <w:sz w:val="23"/>
                <w:szCs w:val="23"/>
              </w:rPr>
              <w:t>5</w:t>
            </w:r>
            <w:r>
              <w:rPr>
                <w:rFonts w:hint="eastAsia" w:ascii="宋体" w:hAnsi="宋体" w:cs="仿宋_GB2312"/>
                <w:kern w:val="0"/>
                <w:sz w:val="23"/>
                <w:szCs w:val="23"/>
              </w:rPr>
              <w:t>份</w:t>
            </w:r>
          </w:p>
        </w:tc>
        <w:tc>
          <w:tcPr>
            <w:tcW w:w="2069" w:type="dxa"/>
            <w:vAlign w:val="center"/>
          </w:tcPr>
          <w:p>
            <w:pPr>
              <w:spacing w:line="360" w:lineRule="auto"/>
              <w:jc w:val="center"/>
              <w:rPr>
                <w:rFonts w:ascii="宋体" w:hAnsi="宋体" w:cs="宋体"/>
                <w:szCs w:val="21"/>
              </w:rPr>
            </w:pPr>
            <w:r>
              <w:rPr>
                <w:rFonts w:hint="eastAsia" w:ascii="宋体" w:hAnsi="宋体" w:cs="仿宋_GB2312"/>
                <w:sz w:val="23"/>
                <w:szCs w:val="23"/>
              </w:rPr>
              <w:t>按甲方要求</w:t>
            </w:r>
          </w:p>
        </w:tc>
        <w:tc>
          <w:tcPr>
            <w:tcW w:w="2092" w:type="dxa"/>
            <w:vAlign w:val="center"/>
          </w:tcPr>
          <w:p>
            <w:pPr>
              <w:spacing w:line="360" w:lineRule="auto"/>
              <w:rPr>
                <w:rFonts w:ascii="宋体" w:hAnsi="宋体" w:cs="宋体"/>
                <w:szCs w:val="21"/>
              </w:rPr>
            </w:pPr>
            <w:r>
              <w:rPr>
                <w:rFonts w:hint="eastAsia" w:ascii="宋体" w:hAnsi="宋体" w:cs="仿宋_GB2312"/>
                <w:sz w:val="23"/>
                <w:szCs w:val="23"/>
              </w:rPr>
              <w:t>同步提交电子版PDF及CAD</w:t>
            </w:r>
          </w:p>
        </w:tc>
      </w:tr>
    </w:tbl>
    <w:p>
      <w:pPr>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第五条  设计费用及支付方法</w:t>
      </w:r>
    </w:p>
    <w:p>
      <w:pPr>
        <w:spacing w:line="360" w:lineRule="auto"/>
        <w:ind w:firstLine="480" w:firstLineChars="200"/>
        <w:rPr>
          <w:rFonts w:ascii="宋体" w:hAnsi="宋体" w:cs="宋体"/>
          <w:sz w:val="24"/>
        </w:rPr>
      </w:pPr>
      <w:r>
        <w:rPr>
          <w:rFonts w:hint="eastAsia" w:ascii="宋体" w:hAnsi="宋体" w:cs="宋体"/>
          <w:sz w:val="24"/>
        </w:rPr>
        <w:t>5.1 甲方应支付本合同中建设工程设计项目设计费</w:t>
      </w:r>
      <w:r>
        <w:rPr>
          <w:rFonts w:hint="eastAsia" w:ascii="宋体" w:hAnsi="宋体" w:cs="宋体"/>
          <w:sz w:val="24"/>
          <w:u w:val="single"/>
        </w:rPr>
        <w:t>万元（大写 元整）</w:t>
      </w:r>
      <w:r>
        <w:rPr>
          <w:rFonts w:hint="eastAsia" w:ascii="宋体" w:hAnsi="宋体" w:cs="宋体"/>
          <w:sz w:val="24"/>
        </w:rPr>
        <w:t>。此设计费已包括甲方委托内容的所有费用。其中，不含税价为元，增值税费元，增值税率为</w:t>
      </w:r>
      <w:r>
        <w:rPr>
          <w:rFonts w:hint="eastAsia" w:ascii="宋体" w:hAnsi="宋体" w:cs="宋体"/>
          <w:sz w:val="24"/>
          <w:u w:val="single"/>
        </w:rPr>
        <w:t>6%</w:t>
      </w:r>
      <w:r>
        <w:rPr>
          <w:rFonts w:hint="eastAsia" w:ascii="宋体" w:hAnsi="宋体" w:cs="宋体"/>
          <w:sz w:val="24"/>
        </w:rPr>
        <w:t>。在甲方付款前，乙方需先提供对应支付款项的增值税专用发票，若乙方未能提供发票，则甲方有权拒绝付款。若相关主管部门出台新文件对税率进行调整的，则前述约定的不含税金额不变，税金部分按新文件规定按实调整。</w:t>
      </w:r>
    </w:p>
    <w:p>
      <w:pPr>
        <w:spacing w:line="360" w:lineRule="auto"/>
        <w:ind w:firstLine="480" w:firstLineChars="200"/>
        <w:rPr>
          <w:rFonts w:ascii="宋体" w:hAnsi="宋体" w:cs="宋体"/>
          <w:sz w:val="24"/>
        </w:rPr>
      </w:pPr>
      <w:r>
        <w:rPr>
          <w:rFonts w:hint="eastAsia" w:ascii="宋体" w:hAnsi="宋体" w:cs="宋体"/>
          <w:sz w:val="24"/>
        </w:rPr>
        <w:t>5.2 所有项目包含的工作内容均需保证完成报批审批手续，在此过程中发生的会晤费、评审费等涉及的相关费用均已包含在合同价内，乙方在投标时由已综合考虑。</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highlight w:val="none"/>
        </w:rPr>
        <w:t>.3 本合同履约保证金为</w:t>
      </w:r>
      <w:r>
        <w:rPr>
          <w:rFonts w:hint="eastAsia" w:ascii="宋体" w:hAnsi="宋体" w:cs="宋体"/>
          <w:sz w:val="24"/>
          <w:highlight w:val="none"/>
          <w:lang w:val="en-US" w:eastAsia="zh-CN"/>
        </w:rPr>
        <w:t>5000元</w:t>
      </w:r>
      <w:r>
        <w:rPr>
          <w:rFonts w:hint="eastAsia" w:ascii="宋体" w:hAnsi="宋体" w:cs="宋体"/>
          <w:sz w:val="24"/>
          <w:highlight w:val="none"/>
        </w:rPr>
        <w:t>。其中：进</w:t>
      </w:r>
      <w:r>
        <w:rPr>
          <w:rFonts w:hint="eastAsia" w:ascii="宋体" w:hAnsi="宋体" w:cs="宋体"/>
          <w:sz w:val="24"/>
        </w:rPr>
        <w:t>度履约保证金为</w:t>
      </w:r>
      <w:r>
        <w:rPr>
          <w:rFonts w:hint="eastAsia" w:ascii="宋体" w:hAnsi="宋体" w:cs="宋体"/>
          <w:sz w:val="24"/>
          <w:lang w:val="en-US" w:eastAsia="zh-CN"/>
        </w:rPr>
        <w:t>2000元</w:t>
      </w:r>
      <w:r>
        <w:rPr>
          <w:rFonts w:hint="eastAsia" w:ascii="宋体" w:hAnsi="宋体" w:cs="宋体"/>
          <w:sz w:val="24"/>
        </w:rPr>
        <w:t>，图纸质量履约保证金为</w:t>
      </w:r>
      <w:r>
        <w:rPr>
          <w:rFonts w:hint="eastAsia" w:ascii="宋体" w:hAnsi="宋体" w:cs="宋体"/>
          <w:sz w:val="24"/>
          <w:lang w:val="en-US" w:eastAsia="zh-CN"/>
        </w:rPr>
        <w:t>2000元</w:t>
      </w:r>
      <w:r>
        <w:rPr>
          <w:rFonts w:hint="eastAsia" w:ascii="宋体" w:hAnsi="宋体" w:cs="宋体"/>
          <w:sz w:val="24"/>
        </w:rPr>
        <w:t>，设计服务履约保证金为</w:t>
      </w:r>
      <w:r>
        <w:rPr>
          <w:rFonts w:hint="eastAsia" w:ascii="宋体" w:hAnsi="宋体" w:cs="宋体"/>
          <w:sz w:val="24"/>
          <w:lang w:val="en-US" w:eastAsia="zh-CN"/>
        </w:rPr>
        <w:t>1000元</w:t>
      </w:r>
      <w:r>
        <w:rPr>
          <w:rFonts w:hint="eastAsia" w:ascii="宋体" w:hAnsi="宋体" w:cs="宋体"/>
          <w:sz w:val="24"/>
        </w:rPr>
        <w:t>。履约保证金于合同履约完毕且乙方无违约行为时无息退还（甲方按照合同约定扣除全部或部分履约保证金的情形除外）。</w:t>
      </w:r>
    </w:p>
    <w:p>
      <w:pPr>
        <w:spacing w:line="360" w:lineRule="auto"/>
        <w:ind w:firstLine="480" w:firstLineChars="200"/>
        <w:rPr>
          <w:rFonts w:ascii="宋体" w:hAnsi="宋体" w:cs="宋体"/>
          <w:sz w:val="24"/>
        </w:rPr>
      </w:pPr>
      <w:r>
        <w:rPr>
          <w:rFonts w:hint="eastAsia" w:ascii="宋体" w:hAnsi="宋体" w:cs="宋体"/>
          <w:sz w:val="24"/>
        </w:rPr>
        <w:t>履约保证金形式：银行转账或银行保函。</w:t>
      </w:r>
    </w:p>
    <w:p>
      <w:pPr>
        <w:spacing w:line="360" w:lineRule="auto"/>
        <w:ind w:firstLine="480" w:firstLineChars="200"/>
        <w:rPr>
          <w:rFonts w:ascii="宋体" w:hAnsi="宋体" w:cs="宋体"/>
          <w:sz w:val="24"/>
        </w:rPr>
      </w:pPr>
      <w:r>
        <w:rPr>
          <w:rFonts w:hint="eastAsia" w:ascii="宋体" w:hAnsi="宋体" w:cs="宋体"/>
          <w:sz w:val="24"/>
        </w:rPr>
        <w:t>履约保证金账户：</w:t>
      </w:r>
    </w:p>
    <w:p>
      <w:pPr>
        <w:spacing w:line="360" w:lineRule="auto"/>
        <w:ind w:firstLine="480" w:firstLineChars="200"/>
        <w:rPr>
          <w:rFonts w:ascii="宋体" w:hAnsi="宋体" w:cs="宋体"/>
          <w:sz w:val="24"/>
        </w:rPr>
      </w:pPr>
      <w:r>
        <w:rPr>
          <w:rFonts w:hint="eastAsia" w:ascii="宋体" w:hAnsi="宋体" w:cs="宋体"/>
          <w:sz w:val="24"/>
        </w:rPr>
        <w:t>单位名称：</w:t>
      </w:r>
    </w:p>
    <w:p>
      <w:pPr>
        <w:spacing w:line="360" w:lineRule="auto"/>
        <w:ind w:firstLine="480" w:firstLineChars="200"/>
        <w:rPr>
          <w:rFonts w:ascii="宋体" w:hAnsi="宋体" w:cs="宋体"/>
          <w:sz w:val="24"/>
        </w:rPr>
      </w:pPr>
      <w:r>
        <w:rPr>
          <w:rFonts w:hint="eastAsia" w:ascii="宋体" w:hAnsi="宋体" w:cs="宋体"/>
          <w:sz w:val="24"/>
        </w:rPr>
        <w:t>开户行：</w:t>
      </w:r>
    </w:p>
    <w:p>
      <w:pPr>
        <w:spacing w:line="360" w:lineRule="auto"/>
        <w:ind w:firstLine="480" w:firstLineChars="200"/>
        <w:rPr>
          <w:rFonts w:ascii="宋体" w:hAnsi="宋体" w:cs="宋体"/>
          <w:sz w:val="24"/>
        </w:rPr>
      </w:pPr>
      <w:r>
        <w:rPr>
          <w:rFonts w:hint="eastAsia" w:ascii="宋体" w:hAnsi="宋体" w:cs="宋体"/>
          <w:sz w:val="24"/>
        </w:rPr>
        <w:t>账号：</w:t>
      </w:r>
    </w:p>
    <w:p>
      <w:pPr>
        <w:spacing w:line="360" w:lineRule="auto"/>
        <w:ind w:firstLine="480" w:firstLineChars="200"/>
        <w:rPr>
          <w:rFonts w:ascii="宋体" w:hAnsi="宋体" w:cs="宋体"/>
          <w:sz w:val="24"/>
        </w:rPr>
      </w:pPr>
      <w:r>
        <w:rPr>
          <w:rFonts w:hint="eastAsia" w:ascii="宋体" w:hAnsi="宋体" w:cs="宋体"/>
          <w:sz w:val="24"/>
        </w:rPr>
        <w:t>特别说明：若采用转账形式，必须标注项目名称及费用类别，如“****项目履约保证金”。</w:t>
      </w:r>
    </w:p>
    <w:p>
      <w:pPr>
        <w:spacing w:line="360" w:lineRule="auto"/>
        <w:ind w:firstLine="480" w:firstLineChars="200"/>
        <w:rPr>
          <w:rFonts w:ascii="宋体" w:hAnsi="宋体" w:cs="宋体"/>
          <w:sz w:val="24"/>
        </w:rPr>
      </w:pPr>
      <w:r>
        <w:rPr>
          <w:rFonts w:hint="eastAsia" w:ascii="宋体" w:hAnsi="宋体" w:cs="宋体"/>
          <w:sz w:val="24"/>
        </w:rPr>
        <w:t>5.4 由于新型冠状肺炎疫情的影响，因卫生防疫要求采取的措施、物资等一切费用包含合同价中。</w:t>
      </w:r>
    </w:p>
    <w:p>
      <w:pPr>
        <w:spacing w:line="360" w:lineRule="auto"/>
        <w:ind w:firstLine="480" w:firstLineChars="200"/>
        <w:rPr>
          <w:rFonts w:ascii="宋体" w:hAnsi="宋体" w:cs="宋体"/>
          <w:sz w:val="24"/>
        </w:rPr>
      </w:pPr>
      <w:r>
        <w:rPr>
          <w:rFonts w:hint="eastAsia" w:ascii="宋体" w:hAnsi="宋体" w:cs="宋体"/>
          <w:sz w:val="24"/>
        </w:rPr>
        <w:t>5.5 支付方法为：</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t>①</w:t>
      </w:r>
      <w:r>
        <w:rPr>
          <w:rFonts w:hint="eastAsia" w:ascii="宋体" w:hAnsi="宋体" w:cs="宋体"/>
          <w:sz w:val="24"/>
        </w:rPr>
        <w:fldChar w:fldCharType="end"/>
      </w:r>
      <w:r>
        <w:rPr>
          <w:rFonts w:hint="eastAsia" w:ascii="宋体" w:hAnsi="宋体" w:cs="宋体"/>
          <w:sz w:val="24"/>
        </w:rPr>
        <w:t>自本合同签定后7个工作日内，甲方向乙方支付合同价款的30%；</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t>②</w:t>
      </w:r>
      <w:r>
        <w:rPr>
          <w:rFonts w:hint="eastAsia" w:ascii="宋体" w:hAnsi="宋体" w:cs="宋体"/>
          <w:sz w:val="24"/>
        </w:rPr>
        <w:fldChar w:fldCharType="end"/>
      </w:r>
      <w:r>
        <w:rPr>
          <w:rFonts w:hint="eastAsia" w:ascii="宋体" w:hAnsi="宋体" w:cs="宋体"/>
          <w:sz w:val="24"/>
        </w:rPr>
        <w:t>乙方设计效果图经甲方确认，15个工作日内支付至合同价款的60%；</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t>③</w:t>
      </w:r>
      <w:r>
        <w:rPr>
          <w:rFonts w:hint="eastAsia" w:ascii="宋体" w:hAnsi="宋体" w:cs="宋体"/>
          <w:sz w:val="24"/>
        </w:rPr>
        <w:fldChar w:fldCharType="end"/>
      </w:r>
      <w:r>
        <w:rPr>
          <w:rFonts w:hint="eastAsia" w:ascii="宋体" w:hAnsi="宋体" w:cs="宋体"/>
          <w:sz w:val="24"/>
        </w:rPr>
        <w:t>乙方施工图经甲方确认，通过施工图审查机构审查后15个工作日内支付至合同价的90%；</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t>④</w:t>
      </w:r>
      <w:r>
        <w:rPr>
          <w:rFonts w:hint="eastAsia" w:ascii="宋体" w:hAnsi="宋体" w:cs="宋体"/>
          <w:sz w:val="24"/>
        </w:rPr>
        <w:fldChar w:fldCharType="end"/>
      </w:r>
      <w:r>
        <w:rPr>
          <w:rFonts w:hint="eastAsia" w:ascii="宋体" w:hAnsi="宋体" w:cs="宋体"/>
          <w:sz w:val="24"/>
        </w:rPr>
        <w:t>余款待工程竣工验收后15个工作日内一次性结清。</w:t>
      </w:r>
    </w:p>
    <w:p>
      <w:pPr>
        <w:spacing w:line="360" w:lineRule="auto"/>
        <w:ind w:firstLine="560" w:firstLineChars="200"/>
        <w:jc w:val="center"/>
        <w:rPr>
          <w:rFonts w:ascii="宋体" w:hAnsi="宋体" w:cs="宋体"/>
          <w:b/>
          <w:sz w:val="28"/>
          <w:szCs w:val="28"/>
        </w:rPr>
      </w:pPr>
      <w:r>
        <w:rPr>
          <w:rFonts w:hint="eastAsia" w:ascii="宋体" w:hAnsi="宋体" w:cs="宋体"/>
          <w:b/>
          <w:sz w:val="28"/>
          <w:szCs w:val="28"/>
        </w:rPr>
        <w:t>第六条  甲方权利和义务</w:t>
      </w:r>
    </w:p>
    <w:p>
      <w:pPr>
        <w:spacing w:line="360" w:lineRule="auto"/>
        <w:ind w:firstLine="480" w:firstLineChars="200"/>
        <w:rPr>
          <w:rFonts w:ascii="宋体" w:hAnsi="宋体" w:cs="宋体"/>
          <w:sz w:val="24"/>
        </w:rPr>
      </w:pPr>
      <w:r>
        <w:rPr>
          <w:rFonts w:hint="eastAsia" w:ascii="宋体" w:hAnsi="宋体" w:cs="宋体"/>
          <w:sz w:val="24"/>
        </w:rPr>
        <w:t>6.1 甲方按本合同第三条规定的内容，在规定的时间内向乙方提交资料及文件，并对其完整性、正确性负责。</w:t>
      </w:r>
    </w:p>
    <w:p>
      <w:pPr>
        <w:spacing w:line="360" w:lineRule="auto"/>
        <w:ind w:firstLine="480" w:firstLineChars="200"/>
        <w:rPr>
          <w:rFonts w:hint="eastAsia" w:ascii="宋体" w:hAnsi="宋体" w:cs="宋体"/>
          <w:sz w:val="24"/>
        </w:rPr>
      </w:pPr>
      <w:r>
        <w:rPr>
          <w:rFonts w:hint="eastAsia" w:ascii="宋体" w:hAnsi="宋体" w:cs="宋体"/>
          <w:sz w:val="24"/>
        </w:rPr>
        <w:t>6.2 甲方未能按双方约定时间节点提供乙方设计所需的基础图纸，每超过一日，乙方交付图纸实现延后一日。</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3甲方应在乙方提供设计方案后，七个工作日内给予答复意见，逾期未响应的，每超过1日，乙方交付图纸时限延后1日。</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4</w:t>
      </w:r>
      <w:r>
        <w:rPr>
          <w:rFonts w:hint="eastAsia" w:ascii="宋体" w:hAnsi="宋体" w:cs="宋体"/>
          <w:sz w:val="24"/>
        </w:rPr>
        <w:t>甲方应对需变更的设计内容及时向乙方提交相关资料。</w:t>
      </w:r>
    </w:p>
    <w:p>
      <w:pPr>
        <w:spacing w:line="360" w:lineRule="auto"/>
        <w:ind w:firstLine="480" w:firstLineChars="200"/>
        <w:rPr>
          <w:rFonts w:ascii="宋体" w:hAnsi="宋体" w:cs="宋体"/>
          <w:color w:val="auto"/>
          <w:sz w:val="24"/>
          <w:highlight w:val="none"/>
        </w:rPr>
      </w:pPr>
      <w:r>
        <w:rPr>
          <w:rFonts w:hint="eastAsia" w:ascii="宋体" w:hAnsi="宋体" w:cs="宋体"/>
          <w:sz w:val="24"/>
        </w:rPr>
        <w:t>6.</w:t>
      </w:r>
      <w:r>
        <w:rPr>
          <w:rFonts w:hint="eastAsia" w:ascii="宋体" w:hAnsi="宋体" w:cs="宋体"/>
          <w:sz w:val="24"/>
          <w:lang w:val="en-US" w:eastAsia="zh-CN"/>
        </w:rPr>
        <w:t>5</w:t>
      </w:r>
      <w:r>
        <w:rPr>
          <w:rFonts w:hint="eastAsia" w:ascii="宋体" w:hAnsi="宋体" w:cs="宋体"/>
          <w:sz w:val="24"/>
        </w:rPr>
        <w:t>在合同履行期间，非因</w:t>
      </w:r>
      <w:r>
        <w:rPr>
          <w:rFonts w:hint="eastAsia" w:ascii="宋体" w:hAnsi="宋体" w:cs="宋体"/>
          <w:color w:val="auto"/>
          <w:sz w:val="24"/>
          <w:highlight w:val="none"/>
        </w:rPr>
        <w:t>乙方原因，甲方单方提出解除合同的，应根据乙方已进行的实际工作量计算设计费，除此之外甲方不承担其他责任。</w:t>
      </w:r>
    </w:p>
    <w:p>
      <w:pPr>
        <w:spacing w:line="360" w:lineRule="auto"/>
        <w:ind w:firstLine="480" w:firstLineChars="200"/>
        <w:rPr>
          <w:rFonts w:hint="eastAsia" w:ascii="宋体" w:hAnsi="宋体" w:cs="宋体"/>
          <w:sz w:val="24"/>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甲方应按本合同第五条规定的方法向乙方支付设计费</w:t>
      </w:r>
      <w:r>
        <w:rPr>
          <w:rFonts w:hint="eastAsia" w:ascii="宋体" w:hAnsi="宋体" w:cs="宋体"/>
          <w:sz w:val="24"/>
        </w:rPr>
        <w:t>用</w:t>
      </w:r>
      <w:r>
        <w:rPr>
          <w:rFonts w:hint="eastAsia" w:ascii="宋体" w:hAnsi="宋体" w:cs="宋体"/>
          <w:sz w:val="24"/>
          <w:lang w:eastAsia="zh-CN"/>
        </w:rPr>
        <w:t>，</w:t>
      </w:r>
      <w:r>
        <w:rPr>
          <w:rFonts w:hint="eastAsia" w:ascii="宋体" w:hAnsi="宋体" w:cs="宋体"/>
          <w:sz w:val="24"/>
        </w:rPr>
        <w:t>甲方未能按合同约定时间节点付款，逾期10日未付款的，每逾期1日加付应付价款千分之一。</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7</w:t>
      </w:r>
      <w:r>
        <w:rPr>
          <w:rFonts w:hint="eastAsia" w:ascii="宋体" w:hAnsi="宋体" w:cs="宋体"/>
          <w:sz w:val="24"/>
        </w:rPr>
        <w:t xml:space="preserve"> 甲方负责将乙方交付的设计文件报项目所在地建设行政主管部门进行审查，审查合格后方可应用。</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8</w:t>
      </w:r>
      <w:r>
        <w:rPr>
          <w:rFonts w:hint="eastAsia" w:ascii="宋体" w:hAnsi="宋体" w:cs="宋体"/>
          <w:sz w:val="24"/>
        </w:rPr>
        <w:t xml:space="preserve"> 甲方应保护乙方的设计版权，未经乙方同意，甲方对乙方交付的设计文件不得向第三方转让或用于本合同外的项目。乙方对于从甲方获取的全部资料均应承担保密义务，非经甲方同意，不得复制、使用或向第三方扩散、转让，否则甲方有权要求乙方承担相应赔偿责任。</w:t>
      </w:r>
    </w:p>
    <w:p>
      <w:pPr>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第七条  乙方权利和义务</w:t>
      </w:r>
    </w:p>
    <w:p>
      <w:pPr>
        <w:spacing w:line="360" w:lineRule="auto"/>
        <w:ind w:firstLine="480" w:firstLineChars="200"/>
        <w:rPr>
          <w:rFonts w:ascii="宋体" w:hAnsi="宋体" w:cs="宋体"/>
          <w:sz w:val="24"/>
        </w:rPr>
      </w:pPr>
      <w:r>
        <w:rPr>
          <w:rFonts w:hint="eastAsia" w:ascii="宋体" w:hAnsi="宋体" w:cs="宋体"/>
          <w:sz w:val="24"/>
        </w:rPr>
        <w:t>7.1乙方按照约定对整个工程设计成果负责。</w:t>
      </w:r>
    </w:p>
    <w:p>
      <w:pPr>
        <w:spacing w:line="360" w:lineRule="auto"/>
        <w:ind w:firstLine="480" w:firstLineChars="200"/>
        <w:rPr>
          <w:rFonts w:ascii="宋体" w:hAnsi="宋体" w:cs="宋体"/>
          <w:sz w:val="24"/>
          <w:highlight w:val="none"/>
        </w:rPr>
      </w:pPr>
      <w:r>
        <w:rPr>
          <w:rFonts w:hint="eastAsia" w:ascii="宋体" w:hAnsi="宋体" w:cs="宋体"/>
          <w:sz w:val="24"/>
        </w:rPr>
        <w:t>7.2乙方按本合同第四条规定的内容、时间及份数向甲方交付设计文件。由于乙方自身原因，延误了</w:t>
      </w:r>
      <w:r>
        <w:rPr>
          <w:rFonts w:hint="eastAsia" w:ascii="宋体" w:hAnsi="宋体" w:cs="宋体"/>
          <w:sz w:val="24"/>
          <w:highlight w:val="none"/>
        </w:rPr>
        <w:t>按本合同约定的文件交付时间，每延误一天，乙方需向甲方支付相当于本合同总价千分之五/日的违约金。累计延误达10天，甲方有权解除本合同，甲方解除合同的，乙方需向甲方支付相当于本合同总价10%的违约金并赔偿甲方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7.3乙方交付设计文件后，应参加有关部门组织的审查。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各阶段设计成果经评审或审查需要补充、修正的，乙方应在规定时间内完成调整，及时向甲方提交调整后的设计成果，并不再另行收取费用。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因乙方提交文件质量不符合甲方要求需要返工导致设计文件无法按期交付的，按照延期交付处理。若乙方拒绝调整或者乙方调整三次后仍不能符合甲方要求的，甲方有权单方面解除合同，乙方需向甲方支付相当于本合同总价10%的违约金并赔偿甲方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7.4乙方对设计文件出现的遗漏或错误负责，并进行修改或补充。由于乙方错误造成工程质量事故损失，由乙方承担全部责任，若甲方因此遭受损失的，乙方应承担赔偿责任。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7.5 合同生效后，乙方单方提出解除合同的，应向甲方支付相当于本合同总价10%的违约金并按照有关规定赔偿甲方损失。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7.6 乙方对于从甲方获取的全部资料均应承担保密义务，非经甲方同意，不得复制、使用或向第三方扩散、转让，否则甲方有权要求乙方承担相应赔偿责任。</w:t>
      </w:r>
    </w:p>
    <w:p>
      <w:pPr>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第八条  其 他</w:t>
      </w:r>
    </w:p>
    <w:p>
      <w:pPr>
        <w:spacing w:line="360" w:lineRule="auto"/>
        <w:ind w:firstLine="480" w:firstLineChars="200"/>
        <w:rPr>
          <w:rFonts w:ascii="宋体" w:hAnsi="宋体" w:cs="宋体"/>
          <w:sz w:val="24"/>
        </w:rPr>
      </w:pPr>
      <w:r>
        <w:rPr>
          <w:rFonts w:hint="eastAsia" w:ascii="宋体" w:hAnsi="宋体" w:cs="宋体"/>
          <w:sz w:val="24"/>
        </w:rPr>
        <w:t>8.1 甲方应按相关法规规定的要求，将设计文件报工程项目所在地建设行政主管部门审查，乙方应配合甲方对审查出的有关问题及时作出修改，直至满足要求。</w:t>
      </w:r>
    </w:p>
    <w:p>
      <w:pPr>
        <w:spacing w:line="360" w:lineRule="auto"/>
        <w:ind w:firstLine="480" w:firstLineChars="200"/>
        <w:rPr>
          <w:rFonts w:ascii="宋体" w:hAnsi="宋体" w:cs="宋体"/>
          <w:sz w:val="24"/>
        </w:rPr>
      </w:pPr>
      <w:r>
        <w:rPr>
          <w:rFonts w:hint="eastAsia" w:ascii="宋体" w:hAnsi="宋体" w:cs="宋体"/>
          <w:sz w:val="24"/>
        </w:rPr>
        <w:t>8.2 乙方为本合同项目所必须采用的国家或地方标准图，由甲方向有关出版部门购买。</w:t>
      </w:r>
    </w:p>
    <w:p>
      <w:pPr>
        <w:spacing w:line="360" w:lineRule="auto"/>
        <w:ind w:firstLine="480" w:firstLineChars="200"/>
        <w:rPr>
          <w:rFonts w:ascii="宋体" w:hAnsi="宋体" w:cs="宋体"/>
          <w:sz w:val="24"/>
        </w:rPr>
      </w:pPr>
      <w:r>
        <w:rPr>
          <w:rFonts w:hint="eastAsia" w:ascii="宋体" w:hAnsi="宋体" w:cs="宋体"/>
          <w:sz w:val="24"/>
        </w:rPr>
        <w:t>8.3 乙方根据甲方要求交付的设计文件超过本合同第四条规定的份数，乙方另收工本费。</w:t>
      </w:r>
    </w:p>
    <w:p>
      <w:pPr>
        <w:spacing w:line="360" w:lineRule="auto"/>
        <w:ind w:firstLine="480" w:firstLineChars="200"/>
        <w:rPr>
          <w:rFonts w:ascii="宋体" w:hAnsi="宋体" w:cs="宋体"/>
          <w:sz w:val="24"/>
        </w:rPr>
      </w:pPr>
      <w:r>
        <w:rPr>
          <w:rFonts w:hint="eastAsia" w:ascii="宋体" w:hAnsi="宋体" w:cs="宋体"/>
          <w:sz w:val="24"/>
        </w:rPr>
        <w:t>8.4 本工程项目中，建筑材料、设备的加工定货，甲方需要乙方设计人员配合时，所需费用由甲方承担。</w:t>
      </w:r>
    </w:p>
    <w:p>
      <w:pPr>
        <w:spacing w:line="360" w:lineRule="auto"/>
        <w:ind w:firstLine="480" w:firstLineChars="200"/>
        <w:rPr>
          <w:rFonts w:ascii="宋体" w:hAnsi="宋体" w:cs="宋体"/>
          <w:sz w:val="24"/>
        </w:rPr>
      </w:pPr>
      <w:r>
        <w:rPr>
          <w:rFonts w:hint="eastAsia" w:ascii="宋体" w:hAnsi="宋体" w:cs="宋体"/>
          <w:sz w:val="24"/>
        </w:rPr>
        <w:t>8.5 甲方委托乙方配合引进项目，从询价、对外谈判、国内外技术考察直至建成投产的各个阶段，应考虑承担有关设计任务的乙方参加。出国费用，除制装费外，其他合理必要费用由甲方统筹规划并支付。</w:t>
      </w:r>
    </w:p>
    <w:p>
      <w:pPr>
        <w:spacing w:line="360" w:lineRule="auto"/>
        <w:ind w:firstLine="480" w:firstLineChars="200"/>
        <w:rPr>
          <w:rFonts w:ascii="宋体" w:hAnsi="宋体" w:cs="宋体"/>
          <w:sz w:val="24"/>
        </w:rPr>
      </w:pPr>
      <w:r>
        <w:rPr>
          <w:rFonts w:hint="eastAsia" w:ascii="宋体" w:hAnsi="宋体" w:cs="宋体"/>
          <w:sz w:val="24"/>
        </w:rPr>
        <w:t>8.6 甲方委托乙方承担本合同内容之外的工作服务，另行支付费用。</w:t>
      </w:r>
    </w:p>
    <w:p>
      <w:pPr>
        <w:spacing w:line="360" w:lineRule="auto"/>
        <w:ind w:firstLine="480" w:firstLineChars="200"/>
        <w:rPr>
          <w:rFonts w:ascii="宋体" w:hAnsi="宋体" w:cs="宋体"/>
          <w:sz w:val="24"/>
        </w:rPr>
      </w:pPr>
      <w:r>
        <w:rPr>
          <w:rFonts w:hint="eastAsia" w:ascii="宋体" w:hAnsi="宋体" w:cs="宋体"/>
          <w:sz w:val="24"/>
        </w:rPr>
        <w:t>8.7 由于不可抗拒因素致使合同无法履行时，双方应及时协商解决。</w:t>
      </w:r>
    </w:p>
    <w:p>
      <w:pPr>
        <w:spacing w:line="360" w:lineRule="auto"/>
        <w:ind w:firstLine="480" w:firstLineChars="200"/>
        <w:rPr>
          <w:rFonts w:ascii="宋体" w:hAnsi="宋体" w:cs="宋体"/>
          <w:sz w:val="24"/>
        </w:rPr>
      </w:pPr>
      <w:r>
        <w:rPr>
          <w:rFonts w:hint="eastAsia" w:ascii="宋体" w:hAnsi="宋体" w:cs="宋体"/>
          <w:sz w:val="24"/>
        </w:rPr>
        <w:t>8.8 本建设工程设计合同在履行过程中发生纠纷，甲、乙双方应及时协商解决。协商不成时，可向工程所在地有管辖权的人民法院起诉。</w:t>
      </w:r>
    </w:p>
    <w:p>
      <w:pPr>
        <w:spacing w:line="360" w:lineRule="auto"/>
        <w:ind w:firstLine="480" w:firstLineChars="200"/>
        <w:rPr>
          <w:rFonts w:ascii="宋体" w:hAnsi="宋体" w:cs="宋体"/>
          <w:sz w:val="24"/>
          <w:highlight w:val="none"/>
        </w:rPr>
      </w:pPr>
      <w:r>
        <w:rPr>
          <w:rFonts w:hint="eastAsia" w:ascii="宋体" w:hAnsi="宋体" w:cs="宋体"/>
          <w:sz w:val="24"/>
        </w:rPr>
        <w:t>8.9 其他约定事项：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8.9.1 工程设计文件应满足相应设计阶段的技术、深度要求，如因乙方原因不能达到设计质量要求，则甲方有权酌情要求乙方支付相应阶段项目设计费的10～40％作为违约金，且乙方应当进行修改、重作；如乙方拒绝修改、重作或修改重作后仍不符合设计深度要求的，甲方有权解除本合同，甲方解除合同的，乙方需向甲方支付相当于本合同总价10%的违约金并赔偿甲方损失。</w:t>
      </w:r>
    </w:p>
    <w:p>
      <w:pPr>
        <w:spacing w:line="360" w:lineRule="auto"/>
        <w:ind w:firstLine="480" w:firstLineChars="200"/>
        <w:rPr>
          <w:rFonts w:ascii="宋体" w:hAnsi="宋体" w:cs="宋体"/>
          <w:sz w:val="24"/>
        </w:rPr>
      </w:pPr>
      <w:r>
        <w:rPr>
          <w:rFonts w:hint="eastAsia" w:ascii="宋体" w:hAnsi="宋体" w:cs="宋体"/>
          <w:sz w:val="24"/>
          <w:highlight w:val="none"/>
        </w:rPr>
        <w:t>8.9.2 乙方对本单位编制的设计文件质量负责，设计文件出现错误的，乙方应无条件修改、重作，且甲方有权酌情扣减设计费的 10%～40%；如乙方拒绝修改、重作或修改重作后仍存在错误的，甲方有权解除本合同，甲方解除合同的，乙方需向甲方支付相当于本合同总价10%的违约金。如因设计文件错误影响建设工程质量、进度和造价、安全的，乙方除承担前述违约责任外，还应对甲方损失</w:t>
      </w:r>
      <w:r>
        <w:rPr>
          <w:rFonts w:hint="eastAsia" w:ascii="宋体" w:hAnsi="宋体" w:cs="宋体"/>
          <w:sz w:val="24"/>
        </w:rPr>
        <w:t>承担赔偿责任。</w:t>
      </w:r>
    </w:p>
    <w:p>
      <w:pPr>
        <w:spacing w:line="360" w:lineRule="auto"/>
        <w:ind w:firstLine="480" w:firstLineChars="200"/>
        <w:rPr>
          <w:rFonts w:ascii="宋体" w:hAnsi="宋体" w:cs="宋体"/>
          <w:sz w:val="24"/>
          <w:highlight w:val="none"/>
        </w:rPr>
      </w:pPr>
      <w:r>
        <w:rPr>
          <w:rFonts w:hint="eastAsia" w:ascii="宋体" w:hAnsi="宋体" w:cs="宋体"/>
          <w:sz w:val="24"/>
        </w:rPr>
        <w:t>8.9.3 本合同中约定的甲方有权扣</w:t>
      </w:r>
      <w:r>
        <w:rPr>
          <w:rFonts w:hint="eastAsia" w:ascii="宋体" w:hAnsi="宋体" w:cs="宋体"/>
          <w:sz w:val="24"/>
          <w:highlight w:val="none"/>
        </w:rPr>
        <w:t>减的设计费或要求乙方支付的违约金等为一定区间的金额或比例的，由甲方单方确定具体金额或比例，乙方无条件接受。甲方扣减的设计费及乙方需向甲方支付的违约金达到本合同总额的20%及以上的，甲方有权解除本合同，乙方除仍应承担前述违约金及扣款外，还应就甲方所遭受的损失承担赔偿责任。本合同中约定的乙方需向甲方支付的违约金，甲方有权从设计费、履约保证金等款项中直接扣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8.9.</w:t>
      </w:r>
      <w:r>
        <w:rPr>
          <w:rFonts w:hint="eastAsia" w:ascii="宋体" w:hAnsi="宋体" w:cs="宋体"/>
          <w:sz w:val="24"/>
          <w:highlight w:val="none"/>
          <w:lang w:val="en-US" w:eastAsia="zh-CN"/>
        </w:rPr>
        <w:t>4</w:t>
      </w:r>
      <w:r>
        <w:rPr>
          <w:rFonts w:hint="eastAsia" w:ascii="宋体" w:hAnsi="宋体" w:cs="宋体"/>
          <w:sz w:val="24"/>
          <w:highlight w:val="none"/>
        </w:rPr>
        <w:t xml:space="preserve"> 施工中遇到的需要乙方进行变更或补充设计的，乙方应及时办理有关书面变更或补充设计手续。设计变更或补充设计手续应规范、完整，并符合审图机构的要求。设计变更程序应严格遵守甲方关于《工程设计变更程序管理暂行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8.9.</w:t>
      </w:r>
      <w:r>
        <w:rPr>
          <w:rFonts w:hint="eastAsia" w:ascii="宋体" w:hAnsi="宋体" w:cs="宋体"/>
          <w:sz w:val="24"/>
          <w:highlight w:val="none"/>
          <w:lang w:val="en-US" w:eastAsia="zh-CN"/>
        </w:rPr>
        <w:t>5</w:t>
      </w:r>
      <w:r>
        <w:rPr>
          <w:rFonts w:hint="eastAsia" w:ascii="宋体" w:hAnsi="宋体" w:cs="宋体"/>
          <w:sz w:val="24"/>
          <w:highlight w:val="none"/>
        </w:rPr>
        <w:t xml:space="preserve"> 关于设计变更的考核：由于乙方全责造成的设计变更，乙方应向甲方支付相当于该变更相应工程造价（增加或减少）的 10%作为违约金。由于乙方部分责任造成的设计变更，甲方酌情以不超过该变更相应工程造价的 1%～3%作为违约金。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8.9.</w:t>
      </w:r>
      <w:r>
        <w:rPr>
          <w:rFonts w:hint="eastAsia" w:ascii="宋体" w:hAnsi="宋体" w:cs="宋体"/>
          <w:sz w:val="24"/>
          <w:highlight w:val="none"/>
          <w:lang w:val="en-US" w:eastAsia="zh-CN"/>
        </w:rPr>
        <w:t>6</w:t>
      </w:r>
      <w:r>
        <w:rPr>
          <w:rFonts w:hint="eastAsia" w:ascii="宋体" w:hAnsi="宋体" w:cs="宋体"/>
          <w:sz w:val="24"/>
          <w:highlight w:val="none"/>
        </w:rPr>
        <w:t>乙方应有相应的组织措施和经济承诺措施，并承诺在设计过程中无条件服从甲方对工程设计的协调和组织工作。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8.9.</w:t>
      </w:r>
      <w:r>
        <w:rPr>
          <w:rFonts w:hint="eastAsia" w:ascii="宋体" w:hAnsi="宋体" w:cs="宋体"/>
          <w:sz w:val="24"/>
          <w:highlight w:val="none"/>
          <w:lang w:val="en-US" w:eastAsia="zh-CN"/>
        </w:rPr>
        <w:t>7</w:t>
      </w:r>
      <w:r>
        <w:rPr>
          <w:rFonts w:hint="eastAsia" w:ascii="宋体" w:hAnsi="宋体" w:cs="宋体"/>
          <w:sz w:val="24"/>
          <w:highlight w:val="none"/>
        </w:rPr>
        <w:t>设计咨询单位在确保安全、质量符合国家标准、规范的前提下，对工程设计提出优化方案并被评审通过的，甲方根据其节约的资金造价对咨询单位给予一定程度的设计优化奖励。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节约资金是指设计咨询单位通过技术方法优化工程设计节约的最终实物工程量，按照工程量清单或定额计价方法合理折算的造价，由甲方组织工程设计行业专家、建设工程造价管理部门、设计单位、设计咨询单位及其他相关部门联合评议最终界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8.9.</w:t>
      </w:r>
      <w:r>
        <w:rPr>
          <w:rFonts w:hint="eastAsia" w:ascii="宋体" w:hAnsi="宋体" w:cs="宋体"/>
          <w:sz w:val="24"/>
          <w:highlight w:val="none"/>
          <w:lang w:val="en-US" w:eastAsia="zh-CN"/>
        </w:rPr>
        <w:t>8</w:t>
      </w:r>
      <w:r>
        <w:rPr>
          <w:rFonts w:hint="eastAsia" w:ascii="宋体" w:hAnsi="宋体" w:cs="宋体"/>
          <w:sz w:val="24"/>
          <w:highlight w:val="none"/>
        </w:rPr>
        <w:t xml:space="preserve"> 乙方提供的设计成果至少包含下列内容：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（1）编制符合相关文件要求的项目建议书、可行性研究报告；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（2）招标范围内所有工程方案设计、初步设计、施工图设计；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（3）完成设计工作所必需的现场察看、测量；成果报告、设计文件确定过程中的修改与完善；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编制符合南通市规定的设计估算；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（4）提供需要的效果图及汇报材料；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（5）按照甲方要求委派专人（设计代表）提供满足工程施工图设计及建设需要的后续服务及技术指导等会议，如乙方未及时提供后续服务的，甲方有权根据严重程度要求乙方支付合同总价的1%-5%/次的违约金。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协助甲方完成监理、施工等与工程有关的招标工作。编制主要材料的技术要求，特殊施工工艺的技术规程与控制点，在工程建设中，施工、监理单位需配备的检测仪器、仪表、相关标准、规范、强制性条文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（7）招标文件中甲方委托的其他相关内容。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lang w:val="en-US" w:eastAsia="zh-CN"/>
        </w:rPr>
        <w:t>9</w:t>
      </w:r>
      <w:r>
        <w:rPr>
          <w:rFonts w:hint="eastAsia" w:ascii="宋体" w:hAnsi="宋体" w:cs="宋体"/>
          <w:sz w:val="24"/>
          <w:highlight w:val="none"/>
        </w:rPr>
        <w:t xml:space="preserve"> 本合同项下对于乙方的所有奖励或处罚均可以累计。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8.1</w:t>
      </w:r>
      <w:r>
        <w:rPr>
          <w:rFonts w:hint="eastAsia" w:ascii="宋体" w:hAnsi="宋体" w:cs="宋体"/>
          <w:sz w:val="24"/>
          <w:highlight w:val="none"/>
          <w:lang w:val="en-US" w:eastAsia="zh-CN"/>
        </w:rPr>
        <w:t>0</w:t>
      </w:r>
      <w:r>
        <w:rPr>
          <w:rFonts w:hint="eastAsia" w:ascii="宋体" w:hAnsi="宋体" w:cs="宋体"/>
          <w:sz w:val="24"/>
          <w:highlight w:val="none"/>
        </w:rPr>
        <w:t xml:space="preserve"> 本合同未尽事宜，双方可签订补充协议作为附件，补充协议与本合同具有同等效力。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8.1</w:t>
      </w:r>
      <w:r>
        <w:rPr>
          <w:rFonts w:hint="eastAsia" w:ascii="宋体" w:hAnsi="宋体" w:cs="宋体"/>
          <w:sz w:val="24"/>
          <w:highlight w:val="none"/>
          <w:lang w:val="en-US" w:eastAsia="zh-CN"/>
        </w:rPr>
        <w:t>1</w:t>
      </w:r>
      <w:r>
        <w:rPr>
          <w:rFonts w:hint="eastAsia" w:ascii="宋体" w:hAnsi="宋体" w:cs="宋体"/>
          <w:sz w:val="24"/>
          <w:highlight w:val="none"/>
        </w:rPr>
        <w:t xml:space="preserve"> 本合同一式壹拾份，甲方执陆份，乙方执肆份。</w:t>
      </w:r>
    </w:p>
    <w:p>
      <w:pPr>
        <w:spacing w:line="360" w:lineRule="auto"/>
        <w:ind w:firstLine="480" w:firstLineChars="200"/>
        <w:rPr>
          <w:rFonts w:ascii="宋体" w:hAnsi="宋体" w:cs="宋体"/>
          <w:sz w:val="24"/>
        </w:rPr>
      </w:pPr>
      <w:r>
        <w:rPr>
          <w:rFonts w:hint="eastAsia" w:ascii="宋体" w:hAnsi="宋体" w:cs="宋体"/>
          <w:sz w:val="24"/>
          <w:highlight w:val="none"/>
        </w:rPr>
        <w:t>8.1</w:t>
      </w:r>
      <w:r>
        <w:rPr>
          <w:rFonts w:hint="eastAsia" w:ascii="宋体" w:hAnsi="宋体" w:cs="宋体"/>
          <w:sz w:val="24"/>
          <w:highlight w:val="none"/>
          <w:lang w:val="en-US" w:eastAsia="zh-CN"/>
        </w:rPr>
        <w:t>2</w:t>
      </w:r>
      <w:r>
        <w:rPr>
          <w:rFonts w:hint="eastAsia" w:ascii="宋体" w:hAnsi="宋体" w:cs="宋体"/>
          <w:sz w:val="24"/>
          <w:highlight w:val="none"/>
        </w:rPr>
        <w:t>双方履行完合同规定的义务后，本合同即</w:t>
      </w:r>
      <w:r>
        <w:rPr>
          <w:rFonts w:hint="eastAsia" w:ascii="宋体" w:hAnsi="宋体" w:cs="宋体"/>
          <w:sz w:val="24"/>
        </w:rPr>
        <w:t>行终止。</w:t>
      </w:r>
    </w:p>
    <w:p>
      <w:pPr>
        <w:spacing w:line="360" w:lineRule="auto"/>
        <w:ind w:firstLine="480" w:firstLineChars="200"/>
        <w:rPr>
          <w:rFonts w:ascii="宋体" w:hAnsi="宋体" w:cs="宋体"/>
          <w:sz w:val="23"/>
          <w:szCs w:val="23"/>
        </w:rPr>
      </w:pPr>
      <w:r>
        <w:rPr>
          <w:rFonts w:hint="eastAsia" w:ascii="宋体" w:hAnsi="宋体" w:cs="宋体"/>
          <w:sz w:val="24"/>
        </w:rPr>
        <w:t>8.1</w:t>
      </w:r>
      <w:r>
        <w:rPr>
          <w:rFonts w:hint="eastAsia" w:ascii="宋体" w:hAnsi="宋体" w:cs="宋体"/>
          <w:sz w:val="24"/>
          <w:lang w:val="en-US" w:eastAsia="zh-CN"/>
        </w:rPr>
        <w:t>3</w:t>
      </w:r>
      <w:r>
        <w:rPr>
          <w:rFonts w:hint="eastAsia" w:ascii="宋体" w:hAnsi="宋体" w:cs="宋体"/>
          <w:sz w:val="24"/>
        </w:rPr>
        <w:t xml:space="preserve"> 本合同经甲、乙双方签章后生效</w:t>
      </w:r>
      <w:r>
        <w:rPr>
          <w:rFonts w:hint="eastAsia" w:ascii="宋体" w:hAnsi="宋体" w:cs="宋体"/>
          <w:sz w:val="23"/>
          <w:szCs w:val="23"/>
        </w:rPr>
        <w:t>。</w:t>
      </w:r>
    </w:p>
    <w:p>
      <w:pPr>
        <w:widowControl/>
        <w:wordWrap w:val="0"/>
        <w:ind w:left="2550"/>
        <w:rPr>
          <w:kern w:val="0"/>
        </w:rPr>
      </w:pPr>
    </w:p>
    <w:tbl>
      <w:tblPr>
        <w:tblStyle w:val="45"/>
        <w:tblW w:w="8720" w:type="dxa"/>
        <w:tblInd w:w="108" w:type="dxa"/>
        <w:tblLayout w:type="fixed"/>
        <w:tblCellMar>
          <w:top w:w="0" w:type="dxa"/>
          <w:left w:w="108" w:type="dxa"/>
          <w:bottom w:w="0" w:type="dxa"/>
          <w:right w:w="108" w:type="dxa"/>
        </w:tblCellMar>
      </w:tblPr>
      <w:tblGrid>
        <w:gridCol w:w="4247"/>
        <w:gridCol w:w="4473"/>
      </w:tblGrid>
      <w:tr>
        <w:tblPrEx>
          <w:tblCellMar>
            <w:top w:w="0" w:type="dxa"/>
            <w:left w:w="108" w:type="dxa"/>
            <w:bottom w:w="0" w:type="dxa"/>
            <w:right w:w="108" w:type="dxa"/>
          </w:tblCellMar>
        </w:tblPrEx>
        <w:trPr>
          <w:trHeight w:val="1435" w:hRule="atLeast"/>
        </w:trPr>
        <w:tc>
          <w:tcPr>
            <w:tcW w:w="4247" w:type="dxa"/>
          </w:tcPr>
          <w:p>
            <w:pPr>
              <w:spacing w:line="360" w:lineRule="auto"/>
              <w:rPr>
                <w:rFonts w:ascii="宋体" w:hAnsi="宋体" w:cs="宋体"/>
                <w:sz w:val="24"/>
              </w:rPr>
            </w:pPr>
            <w:r>
              <w:rPr>
                <w:rFonts w:hint="eastAsia" w:ascii="宋体" w:hAnsi="宋体" w:cs="宋体"/>
                <w:sz w:val="24"/>
              </w:rPr>
              <w:t>委托方单位名称：  （盖章）</w:t>
            </w:r>
          </w:p>
        </w:tc>
        <w:tc>
          <w:tcPr>
            <w:tcW w:w="4473" w:type="dxa"/>
          </w:tcPr>
          <w:p>
            <w:pPr>
              <w:spacing w:line="360" w:lineRule="auto"/>
              <w:rPr>
                <w:rFonts w:ascii="宋体" w:hAnsi="宋体" w:cs="宋体"/>
                <w:sz w:val="24"/>
              </w:rPr>
            </w:pPr>
            <w:r>
              <w:rPr>
                <w:rFonts w:hint="eastAsia" w:ascii="宋体" w:hAnsi="宋体" w:cs="宋体"/>
                <w:sz w:val="24"/>
              </w:rPr>
              <w:t>设计方单位名称： （盖章）</w:t>
            </w:r>
          </w:p>
        </w:tc>
      </w:tr>
      <w:tr>
        <w:tblPrEx>
          <w:tblCellMar>
            <w:top w:w="0" w:type="dxa"/>
            <w:left w:w="108" w:type="dxa"/>
            <w:bottom w:w="0" w:type="dxa"/>
            <w:right w:w="108" w:type="dxa"/>
          </w:tblCellMar>
        </w:tblPrEx>
        <w:tc>
          <w:tcPr>
            <w:tcW w:w="4247" w:type="dxa"/>
          </w:tcPr>
          <w:p>
            <w:pPr>
              <w:spacing w:line="360" w:lineRule="auto"/>
              <w:rPr>
                <w:rFonts w:ascii="宋体" w:hAnsi="宋体" w:cs="宋体"/>
                <w:sz w:val="24"/>
              </w:rPr>
            </w:pPr>
            <w:r>
              <w:rPr>
                <w:rFonts w:hint="eastAsia" w:ascii="宋体" w:hAnsi="宋体" w:cs="宋体"/>
                <w:sz w:val="24"/>
              </w:rPr>
              <w:t>法定代表人：      （签字）</w:t>
            </w:r>
          </w:p>
        </w:tc>
        <w:tc>
          <w:tcPr>
            <w:tcW w:w="4473" w:type="dxa"/>
          </w:tcPr>
          <w:p>
            <w:pPr>
              <w:spacing w:line="360" w:lineRule="auto"/>
              <w:rPr>
                <w:rFonts w:ascii="宋体" w:hAnsi="宋体" w:cs="宋体"/>
                <w:sz w:val="24"/>
              </w:rPr>
            </w:pPr>
            <w:r>
              <w:rPr>
                <w:rFonts w:hint="eastAsia" w:ascii="宋体" w:hAnsi="宋体" w:cs="宋体"/>
                <w:sz w:val="24"/>
              </w:rPr>
              <w:t>法定代表人：     （签字）</w:t>
            </w:r>
          </w:p>
        </w:tc>
      </w:tr>
      <w:tr>
        <w:tblPrEx>
          <w:tblCellMar>
            <w:top w:w="0" w:type="dxa"/>
            <w:left w:w="108" w:type="dxa"/>
            <w:bottom w:w="0" w:type="dxa"/>
            <w:right w:w="108" w:type="dxa"/>
          </w:tblCellMar>
        </w:tblPrEx>
        <w:tc>
          <w:tcPr>
            <w:tcW w:w="4247" w:type="dxa"/>
          </w:tcPr>
          <w:p>
            <w:pPr>
              <w:spacing w:line="360" w:lineRule="auto"/>
              <w:rPr>
                <w:rFonts w:ascii="宋体" w:hAnsi="宋体" w:cs="宋体"/>
                <w:sz w:val="24"/>
              </w:rPr>
            </w:pPr>
            <w:r>
              <w:rPr>
                <w:rFonts w:hint="eastAsia" w:ascii="宋体" w:hAnsi="宋体" w:cs="宋体"/>
                <w:sz w:val="24"/>
              </w:rPr>
              <w:t>或授权代表：      （签字）</w:t>
            </w:r>
          </w:p>
        </w:tc>
        <w:tc>
          <w:tcPr>
            <w:tcW w:w="4473" w:type="dxa"/>
          </w:tcPr>
          <w:p>
            <w:pPr>
              <w:spacing w:line="360" w:lineRule="auto"/>
              <w:rPr>
                <w:rFonts w:ascii="宋体" w:hAnsi="宋体" w:cs="宋体"/>
                <w:sz w:val="24"/>
              </w:rPr>
            </w:pPr>
            <w:r>
              <w:rPr>
                <w:rFonts w:hint="eastAsia" w:ascii="宋体" w:hAnsi="宋体" w:cs="宋体"/>
                <w:sz w:val="24"/>
              </w:rPr>
              <w:t>或授权代表：     （签字）</w:t>
            </w:r>
          </w:p>
        </w:tc>
      </w:tr>
      <w:tr>
        <w:tblPrEx>
          <w:tblCellMar>
            <w:top w:w="0" w:type="dxa"/>
            <w:left w:w="108" w:type="dxa"/>
            <w:bottom w:w="0" w:type="dxa"/>
            <w:right w:w="108" w:type="dxa"/>
          </w:tblCellMar>
        </w:tblPrEx>
        <w:tc>
          <w:tcPr>
            <w:tcW w:w="4247" w:type="dxa"/>
          </w:tcPr>
          <w:p>
            <w:pPr>
              <w:spacing w:line="360" w:lineRule="auto"/>
              <w:rPr>
                <w:rFonts w:ascii="宋体" w:hAnsi="宋体" w:cs="宋体"/>
                <w:sz w:val="24"/>
              </w:rPr>
            </w:pPr>
            <w:r>
              <w:rPr>
                <w:rFonts w:hint="eastAsia" w:ascii="宋体" w:hAnsi="宋体" w:cs="宋体"/>
                <w:sz w:val="24"/>
              </w:rPr>
              <w:t>地址：</w:t>
            </w:r>
          </w:p>
        </w:tc>
        <w:tc>
          <w:tcPr>
            <w:tcW w:w="4473" w:type="dxa"/>
          </w:tcPr>
          <w:p>
            <w:pPr>
              <w:spacing w:line="360" w:lineRule="auto"/>
              <w:rPr>
                <w:rFonts w:ascii="宋体" w:hAnsi="宋体" w:cs="宋体"/>
                <w:sz w:val="24"/>
              </w:rPr>
            </w:pPr>
            <w:r>
              <w:rPr>
                <w:rFonts w:hint="eastAsia" w:ascii="宋体" w:hAnsi="宋体" w:cs="宋体"/>
                <w:sz w:val="24"/>
              </w:rPr>
              <w:t>地址：</w:t>
            </w:r>
          </w:p>
        </w:tc>
      </w:tr>
      <w:tr>
        <w:tblPrEx>
          <w:tblCellMar>
            <w:top w:w="0" w:type="dxa"/>
            <w:left w:w="108" w:type="dxa"/>
            <w:bottom w:w="0" w:type="dxa"/>
            <w:right w:w="108" w:type="dxa"/>
          </w:tblCellMar>
        </w:tblPrEx>
        <w:tc>
          <w:tcPr>
            <w:tcW w:w="4247" w:type="dxa"/>
          </w:tcPr>
          <w:p>
            <w:pPr>
              <w:spacing w:line="360" w:lineRule="auto"/>
              <w:rPr>
                <w:rFonts w:ascii="宋体" w:hAnsi="宋体" w:cs="宋体"/>
                <w:sz w:val="24"/>
              </w:rPr>
            </w:pPr>
            <w:r>
              <w:rPr>
                <w:rFonts w:hint="eastAsia" w:ascii="宋体" w:hAnsi="宋体" w:cs="宋体"/>
                <w:sz w:val="24"/>
              </w:rPr>
              <w:t>电话：</w:t>
            </w:r>
          </w:p>
        </w:tc>
        <w:tc>
          <w:tcPr>
            <w:tcW w:w="4473" w:type="dxa"/>
          </w:tcPr>
          <w:p>
            <w:pPr>
              <w:spacing w:line="360" w:lineRule="auto"/>
              <w:rPr>
                <w:rFonts w:ascii="宋体" w:hAnsi="宋体" w:cs="宋体"/>
                <w:sz w:val="24"/>
              </w:rPr>
            </w:pPr>
            <w:r>
              <w:rPr>
                <w:rFonts w:hint="eastAsia" w:ascii="宋体" w:hAnsi="宋体" w:cs="宋体"/>
                <w:sz w:val="24"/>
              </w:rPr>
              <w:t>电话：</w:t>
            </w:r>
          </w:p>
        </w:tc>
      </w:tr>
      <w:tr>
        <w:tblPrEx>
          <w:tblCellMar>
            <w:top w:w="0" w:type="dxa"/>
            <w:left w:w="108" w:type="dxa"/>
            <w:bottom w:w="0" w:type="dxa"/>
            <w:right w:w="108" w:type="dxa"/>
          </w:tblCellMar>
        </w:tblPrEx>
        <w:tc>
          <w:tcPr>
            <w:tcW w:w="4247" w:type="dxa"/>
          </w:tcPr>
          <w:p>
            <w:pPr>
              <w:spacing w:line="360" w:lineRule="auto"/>
              <w:rPr>
                <w:rFonts w:ascii="宋体" w:hAnsi="宋体" w:cs="宋体"/>
                <w:sz w:val="24"/>
              </w:rPr>
            </w:pPr>
            <w:r>
              <w:rPr>
                <w:rFonts w:hint="eastAsia" w:ascii="宋体" w:hAnsi="宋体" w:cs="宋体"/>
                <w:sz w:val="24"/>
              </w:rPr>
              <w:t>日期：   年  月  日</w:t>
            </w:r>
          </w:p>
        </w:tc>
        <w:tc>
          <w:tcPr>
            <w:tcW w:w="4473" w:type="dxa"/>
          </w:tcPr>
          <w:p>
            <w:pPr>
              <w:spacing w:line="360" w:lineRule="auto"/>
              <w:rPr>
                <w:rFonts w:ascii="宋体" w:hAnsi="宋体" w:cs="宋体"/>
                <w:sz w:val="24"/>
              </w:rPr>
            </w:pPr>
            <w:r>
              <w:rPr>
                <w:rFonts w:hint="eastAsia" w:ascii="宋体" w:hAnsi="宋体" w:cs="宋体"/>
                <w:sz w:val="24"/>
              </w:rPr>
              <w:t>日期：   年  月  日</w:t>
            </w:r>
          </w:p>
        </w:tc>
      </w:tr>
    </w:tbl>
    <w:p>
      <w:pPr>
        <w:widowControl/>
        <w:spacing w:line="800" w:lineRule="exact"/>
        <w:jc w:val="center"/>
        <w:rPr>
          <w:rFonts w:ascii="宋体" w:hAnsi="宋体" w:cs="宋体"/>
          <w:b/>
          <w:kern w:val="0"/>
          <w:sz w:val="28"/>
          <w:szCs w:val="28"/>
        </w:rPr>
      </w:pP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br w:type="page"/>
      </w:r>
    </w:p>
    <w:p>
      <w:pPr>
        <w:pStyle w:val="19"/>
      </w:pPr>
    </w:p>
    <w:p>
      <w:pPr>
        <w:spacing w:line="360" w:lineRule="auto"/>
        <w:jc w:val="center"/>
        <w:outlineLvl w:val="0"/>
        <w:rPr>
          <w:rFonts w:ascii="宋体" w:hAnsi="宋体" w:cs="宋体"/>
          <w:bCs/>
          <w:color w:val="000000" w:themeColor="text1"/>
          <w:sz w:val="36"/>
          <w:szCs w:val="36"/>
          <w14:textFill>
            <w14:solidFill>
              <w14:schemeClr w14:val="tx1"/>
            </w14:solidFill>
          </w14:textFill>
        </w:rPr>
      </w:pPr>
      <w:bookmarkStart w:id="116" w:name="_Toc25659025"/>
      <w:r>
        <w:rPr>
          <w:rFonts w:hint="eastAsia" w:ascii="宋体" w:hAnsi="宋体" w:cs="宋体"/>
          <w:bCs/>
          <w:color w:val="000000" w:themeColor="text1"/>
          <w:sz w:val="36"/>
          <w:szCs w:val="36"/>
          <w14:textFill>
            <w14:solidFill>
              <w14:schemeClr w14:val="tx1"/>
            </w14:solidFill>
          </w14:textFill>
        </w:rPr>
        <w:t>第五章投标文件格式</w:t>
      </w:r>
      <w:bookmarkEnd w:id="114"/>
      <w:bookmarkEnd w:id="115"/>
      <w:bookmarkEnd w:id="116"/>
    </w:p>
    <w:p>
      <w:pPr>
        <w:pStyle w:val="89"/>
        <w:outlineLvl w:val="1"/>
        <w:rPr>
          <w:rFonts w:eastAsia="宋体"/>
          <w:b w:val="0"/>
          <w:bCs w:val="0"/>
          <w:color w:val="000000" w:themeColor="text1"/>
          <w:szCs w:val="21"/>
          <w14:textFill>
            <w14:solidFill>
              <w14:schemeClr w14:val="tx1"/>
            </w14:solidFill>
          </w14:textFill>
        </w:rPr>
      </w:pPr>
      <w:bookmarkStart w:id="117" w:name="_Toc31501"/>
      <w:bookmarkStart w:id="118" w:name="_Toc2861300"/>
      <w:bookmarkStart w:id="119" w:name="_Toc25658508"/>
      <w:bookmarkStart w:id="120" w:name="_Toc25659026"/>
      <w:bookmarkStart w:id="121" w:name="_Toc1420"/>
      <w:r>
        <w:rPr>
          <w:rFonts w:hint="eastAsia" w:eastAsia="宋体"/>
          <w:color w:val="000000" w:themeColor="text1"/>
          <w14:textFill>
            <w14:solidFill>
              <w14:schemeClr w14:val="tx1"/>
            </w14:solidFill>
          </w14:textFill>
        </w:rPr>
        <w:t>一、</w:t>
      </w:r>
      <w:r>
        <w:rPr>
          <w:rFonts w:hint="eastAsia" w:eastAsia="宋体"/>
          <w:b w:val="0"/>
          <w:bCs w:val="0"/>
          <w:color w:val="000000" w:themeColor="text1"/>
          <w14:textFill>
            <w14:solidFill>
              <w14:schemeClr w14:val="tx1"/>
            </w14:solidFill>
          </w14:textFill>
        </w:rPr>
        <w:t>商务</w:t>
      </w:r>
      <w:r>
        <w:rPr>
          <w:rFonts w:hint="eastAsia" w:eastAsia="宋体"/>
          <w:b w:val="0"/>
          <w:bCs w:val="0"/>
          <w:color w:val="000000" w:themeColor="text1"/>
          <w:lang w:val="en-US"/>
          <w14:textFill>
            <w14:solidFill>
              <w14:schemeClr w14:val="tx1"/>
            </w14:solidFill>
          </w14:textFill>
        </w:rPr>
        <w:t>标</w:t>
      </w:r>
      <w:r>
        <w:rPr>
          <w:rFonts w:hint="eastAsia" w:eastAsia="宋体"/>
          <w:b w:val="0"/>
          <w:bCs w:val="0"/>
          <w:color w:val="000000" w:themeColor="text1"/>
          <w14:textFill>
            <w14:solidFill>
              <w14:schemeClr w14:val="tx1"/>
            </w14:solidFill>
          </w14:textFill>
        </w:rPr>
        <w:t>格式</w:t>
      </w:r>
      <w:bookmarkEnd w:id="117"/>
      <w:bookmarkEnd w:id="118"/>
      <w:bookmarkEnd w:id="119"/>
      <w:bookmarkEnd w:id="120"/>
      <w:bookmarkEnd w:id="121"/>
    </w:p>
    <w:p>
      <w:pPr>
        <w:pStyle w:val="42"/>
        <w:spacing w:line="495" w:lineRule="atLeast"/>
        <w:ind w:firstLine="880" w:firstLineChars="200"/>
        <w:jc w:val="right"/>
        <w:rPr>
          <w:color w:val="000000" w:themeColor="text1"/>
          <w:sz w:val="32"/>
          <w:szCs w:val="32"/>
          <w14:textFill>
            <w14:solidFill>
              <w14:schemeClr w14:val="tx1"/>
            </w14:solidFill>
          </w14:textFill>
        </w:rPr>
      </w:pPr>
      <w:r>
        <w:rPr>
          <w:rFonts w:hint="eastAsia"/>
          <w:color w:val="000000" w:themeColor="text1"/>
          <w:sz w:val="44"/>
          <w:szCs w:val="44"/>
          <w:bdr w:val="single" w:color="000000" w:sz="4" w:space="0"/>
          <w14:textFill>
            <w14:solidFill>
              <w14:schemeClr w14:val="tx1"/>
            </w14:solidFill>
          </w14:textFill>
        </w:rPr>
        <w:t>正本/副本</w:t>
      </w:r>
    </w:p>
    <w:p>
      <w:pPr>
        <w:spacing w:line="440" w:lineRule="exact"/>
        <w:ind w:firstLine="597"/>
        <w:jc w:val="center"/>
        <w:rPr>
          <w:rFonts w:ascii="宋体" w:hAnsi="宋体" w:cs="宋体"/>
          <w:color w:val="000000" w:themeColor="text1"/>
          <w14:textFill>
            <w14:solidFill>
              <w14:schemeClr w14:val="tx1"/>
            </w14:solidFill>
          </w14:textFill>
        </w:rPr>
      </w:pPr>
    </w:p>
    <w:p>
      <w:pPr>
        <w:ind w:right="566"/>
        <w:rPr>
          <w:rFonts w:ascii="宋体" w:hAnsi="宋体" w:cs="宋体"/>
          <w:b/>
          <w:color w:val="000000" w:themeColor="text1"/>
          <w:sz w:val="28"/>
          <w14:textFill>
            <w14:solidFill>
              <w14:schemeClr w14:val="tx1"/>
            </w14:solidFill>
          </w14:textFill>
        </w:rPr>
      </w:pPr>
    </w:p>
    <w:p>
      <w:pPr>
        <w:jc w:val="center"/>
        <w:rPr>
          <w:rFonts w:ascii="宋体" w:hAnsi="宋体" w:cs="宋体"/>
          <w:b/>
          <w:color w:val="000000" w:themeColor="text1"/>
          <w:sz w:val="32"/>
          <w14:textFill>
            <w14:solidFill>
              <w14:schemeClr w14:val="tx1"/>
            </w14:solidFill>
          </w14:textFill>
        </w:rPr>
      </w:pPr>
    </w:p>
    <w:p>
      <w:pPr>
        <w:spacing w:before="156" w:beforeLines="50" w:after="156" w:afterLines="50" w:line="360" w:lineRule="auto"/>
        <w:ind w:firstLine="640" w:firstLineChars="200"/>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32"/>
          <w:szCs w:val="48"/>
          <w:u w:val="single"/>
          <w14:textFill>
            <w14:solidFill>
              <w14:schemeClr w14:val="tx1"/>
            </w14:solidFill>
          </w14:textFill>
        </w:rPr>
        <w:t xml:space="preserve">     （工程名称）     </w:t>
      </w:r>
      <w:r>
        <w:rPr>
          <w:rFonts w:hint="eastAsia" w:ascii="宋体" w:hAnsi="宋体" w:cs="宋体"/>
          <w:b/>
          <w:color w:val="000000" w:themeColor="text1"/>
          <w:sz w:val="32"/>
          <w:szCs w:val="48"/>
          <w14:textFill>
            <w14:solidFill>
              <w14:schemeClr w14:val="tx1"/>
            </w14:solidFill>
          </w14:textFill>
        </w:rPr>
        <w:t>招标</w:t>
      </w:r>
    </w:p>
    <w:p>
      <w:pPr>
        <w:spacing w:before="156" w:beforeLines="50"/>
        <w:jc w:val="center"/>
        <w:rPr>
          <w:rFonts w:ascii="宋体" w:hAnsi="宋体" w:cs="宋体"/>
          <w:color w:val="000000" w:themeColor="text1"/>
          <w:sz w:val="28"/>
          <w:szCs w:val="28"/>
          <w14:textFill>
            <w14:solidFill>
              <w14:schemeClr w14:val="tx1"/>
            </w14:solidFill>
          </w14:textFill>
        </w:rPr>
      </w:pPr>
    </w:p>
    <w:p>
      <w:pPr>
        <w:spacing w:before="156" w:beforeLines="50"/>
        <w:jc w:val="center"/>
        <w:rPr>
          <w:rFonts w:ascii="宋体" w:hAnsi="宋体" w:cs="宋体"/>
          <w:color w:val="000000" w:themeColor="text1"/>
          <w:sz w:val="28"/>
          <w:szCs w:val="28"/>
          <w14:textFill>
            <w14:solidFill>
              <w14:schemeClr w14:val="tx1"/>
            </w14:solidFill>
          </w14:textFill>
        </w:rPr>
      </w:pPr>
    </w:p>
    <w:p>
      <w:pPr>
        <w:spacing w:before="156" w:beforeLines="50"/>
        <w:jc w:val="center"/>
        <w:rPr>
          <w:rFonts w:ascii="宋体" w:hAnsi="宋体" w:cs="宋体"/>
          <w:color w:val="000000" w:themeColor="text1"/>
          <w:sz w:val="52"/>
          <w:szCs w:val="44"/>
          <w14:textFill>
            <w14:solidFill>
              <w14:schemeClr w14:val="tx1"/>
            </w14:solidFill>
          </w14:textFill>
        </w:rPr>
      </w:pPr>
      <w:r>
        <w:rPr>
          <w:rFonts w:hint="eastAsia" w:ascii="宋体" w:hAnsi="宋体" w:cs="宋体"/>
          <w:color w:val="000000" w:themeColor="text1"/>
          <w:sz w:val="52"/>
          <w:szCs w:val="44"/>
          <w14:textFill>
            <w14:solidFill>
              <w14:schemeClr w14:val="tx1"/>
            </w14:solidFill>
          </w14:textFill>
        </w:rPr>
        <w:t>商务标</w:t>
      </w:r>
    </w:p>
    <w:p>
      <w:pPr>
        <w:spacing w:before="156" w:beforeLines="50"/>
        <w:rPr>
          <w:rFonts w:ascii="宋体" w:hAnsi="宋体" w:cs="宋体"/>
          <w:color w:val="000000" w:themeColor="text1"/>
          <w:sz w:val="44"/>
          <w:szCs w:val="44"/>
          <w14:textFill>
            <w14:solidFill>
              <w14:schemeClr w14:val="tx1"/>
            </w14:solidFill>
          </w14:textFill>
        </w:rPr>
      </w:pPr>
    </w:p>
    <w:p>
      <w:pPr>
        <w:spacing w:before="156" w:beforeLines="50"/>
        <w:jc w:val="center"/>
        <w:rPr>
          <w:rFonts w:ascii="宋体" w:hAnsi="宋体" w:cs="宋体"/>
          <w:color w:val="000000" w:themeColor="text1"/>
          <w:sz w:val="32"/>
          <w:szCs w:val="32"/>
          <w14:textFill>
            <w14:solidFill>
              <w14:schemeClr w14:val="tx1"/>
            </w14:solidFill>
          </w14:textFill>
        </w:rPr>
      </w:pPr>
    </w:p>
    <w:p>
      <w:pPr>
        <w:spacing w:before="156" w:beforeLines="50"/>
        <w:jc w:val="center"/>
        <w:rPr>
          <w:rFonts w:ascii="宋体" w:hAnsi="宋体" w:cs="宋体"/>
          <w:color w:val="000000" w:themeColor="text1"/>
          <w:sz w:val="32"/>
          <w:szCs w:val="32"/>
          <w14:textFill>
            <w14:solidFill>
              <w14:schemeClr w14:val="tx1"/>
            </w14:solidFill>
          </w14:textFill>
        </w:rPr>
      </w:pPr>
    </w:p>
    <w:p>
      <w:pPr>
        <w:spacing w:line="360" w:lineRule="auto"/>
        <w:ind w:right="566" w:firstLine="560" w:firstLineChars="200"/>
        <w:rPr>
          <w:rFonts w:ascii="宋体" w:hAnsi="宋体" w:cs="宋体"/>
          <w:b/>
          <w:color w:val="000000" w:themeColor="text1"/>
          <w:sz w:val="28"/>
          <w:u w:val="single"/>
          <w14:textFill>
            <w14:solidFill>
              <w14:schemeClr w14:val="tx1"/>
            </w14:solidFill>
          </w14:textFill>
        </w:rPr>
      </w:pPr>
      <w:bookmarkStart w:id="122" w:name="_Toc8945"/>
      <w:bookmarkStart w:id="123" w:name="_Toc6603"/>
      <w:r>
        <w:rPr>
          <w:rFonts w:hint="eastAsia" w:ascii="宋体" w:hAnsi="宋体" w:cs="宋体"/>
          <w:b/>
          <w:color w:val="000000" w:themeColor="text1"/>
          <w:sz w:val="28"/>
          <w14:textFill>
            <w14:solidFill>
              <w14:schemeClr w14:val="tx1"/>
            </w14:solidFill>
          </w14:textFill>
        </w:rPr>
        <w:t>投标人：</w:t>
      </w:r>
      <w:r>
        <w:rPr>
          <w:rFonts w:hint="eastAsia" w:ascii="宋体" w:hAnsi="宋体" w:cs="宋体"/>
          <w:b/>
          <w:color w:val="000000" w:themeColor="text1"/>
          <w:sz w:val="28"/>
          <w:u w:val="single"/>
          <w14:textFill>
            <w14:solidFill>
              <w14:schemeClr w14:val="tx1"/>
            </w14:solidFill>
          </w14:textFill>
        </w:rPr>
        <w:t>（盖章）</w:t>
      </w:r>
      <w:bookmarkEnd w:id="122"/>
      <w:bookmarkEnd w:id="123"/>
    </w:p>
    <w:p>
      <w:pPr>
        <w:spacing w:line="360" w:lineRule="auto"/>
        <w:ind w:firstLine="560" w:firstLineChars="200"/>
        <w:rPr>
          <w:rFonts w:ascii="宋体" w:hAnsi="宋体" w:cs="宋体"/>
          <w:b/>
          <w:color w:val="000000" w:themeColor="text1"/>
          <w:sz w:val="28"/>
          <w:u w:val="single"/>
          <w14:textFill>
            <w14:solidFill>
              <w14:schemeClr w14:val="tx1"/>
            </w14:solidFill>
          </w14:textFill>
        </w:rPr>
      </w:pPr>
      <w:bookmarkStart w:id="124" w:name="_Toc20102"/>
      <w:bookmarkStart w:id="125" w:name="_Toc18068"/>
      <w:r>
        <w:rPr>
          <w:rFonts w:hint="eastAsia" w:ascii="宋体" w:hAnsi="宋体" w:cs="宋体"/>
          <w:b/>
          <w:color w:val="000000" w:themeColor="text1"/>
          <w:sz w:val="28"/>
          <w14:textFill>
            <w14:solidFill>
              <w14:schemeClr w14:val="tx1"/>
            </w14:solidFill>
          </w14:textFill>
        </w:rPr>
        <w:t>法定代表人或其委托代理人：（签字或盖章）</w:t>
      </w:r>
      <w:bookmarkEnd w:id="124"/>
      <w:bookmarkEnd w:id="125"/>
    </w:p>
    <w:p>
      <w:pPr>
        <w:spacing w:line="360" w:lineRule="auto"/>
        <w:ind w:firstLine="560" w:firstLineChars="200"/>
        <w:rPr>
          <w:rFonts w:ascii="宋体" w:hAnsi="宋体" w:cs="宋体"/>
          <w:b/>
          <w:color w:val="000000" w:themeColor="text1"/>
          <w:sz w:val="28"/>
          <w:u w:val="single"/>
          <w14:textFill>
            <w14:solidFill>
              <w14:schemeClr w14:val="tx1"/>
            </w14:solidFill>
          </w14:textFill>
        </w:rPr>
      </w:pPr>
      <w:bookmarkStart w:id="126" w:name="_Toc9697"/>
      <w:bookmarkStart w:id="127" w:name="_Toc12513"/>
      <w:r>
        <w:rPr>
          <w:rFonts w:hint="eastAsia" w:ascii="宋体" w:hAnsi="宋体" w:cs="宋体"/>
          <w:b/>
          <w:color w:val="000000" w:themeColor="text1"/>
          <w:sz w:val="28"/>
          <w14:textFill>
            <w14:solidFill>
              <w14:schemeClr w14:val="tx1"/>
            </w14:solidFill>
          </w14:textFill>
        </w:rPr>
        <w:t>地址：</w:t>
      </w:r>
      <w:bookmarkEnd w:id="126"/>
      <w:bookmarkEnd w:id="127"/>
    </w:p>
    <w:p>
      <w:pPr>
        <w:spacing w:line="360" w:lineRule="auto"/>
        <w:ind w:firstLine="560" w:firstLineChars="200"/>
        <w:rPr>
          <w:rFonts w:ascii="宋体" w:hAnsi="宋体" w:cs="宋体"/>
          <w:color w:val="000000" w:themeColor="text1"/>
          <w14:textFill>
            <w14:solidFill>
              <w14:schemeClr w14:val="tx1"/>
            </w14:solidFill>
          </w14:textFill>
        </w:rPr>
      </w:pPr>
      <w:bookmarkStart w:id="128" w:name="_Toc11735"/>
      <w:bookmarkStart w:id="129" w:name="_Toc12363"/>
      <w:r>
        <w:rPr>
          <w:rFonts w:hint="eastAsia" w:ascii="宋体" w:hAnsi="宋体" w:cs="宋体"/>
          <w:b/>
          <w:color w:val="000000" w:themeColor="text1"/>
          <w:sz w:val="28"/>
          <w14:textFill>
            <w14:solidFill>
              <w14:schemeClr w14:val="tx1"/>
            </w14:solidFill>
          </w14:textFill>
        </w:rPr>
        <w:t>日期：年月日</w:t>
      </w:r>
      <w:bookmarkEnd w:id="128"/>
      <w:bookmarkEnd w:id="129"/>
    </w:p>
    <w:p>
      <w:pPr>
        <w:spacing w:after="312" w:afterLines="100"/>
        <w:rPr>
          <w:rFonts w:ascii="宋体" w:hAnsi="宋体" w:cs="宋体"/>
          <w:b/>
          <w:color w:val="000000" w:themeColor="text1"/>
          <w:sz w:val="36"/>
          <w14:textFill>
            <w14:solidFill>
              <w14:schemeClr w14:val="tx1"/>
            </w14:solidFill>
          </w14:textFill>
        </w:rPr>
      </w:pPr>
      <w:bookmarkStart w:id="130" w:name="_Toc6608"/>
      <w:bookmarkStart w:id="131" w:name="_Toc17225"/>
    </w:p>
    <w:p>
      <w:pPr>
        <w:spacing w:after="312" w:afterLines="100"/>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一、投标函</w:t>
      </w:r>
      <w:bookmarkEnd w:id="130"/>
      <w:bookmarkEnd w:id="131"/>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(招标人名称)</w:t>
      </w:r>
      <w:r>
        <w:rPr>
          <w:rFonts w:hint="eastAsia" w:ascii="宋体" w:hAnsi="宋体" w:cs="宋体"/>
          <w:color w:val="000000" w:themeColor="text1"/>
          <w:sz w:val="24"/>
          <w14:textFill>
            <w14:solidFill>
              <w14:schemeClr w14:val="tx1"/>
            </w14:solidFill>
          </w14:textFill>
        </w:rPr>
        <w:t>：</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一、根据已收到的</w:t>
      </w:r>
      <w:r>
        <w:rPr>
          <w:rFonts w:hint="eastAsia" w:ascii="宋体" w:hAnsi="宋体" w:cs="宋体"/>
          <w:color w:val="000000" w:themeColor="text1"/>
          <w:sz w:val="23"/>
          <w:szCs w:val="23"/>
          <w:u w:val="single"/>
          <w14:textFill>
            <w14:solidFill>
              <w14:schemeClr w14:val="tx1"/>
            </w14:solidFill>
          </w14:textFill>
        </w:rPr>
        <w:t>（工程名称）</w:t>
      </w:r>
      <w:r>
        <w:rPr>
          <w:rFonts w:hint="eastAsia" w:ascii="宋体" w:hAnsi="宋体" w:cs="宋体"/>
          <w:color w:val="000000" w:themeColor="text1"/>
          <w:sz w:val="23"/>
          <w:szCs w:val="23"/>
          <w14:textFill>
            <w14:solidFill>
              <w14:schemeClr w14:val="tx1"/>
            </w14:solidFill>
          </w14:textFill>
        </w:rPr>
        <w:t>招标文件，经我方研究招标文件和有关资料后，愿以人民币(大写)元（小写： 元）的总价完成该项目</w:t>
      </w:r>
      <w:r>
        <w:rPr>
          <w:rFonts w:hint="eastAsia" w:ascii="宋体" w:hAnsi="宋体" w:cs="宋体"/>
          <w:bCs/>
          <w:color w:val="000000" w:themeColor="text1"/>
          <w:sz w:val="23"/>
          <w:szCs w:val="23"/>
          <w14:textFill>
            <w14:solidFill>
              <w14:schemeClr w14:val="tx1"/>
            </w14:solidFill>
          </w14:textFill>
        </w:rPr>
        <w:t>委托内容及要求</w:t>
      </w:r>
      <w:r>
        <w:rPr>
          <w:rFonts w:hint="eastAsia" w:ascii="宋体" w:hAnsi="宋体" w:cs="宋体"/>
          <w:color w:val="000000" w:themeColor="text1"/>
          <w:sz w:val="23"/>
          <w:szCs w:val="23"/>
          <w14:textFill>
            <w14:solidFill>
              <w14:schemeClr w14:val="tx1"/>
            </w14:solidFill>
          </w14:textFill>
        </w:rPr>
        <w:t>，严格履行投标人所应承担的责任和义务。</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二、我方保证按投标文件中的报价和招标文件中的时间要求完成所有任务，并按有关程序和规定确保通过有关部门的审查。</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三、如果我方中标，我方将保证按招标文件中要求的期限和金额及时提交履约保证金。</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四、如果我方中标，我方将严格按照现行相关设计规范、标准等及时开展设计工作，并保证在确保设计质量的前提下，按照招标文件要求的工期和我方承诺的时限及时交付设计成果。</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五、贵单位的招标文件及其附件、中标通知书、本投标文件将构成约束我们双方</w:t>
      </w:r>
    </w:p>
    <w:p>
      <w:pPr>
        <w:spacing w:line="360" w:lineRule="auto"/>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的合同。若本投标文件与贵单位的招标文件有不一致，以贵单位的招标文件为准。</w:t>
      </w:r>
    </w:p>
    <w:p>
      <w:pPr>
        <w:spacing w:line="360" w:lineRule="auto"/>
        <w:ind w:firstLine="0" w:firstLineChars="0"/>
        <w:rPr>
          <w:rFonts w:ascii="宋体" w:hAnsi="宋体" w:cs="宋体"/>
          <w:color w:val="000000" w:themeColor="text1"/>
          <w:sz w:val="24"/>
          <w14:textFill>
            <w14:solidFill>
              <w14:schemeClr w14:val="tx1"/>
            </w14:solidFill>
          </w14:textFill>
        </w:rPr>
      </w:pPr>
    </w:p>
    <w:p>
      <w:pPr>
        <w:spacing w:before="156" w:beforeLines="5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投标人：（盖章）</w:t>
      </w:r>
    </w:p>
    <w:p>
      <w:pPr>
        <w:spacing w:before="156" w:beforeLines="5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法定代表或授权代表：（签字）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联系地址：邮编：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联系人：电话：</w:t>
      </w:r>
    </w:p>
    <w:p>
      <w:pPr>
        <w:spacing w:line="360" w:lineRule="auto"/>
        <w:ind w:firstLine="537" w:firstLineChars="224"/>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b/>
          <w:color w:val="000000" w:themeColor="text1"/>
          <w:sz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年月日</w:t>
      </w:r>
      <w:bookmarkStart w:id="132" w:name="_Toc12809"/>
      <w:bookmarkStart w:id="133" w:name="_Toc132"/>
    </w:p>
    <w:p>
      <w:pPr>
        <w:spacing w:after="156" w:afterLines="50" w:line="360" w:lineRule="auto"/>
        <w:jc w:val="center"/>
        <w:rPr>
          <w:rFonts w:ascii="宋体" w:hAnsi="宋体" w:cs="宋体"/>
          <w:b/>
          <w:color w:val="000000" w:themeColor="text1"/>
          <w:sz w:val="36"/>
          <w14:textFill>
            <w14:solidFill>
              <w14:schemeClr w14:val="tx1"/>
            </w14:solidFill>
          </w14:textFill>
        </w:rPr>
      </w:pPr>
    </w:p>
    <w:p>
      <w:pP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br w:type="page"/>
      </w:r>
    </w:p>
    <w:p>
      <w:pPr>
        <w:pStyle w:val="19"/>
      </w:pPr>
    </w:p>
    <w:p>
      <w:pPr>
        <w:spacing w:before="100" w:beforeAutospacing="1" w:after="100" w:afterAutospacing="1" w:line="360" w:lineRule="auto"/>
        <w:jc w:val="center"/>
        <w:rPr>
          <w:rFonts w:ascii="宋体" w:hAnsi="宋体" w:cs="宋体"/>
          <w:b/>
          <w:bCs/>
          <w:kern w:val="0"/>
          <w:sz w:val="24"/>
        </w:rPr>
      </w:pPr>
      <w:r>
        <w:rPr>
          <w:rFonts w:hint="eastAsia" w:ascii="宋体" w:hAnsi="宋体" w:cs="宋体"/>
          <w:b/>
          <w:bCs/>
          <w:kern w:val="0"/>
          <w:sz w:val="24"/>
        </w:rPr>
        <w:t>二、</w:t>
      </w:r>
      <w:r>
        <w:rPr>
          <w:rFonts w:hint="eastAsia" w:ascii="宋体" w:hAnsi="宋体" w:cs="宋体"/>
          <w:b/>
          <w:bCs/>
          <w:kern w:val="0"/>
          <w:sz w:val="24"/>
          <w:u w:val="single"/>
        </w:rPr>
        <w:t xml:space="preserve">       项目</w:t>
      </w:r>
      <w:r>
        <w:rPr>
          <w:rFonts w:hint="eastAsia" w:ascii="宋体" w:hAnsi="宋体" w:cs="宋体"/>
          <w:b/>
          <w:bCs/>
          <w:kern w:val="0"/>
          <w:sz w:val="24"/>
        </w:rPr>
        <w:t>投标报价明细表</w:t>
      </w:r>
    </w:p>
    <w:p>
      <w:pPr>
        <w:widowControl/>
        <w:wordWrap w:val="0"/>
        <w:ind w:left="2550"/>
        <w:rPr>
          <w:rFonts w:ascii="宋体" w:hAnsi="宋体" w:cs="宋体"/>
          <w:kern w:val="0"/>
          <w:sz w:val="24"/>
        </w:rPr>
      </w:pPr>
      <w:r>
        <w:rPr>
          <w:rFonts w:hint="eastAsia" w:ascii="宋体" w:hAnsi="宋体" w:cs="宋体"/>
          <w:kern w:val="0"/>
          <w:sz w:val="24"/>
        </w:rPr>
        <w:t>（格式自拟）</w:t>
      </w:r>
    </w:p>
    <w:p>
      <w:pPr>
        <w:outlineLvl w:val="0"/>
        <w:rPr>
          <w:rFonts w:ascii="宋体" w:hAnsi="宋体" w:cs="宋体"/>
          <w:sz w:val="24"/>
        </w:rPr>
      </w:pPr>
    </w:p>
    <w:p>
      <w:pPr>
        <w:spacing w:after="156" w:afterLines="50" w:line="360" w:lineRule="auto"/>
        <w:jc w:val="center"/>
        <w:rPr>
          <w:rFonts w:ascii="宋体" w:hAnsi="宋体" w:cs="宋体"/>
          <w:b/>
          <w:color w:val="000000" w:themeColor="text1"/>
          <w:sz w:val="36"/>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36"/>
          <w14:textFill>
            <w14:solidFill>
              <w14:schemeClr w14:val="tx1"/>
            </w14:solidFill>
          </w14:textFill>
        </w:rPr>
        <w:br w:type="page"/>
      </w:r>
      <w:bookmarkEnd w:id="132"/>
      <w:bookmarkEnd w:id="133"/>
      <w:bookmarkStart w:id="134" w:name="_Toc14565"/>
      <w:bookmarkStart w:id="135" w:name="_Toc29834"/>
    </w:p>
    <w:p>
      <w:pPr>
        <w:pStyle w:val="89"/>
        <w:outlineLvl w:val="1"/>
        <w:rPr>
          <w:rFonts w:eastAsia="宋体"/>
          <w:b w:val="0"/>
          <w:bCs w:val="0"/>
          <w:color w:val="000000" w:themeColor="text1"/>
          <w:szCs w:val="21"/>
          <w14:textFill>
            <w14:solidFill>
              <w14:schemeClr w14:val="tx1"/>
            </w14:solidFill>
          </w14:textFill>
        </w:rPr>
      </w:pPr>
      <w:bookmarkStart w:id="136" w:name="_Toc25659027"/>
      <w:bookmarkStart w:id="137" w:name="_Toc2861302"/>
      <w:bookmarkStart w:id="138" w:name="_Toc25658510"/>
      <w:r>
        <w:rPr>
          <w:rFonts w:hint="eastAsia" w:eastAsia="宋体"/>
          <w:color w:val="000000" w:themeColor="text1"/>
          <w14:textFill>
            <w14:solidFill>
              <w14:schemeClr w14:val="tx1"/>
            </w14:solidFill>
          </w14:textFill>
        </w:rPr>
        <w:t>二、</w:t>
      </w:r>
      <w:r>
        <w:rPr>
          <w:rFonts w:hint="eastAsia" w:eastAsia="宋体"/>
          <w:b w:val="0"/>
          <w:bCs w:val="0"/>
          <w:color w:val="000000" w:themeColor="text1"/>
          <w14:textFill>
            <w14:solidFill>
              <w14:schemeClr w14:val="tx1"/>
            </w14:solidFill>
          </w14:textFill>
        </w:rPr>
        <w:t>资格证明文件格式</w:t>
      </w:r>
      <w:bookmarkEnd w:id="134"/>
      <w:bookmarkEnd w:id="135"/>
      <w:bookmarkEnd w:id="136"/>
      <w:bookmarkEnd w:id="137"/>
      <w:bookmarkEnd w:id="138"/>
    </w:p>
    <w:p>
      <w:pPr>
        <w:pStyle w:val="42"/>
        <w:spacing w:line="495" w:lineRule="atLeast"/>
        <w:ind w:firstLine="880" w:firstLineChars="200"/>
        <w:jc w:val="right"/>
        <w:rPr>
          <w:color w:val="000000" w:themeColor="text1"/>
          <w:sz w:val="32"/>
          <w:szCs w:val="32"/>
          <w14:textFill>
            <w14:solidFill>
              <w14:schemeClr w14:val="tx1"/>
            </w14:solidFill>
          </w14:textFill>
        </w:rPr>
      </w:pPr>
      <w:r>
        <w:rPr>
          <w:rFonts w:hint="eastAsia"/>
          <w:color w:val="000000" w:themeColor="text1"/>
          <w:sz w:val="44"/>
          <w:szCs w:val="44"/>
          <w:bdr w:val="single" w:color="000000" w:sz="4" w:space="0"/>
          <w14:textFill>
            <w14:solidFill>
              <w14:schemeClr w14:val="tx1"/>
            </w14:solidFill>
          </w14:textFill>
        </w:rPr>
        <w:t>正本/副本</w:t>
      </w:r>
    </w:p>
    <w:p>
      <w:pPr>
        <w:spacing w:line="440" w:lineRule="exact"/>
        <w:ind w:firstLine="597"/>
        <w:jc w:val="center"/>
        <w:rPr>
          <w:rFonts w:ascii="宋体" w:hAnsi="宋体" w:cs="宋体"/>
          <w:color w:val="000000" w:themeColor="text1"/>
          <w14:textFill>
            <w14:solidFill>
              <w14:schemeClr w14:val="tx1"/>
            </w14:solidFill>
          </w14:textFill>
        </w:rPr>
      </w:pPr>
    </w:p>
    <w:p>
      <w:pPr>
        <w:ind w:right="566"/>
        <w:rPr>
          <w:rFonts w:ascii="宋体" w:hAnsi="宋体" w:cs="宋体"/>
          <w:b/>
          <w:color w:val="000000" w:themeColor="text1"/>
          <w:sz w:val="28"/>
          <w14:textFill>
            <w14:solidFill>
              <w14:schemeClr w14:val="tx1"/>
            </w14:solidFill>
          </w14:textFill>
        </w:rPr>
      </w:pPr>
    </w:p>
    <w:p>
      <w:pPr>
        <w:jc w:val="center"/>
        <w:rPr>
          <w:rFonts w:ascii="宋体" w:hAnsi="宋体" w:cs="宋体"/>
          <w:b/>
          <w:color w:val="000000" w:themeColor="text1"/>
          <w:sz w:val="32"/>
          <w14:textFill>
            <w14:solidFill>
              <w14:schemeClr w14:val="tx1"/>
            </w14:solidFill>
          </w14:textFill>
        </w:rPr>
      </w:pPr>
    </w:p>
    <w:p>
      <w:pPr>
        <w:spacing w:before="156" w:beforeLines="50" w:after="156" w:afterLines="50" w:line="360" w:lineRule="auto"/>
        <w:ind w:firstLine="640" w:firstLineChars="200"/>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32"/>
          <w:szCs w:val="48"/>
          <w:u w:val="single"/>
          <w14:textFill>
            <w14:solidFill>
              <w14:schemeClr w14:val="tx1"/>
            </w14:solidFill>
          </w14:textFill>
        </w:rPr>
        <w:t xml:space="preserve">     （工程名称）    </w:t>
      </w:r>
      <w:r>
        <w:rPr>
          <w:rFonts w:hint="eastAsia" w:ascii="宋体" w:hAnsi="宋体" w:cs="宋体"/>
          <w:b/>
          <w:color w:val="000000" w:themeColor="text1"/>
          <w:sz w:val="32"/>
          <w:szCs w:val="48"/>
          <w14:textFill>
            <w14:solidFill>
              <w14:schemeClr w14:val="tx1"/>
            </w14:solidFill>
          </w14:textFill>
        </w:rPr>
        <w:t>招标</w:t>
      </w:r>
    </w:p>
    <w:p>
      <w:pPr>
        <w:spacing w:before="156" w:beforeLines="50"/>
        <w:jc w:val="center"/>
        <w:rPr>
          <w:rFonts w:ascii="宋体" w:hAnsi="宋体" w:cs="宋体"/>
          <w:color w:val="000000" w:themeColor="text1"/>
          <w:sz w:val="28"/>
          <w:szCs w:val="28"/>
          <w14:textFill>
            <w14:solidFill>
              <w14:schemeClr w14:val="tx1"/>
            </w14:solidFill>
          </w14:textFill>
        </w:rPr>
      </w:pPr>
    </w:p>
    <w:p>
      <w:pPr>
        <w:spacing w:before="156" w:beforeLines="50"/>
        <w:jc w:val="center"/>
        <w:rPr>
          <w:rFonts w:ascii="宋体" w:hAnsi="宋体" w:cs="宋体"/>
          <w:color w:val="000000" w:themeColor="text1"/>
          <w:sz w:val="28"/>
          <w:szCs w:val="28"/>
          <w14:textFill>
            <w14:solidFill>
              <w14:schemeClr w14:val="tx1"/>
            </w14:solidFill>
          </w14:textFill>
        </w:rPr>
      </w:pPr>
    </w:p>
    <w:p>
      <w:pPr>
        <w:spacing w:before="156" w:beforeLines="50"/>
        <w:jc w:val="center"/>
        <w:rPr>
          <w:rFonts w:ascii="宋体" w:hAnsi="宋体" w:cs="宋体"/>
          <w:color w:val="000000" w:themeColor="text1"/>
          <w:sz w:val="52"/>
          <w:szCs w:val="44"/>
          <w14:textFill>
            <w14:solidFill>
              <w14:schemeClr w14:val="tx1"/>
            </w14:solidFill>
          </w14:textFill>
        </w:rPr>
      </w:pPr>
      <w:r>
        <w:rPr>
          <w:rFonts w:hint="eastAsia" w:ascii="宋体" w:hAnsi="宋体" w:cs="宋体"/>
          <w:color w:val="000000" w:themeColor="text1"/>
          <w:sz w:val="52"/>
          <w:szCs w:val="44"/>
          <w14:textFill>
            <w14:solidFill>
              <w14:schemeClr w14:val="tx1"/>
            </w14:solidFill>
          </w14:textFill>
        </w:rPr>
        <w:t>资格审查文件</w:t>
      </w:r>
    </w:p>
    <w:p>
      <w:pPr>
        <w:spacing w:before="156" w:beforeLines="50"/>
        <w:jc w:val="center"/>
        <w:rPr>
          <w:rFonts w:ascii="宋体" w:hAnsi="宋体" w:cs="宋体"/>
          <w:color w:val="000000" w:themeColor="text1"/>
          <w:sz w:val="44"/>
          <w:szCs w:val="44"/>
          <w14:textFill>
            <w14:solidFill>
              <w14:schemeClr w14:val="tx1"/>
            </w14:solidFill>
          </w14:textFill>
        </w:rPr>
      </w:pPr>
    </w:p>
    <w:p>
      <w:pPr>
        <w:spacing w:before="156" w:beforeLines="50"/>
        <w:jc w:val="center"/>
        <w:rPr>
          <w:rFonts w:ascii="宋体" w:hAnsi="宋体" w:cs="宋体"/>
          <w:color w:val="000000" w:themeColor="text1"/>
          <w:sz w:val="44"/>
          <w:szCs w:val="44"/>
          <w14:textFill>
            <w14:solidFill>
              <w14:schemeClr w14:val="tx1"/>
            </w14:solidFill>
          </w14:textFill>
        </w:rPr>
      </w:pPr>
    </w:p>
    <w:p>
      <w:pPr>
        <w:spacing w:before="156" w:beforeLines="50"/>
        <w:jc w:val="center"/>
        <w:rPr>
          <w:rFonts w:ascii="宋体" w:hAnsi="宋体" w:cs="宋体"/>
          <w:color w:val="000000" w:themeColor="text1"/>
          <w:sz w:val="44"/>
          <w:szCs w:val="44"/>
          <w14:textFill>
            <w14:solidFill>
              <w14:schemeClr w14:val="tx1"/>
            </w14:solidFill>
          </w14:textFill>
        </w:rPr>
      </w:pPr>
    </w:p>
    <w:p>
      <w:pPr>
        <w:spacing w:before="156" w:beforeLines="50"/>
        <w:jc w:val="center"/>
        <w:rPr>
          <w:rFonts w:ascii="宋体" w:hAnsi="宋体" w:cs="宋体"/>
          <w:color w:val="000000" w:themeColor="text1"/>
          <w:sz w:val="32"/>
          <w:szCs w:val="32"/>
          <w14:textFill>
            <w14:solidFill>
              <w14:schemeClr w14:val="tx1"/>
            </w14:solidFill>
          </w14:textFill>
        </w:rPr>
      </w:pPr>
    </w:p>
    <w:p>
      <w:pPr>
        <w:spacing w:before="156" w:beforeLines="50"/>
        <w:jc w:val="center"/>
        <w:rPr>
          <w:rFonts w:ascii="宋体" w:hAnsi="宋体" w:cs="宋体"/>
          <w:color w:val="000000" w:themeColor="text1"/>
          <w:sz w:val="32"/>
          <w:szCs w:val="32"/>
          <w14:textFill>
            <w14:solidFill>
              <w14:schemeClr w14:val="tx1"/>
            </w14:solidFill>
          </w14:textFill>
        </w:rPr>
      </w:pPr>
    </w:p>
    <w:p>
      <w:pPr>
        <w:spacing w:line="360" w:lineRule="auto"/>
        <w:ind w:right="566" w:firstLine="560" w:firstLineChars="200"/>
        <w:rPr>
          <w:rFonts w:ascii="宋体" w:hAnsi="宋体" w:cs="宋体"/>
          <w:b/>
          <w:color w:val="000000" w:themeColor="text1"/>
          <w:sz w:val="28"/>
          <w:u w:val="single"/>
          <w14:textFill>
            <w14:solidFill>
              <w14:schemeClr w14:val="tx1"/>
            </w14:solidFill>
          </w14:textFill>
        </w:rPr>
      </w:pPr>
      <w:bookmarkStart w:id="139" w:name="_Toc30241"/>
      <w:bookmarkStart w:id="140" w:name="_Toc32495"/>
      <w:r>
        <w:rPr>
          <w:rFonts w:hint="eastAsia" w:ascii="宋体" w:hAnsi="宋体" w:cs="宋体"/>
          <w:b/>
          <w:color w:val="000000" w:themeColor="text1"/>
          <w:sz w:val="28"/>
          <w14:textFill>
            <w14:solidFill>
              <w14:schemeClr w14:val="tx1"/>
            </w14:solidFill>
          </w14:textFill>
        </w:rPr>
        <w:t>投标人：</w:t>
      </w:r>
      <w:r>
        <w:rPr>
          <w:rFonts w:hint="eastAsia" w:ascii="宋体" w:hAnsi="宋体" w:cs="宋体"/>
          <w:b/>
          <w:color w:val="000000" w:themeColor="text1"/>
          <w:sz w:val="28"/>
          <w:u w:val="single"/>
          <w14:textFill>
            <w14:solidFill>
              <w14:schemeClr w14:val="tx1"/>
            </w14:solidFill>
          </w14:textFill>
        </w:rPr>
        <w:t>（盖章）</w:t>
      </w:r>
      <w:bookmarkEnd w:id="139"/>
      <w:bookmarkEnd w:id="140"/>
    </w:p>
    <w:p>
      <w:pPr>
        <w:spacing w:line="360" w:lineRule="auto"/>
        <w:ind w:firstLine="560" w:firstLineChars="200"/>
        <w:rPr>
          <w:rFonts w:ascii="宋体" w:hAnsi="宋体" w:cs="宋体"/>
          <w:b/>
          <w:color w:val="000000" w:themeColor="text1"/>
          <w:sz w:val="28"/>
          <w:u w:val="single"/>
          <w14:textFill>
            <w14:solidFill>
              <w14:schemeClr w14:val="tx1"/>
            </w14:solidFill>
          </w14:textFill>
        </w:rPr>
      </w:pPr>
      <w:bookmarkStart w:id="141" w:name="_Toc9412"/>
      <w:bookmarkStart w:id="142" w:name="_Toc21974"/>
      <w:r>
        <w:rPr>
          <w:rFonts w:hint="eastAsia" w:ascii="宋体" w:hAnsi="宋体" w:cs="宋体"/>
          <w:b/>
          <w:color w:val="000000" w:themeColor="text1"/>
          <w:sz w:val="28"/>
          <w14:textFill>
            <w14:solidFill>
              <w14:schemeClr w14:val="tx1"/>
            </w14:solidFill>
          </w14:textFill>
        </w:rPr>
        <w:t>法定代表人或其委托代理人：（签字或盖章）</w:t>
      </w:r>
      <w:bookmarkEnd w:id="141"/>
      <w:bookmarkEnd w:id="142"/>
    </w:p>
    <w:p>
      <w:pPr>
        <w:spacing w:line="360" w:lineRule="auto"/>
        <w:ind w:firstLine="560" w:firstLineChars="200"/>
        <w:rPr>
          <w:rFonts w:ascii="宋体" w:hAnsi="宋体" w:cs="宋体"/>
          <w:b/>
          <w:color w:val="000000" w:themeColor="text1"/>
          <w:sz w:val="28"/>
          <w:u w:val="single"/>
          <w14:textFill>
            <w14:solidFill>
              <w14:schemeClr w14:val="tx1"/>
            </w14:solidFill>
          </w14:textFill>
        </w:rPr>
      </w:pPr>
      <w:bookmarkStart w:id="143" w:name="_Toc11690"/>
      <w:bookmarkStart w:id="144" w:name="_Toc27685"/>
      <w:r>
        <w:rPr>
          <w:rFonts w:hint="eastAsia" w:ascii="宋体" w:hAnsi="宋体" w:cs="宋体"/>
          <w:b/>
          <w:color w:val="000000" w:themeColor="text1"/>
          <w:sz w:val="28"/>
          <w14:textFill>
            <w14:solidFill>
              <w14:schemeClr w14:val="tx1"/>
            </w14:solidFill>
          </w14:textFill>
        </w:rPr>
        <w:t>地址：</w:t>
      </w:r>
      <w:bookmarkEnd w:id="143"/>
      <w:bookmarkEnd w:id="144"/>
    </w:p>
    <w:p>
      <w:pPr>
        <w:spacing w:line="360" w:lineRule="auto"/>
        <w:ind w:firstLine="560" w:firstLineChars="200"/>
        <w:rPr>
          <w:rFonts w:ascii="宋体" w:hAnsi="宋体" w:cs="宋体"/>
          <w:color w:val="000000" w:themeColor="text1"/>
          <w14:textFill>
            <w14:solidFill>
              <w14:schemeClr w14:val="tx1"/>
            </w14:solidFill>
          </w14:textFill>
        </w:rPr>
      </w:pPr>
      <w:bookmarkStart w:id="145" w:name="_Toc1913"/>
      <w:bookmarkStart w:id="146" w:name="_Toc21981"/>
      <w:r>
        <w:rPr>
          <w:rFonts w:hint="eastAsia" w:ascii="宋体" w:hAnsi="宋体" w:cs="宋体"/>
          <w:b/>
          <w:color w:val="000000" w:themeColor="text1"/>
          <w:sz w:val="28"/>
          <w14:textFill>
            <w14:solidFill>
              <w14:schemeClr w14:val="tx1"/>
            </w14:solidFill>
          </w14:textFill>
        </w:rPr>
        <w:t>日期：年月日</w:t>
      </w:r>
      <w:bookmarkEnd w:id="145"/>
      <w:bookmarkEnd w:id="146"/>
    </w:p>
    <w:p>
      <w:pPr>
        <w:spacing w:line="500" w:lineRule="exact"/>
        <w:jc w:val="center"/>
        <w:rPr>
          <w:rFonts w:ascii="宋体" w:hAnsi="宋体" w:cs="宋体"/>
          <w:b/>
          <w:color w:val="000000" w:themeColor="text1"/>
          <w:sz w:val="32"/>
          <w14:textFill>
            <w14:solidFill>
              <w14:schemeClr w14:val="tx1"/>
            </w14:solidFill>
          </w14:textFill>
        </w:rPr>
      </w:pPr>
    </w:p>
    <w:p>
      <w:pPr>
        <w:spacing w:after="156" w:afterLines="50" w:line="360" w:lineRule="auto"/>
        <w:jc w:val="center"/>
        <w:rPr>
          <w:rFonts w:ascii="宋体" w:hAnsi="宋体" w:cs="宋体"/>
          <w:b/>
          <w:color w:val="000000" w:themeColor="text1"/>
          <w:sz w:val="36"/>
          <w14:textFill>
            <w14:solidFill>
              <w14:schemeClr w14:val="tx1"/>
            </w14:solidFill>
          </w14:textFill>
        </w:rPr>
      </w:pPr>
      <w:bookmarkStart w:id="147" w:name="_Toc27640"/>
      <w:bookmarkStart w:id="148" w:name="_Toc12666"/>
      <w:r>
        <w:rPr>
          <w:rFonts w:hint="eastAsia" w:ascii="宋体" w:hAnsi="宋体" w:cs="宋体"/>
          <w:b/>
          <w:color w:val="000000" w:themeColor="text1"/>
          <w:sz w:val="32"/>
          <w14:textFill>
            <w14:solidFill>
              <w14:schemeClr w14:val="tx1"/>
            </w14:solidFill>
          </w14:textFill>
        </w:rPr>
        <w:t>一、</w:t>
      </w:r>
      <w:r>
        <w:rPr>
          <w:rFonts w:hint="eastAsia" w:ascii="宋体" w:hAnsi="宋体" w:cs="宋体"/>
          <w:b/>
          <w:color w:val="000000" w:themeColor="text1"/>
          <w:sz w:val="36"/>
          <w14:textFill>
            <w14:solidFill>
              <w14:schemeClr w14:val="tx1"/>
            </w14:solidFill>
          </w14:textFill>
        </w:rPr>
        <w:t>法定代表人身份证明书</w:t>
      </w:r>
    </w:p>
    <w:p>
      <w:pPr>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单位性质：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成立时间：年月日</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经营期限：</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姓名：性别：</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年龄：职务：</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u w:val="single"/>
          <w14:textFill>
            <w14:solidFill>
              <w14:schemeClr w14:val="tx1"/>
            </w14:solidFill>
          </w14:textFill>
        </w:rPr>
        <w:t>（投标人单位名称）</w:t>
      </w:r>
      <w:r>
        <w:rPr>
          <w:rFonts w:hint="eastAsia" w:ascii="宋体" w:hAnsi="宋体" w:cs="宋体"/>
          <w:color w:val="000000" w:themeColor="text1"/>
          <w:sz w:val="24"/>
          <w:szCs w:val="24"/>
          <w14:textFill>
            <w14:solidFill>
              <w14:schemeClr w14:val="tx1"/>
            </w14:solidFill>
          </w14:textFill>
        </w:rPr>
        <w:t>的法定代表人。</w:t>
      </w:r>
    </w:p>
    <w:p>
      <w:pPr>
        <w:spacing w:line="360" w:lineRule="auto"/>
        <w:ind w:firstLine="61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p>
      <w:pPr>
        <w:tabs>
          <w:tab w:val="left" w:pos="720"/>
          <w:tab w:val="left" w:pos="900"/>
        </w:tabs>
        <w:spacing w:line="360" w:lineRule="auto"/>
        <w:ind w:firstLine="2880" w:firstLineChars="1200"/>
        <w:rPr>
          <w:rFonts w:ascii="宋体" w:hAnsi="宋体" w:cs="宋体"/>
          <w:color w:val="000000" w:themeColor="text1"/>
          <w:sz w:val="24"/>
          <w:szCs w:val="24"/>
          <w14:textFill>
            <w14:solidFill>
              <w14:schemeClr w14:val="tx1"/>
            </w14:solidFill>
          </w14:textFill>
        </w:rPr>
      </w:pPr>
    </w:p>
    <w:p>
      <w:pPr>
        <w:tabs>
          <w:tab w:val="left" w:pos="720"/>
          <w:tab w:val="left" w:pos="900"/>
        </w:tabs>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投标人：（盖公章）：</w:t>
      </w:r>
    </w:p>
    <w:p>
      <w:pPr>
        <w:ind w:right="420" w:firstLine="2880" w:firstLineChars="1200"/>
        <w:rPr>
          <w:rFonts w:ascii="宋体" w:hAnsi="宋体" w:cs="宋体"/>
          <w:color w:val="000000" w:themeColor="text1"/>
          <w:sz w:val="24"/>
          <w:szCs w:val="24"/>
          <w14:textFill>
            <w14:solidFill>
              <w14:schemeClr w14:val="tx1"/>
            </w14:solidFill>
          </w14:textFill>
        </w:rPr>
      </w:pPr>
    </w:p>
    <w:p>
      <w:pPr>
        <w:ind w:right="420" w:firstLine="480" w:firstLineChars="200"/>
        <w:rPr>
          <w:rFonts w:ascii="宋体" w:hAnsi="宋体" w:cs="宋体"/>
          <w:b/>
          <w:color w:val="000000" w:themeColor="text1"/>
          <w:sz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日期：年月日</w:t>
      </w:r>
    </w:p>
    <w:tbl>
      <w:tblPr>
        <w:tblStyle w:val="4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noWrap/>
          </w:tcPr>
          <w:p>
            <w:pPr>
              <w:snapToGrid w:val="0"/>
              <w:spacing w:line="420" w:lineRule="exact"/>
              <w:ind w:left="193"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firstLine="424" w:firstLineChars="202"/>
              <w:jc w:val="left"/>
              <w:rPr>
                <w:rFonts w:ascii="仿宋" w:hAnsi="仿宋" w:eastAsia="仿宋" w:cs="仿宋"/>
              </w:rPr>
            </w:pPr>
          </w:p>
        </w:tc>
      </w:tr>
    </w:tbl>
    <w:p>
      <w:pPr>
        <w:jc w:val="center"/>
        <w:rPr>
          <w:rFonts w:ascii="宋体" w:hAnsi="宋体" w:cs="宋体"/>
          <w:b/>
          <w:color w:val="000000" w:themeColor="text1"/>
          <w:sz w:val="36"/>
          <w14:textFill>
            <w14:solidFill>
              <w14:schemeClr w14:val="tx1"/>
            </w14:solidFill>
          </w14:textFill>
        </w:rPr>
      </w:pPr>
    </w:p>
    <w:p>
      <w:pPr>
        <w:pStyle w:val="64"/>
        <w:rPr>
          <w:rFonts w:hAnsi="宋体" w:cs="宋体"/>
          <w:b/>
          <w:color w:val="000000" w:themeColor="text1"/>
          <w:sz w:val="36"/>
          <w14:textFill>
            <w14:solidFill>
              <w14:schemeClr w14:val="tx1"/>
            </w14:solidFill>
          </w14:textFill>
        </w:rPr>
      </w:pPr>
    </w:p>
    <w:p/>
    <w:p>
      <w:pPr>
        <w:jc w:val="center"/>
        <w:rPr>
          <w:rFonts w:ascii="宋体" w:hAnsi="宋体" w:cs="宋体"/>
          <w:b/>
          <w:color w:val="000000" w:themeColor="text1"/>
          <w:sz w:val="36"/>
          <w14:textFill>
            <w14:solidFill>
              <w14:schemeClr w14:val="tx1"/>
            </w14:solidFill>
          </w14:textFill>
        </w:rPr>
      </w:pPr>
    </w:p>
    <w:p>
      <w:pPr>
        <w:rPr>
          <w:rFonts w:ascii="宋体" w:hAnsi="宋体" w:cs="宋体"/>
          <w:b/>
          <w:color w:val="000000" w:themeColor="text1"/>
          <w:sz w:val="36"/>
          <w14:textFill>
            <w14:solidFill>
              <w14:schemeClr w14:val="tx1"/>
            </w14:solidFill>
          </w14:textFill>
        </w:rPr>
      </w:pPr>
    </w:p>
    <w:p>
      <w:pPr>
        <w:jc w:val="center"/>
        <w:rPr>
          <w:rFonts w:ascii="宋体" w:hAnsi="宋体" w:cs="宋体"/>
          <w:b/>
          <w:color w:val="000000" w:themeColor="text1"/>
          <w:sz w:val="36"/>
          <w14:textFill>
            <w14:solidFill>
              <w14:schemeClr w14:val="tx1"/>
            </w14:solidFill>
          </w14:textFill>
        </w:rPr>
      </w:pPr>
      <w:bookmarkStart w:id="149" w:name="_Toc2861303"/>
      <w:bookmarkStart w:id="150" w:name="_Toc25658511"/>
      <w:r>
        <w:rPr>
          <w:rFonts w:hint="eastAsia" w:ascii="宋体" w:hAnsi="宋体" w:cs="宋体"/>
          <w:b/>
          <w:color w:val="000000" w:themeColor="text1"/>
          <w:sz w:val="36"/>
          <w14:textFill>
            <w14:solidFill>
              <w14:schemeClr w14:val="tx1"/>
            </w14:solidFill>
          </w14:textFill>
        </w:rPr>
        <w:t>二、授权委托书</w:t>
      </w:r>
      <w:bookmarkEnd w:id="149"/>
      <w:bookmarkEnd w:id="150"/>
    </w:p>
    <w:p>
      <w:pPr>
        <w:jc w:val="center"/>
        <w:rPr>
          <w:rFonts w:ascii="宋体" w:hAnsi="宋体" w:cs="宋体"/>
          <w:color w:val="000000" w:themeColor="text1"/>
          <w:sz w:val="36"/>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本授权委托书声明：我</w:t>
      </w:r>
      <w:r>
        <w:rPr>
          <w:rFonts w:hint="eastAsia" w:ascii="宋体" w:hAnsi="宋体" w:cs="宋体"/>
          <w:color w:val="000000" w:themeColor="text1"/>
          <w:sz w:val="24"/>
          <w:szCs w:val="24"/>
          <w:u w:val="single"/>
          <w14:textFill>
            <w14:solidFill>
              <w14:schemeClr w14:val="tx1"/>
            </w14:solidFill>
          </w14:textFill>
        </w:rPr>
        <w:t>（姓名）</w:t>
      </w:r>
      <w:r>
        <w:rPr>
          <w:rFonts w:hint="eastAsia" w:ascii="宋体" w:hAnsi="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u w:val="single"/>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的法定代表人，现授权委托</w:t>
      </w:r>
      <w:r>
        <w:rPr>
          <w:rFonts w:hint="eastAsia" w:ascii="宋体" w:hAnsi="宋体" w:cs="宋体"/>
          <w:color w:val="000000" w:themeColor="text1"/>
          <w:sz w:val="24"/>
          <w:szCs w:val="24"/>
          <w:u w:val="single"/>
          <w14:textFill>
            <w14:solidFill>
              <w14:schemeClr w14:val="tx1"/>
            </w14:solidFill>
          </w14:textFill>
        </w:rPr>
        <w:t>（单位名称）（姓名）</w:t>
      </w:r>
      <w:r>
        <w:rPr>
          <w:rFonts w:hint="eastAsia" w:ascii="宋体" w:hAnsi="宋体" w:cs="宋体"/>
          <w:color w:val="000000" w:themeColor="text1"/>
          <w:sz w:val="24"/>
          <w:szCs w:val="24"/>
          <w14:textFill>
            <w14:solidFill>
              <w14:schemeClr w14:val="tx1"/>
            </w14:solidFill>
          </w14:textFill>
        </w:rPr>
        <w:t>为我的授权代理人，以本公司的名义参加</w:t>
      </w:r>
      <w:r>
        <w:rPr>
          <w:rFonts w:hint="eastAsia" w:ascii="宋体" w:hAnsi="宋体" w:cs="宋体"/>
          <w:color w:val="000000" w:themeColor="text1"/>
          <w:sz w:val="24"/>
          <w:szCs w:val="24"/>
          <w:u w:val="single"/>
          <w14:textFill>
            <w14:solidFill>
              <w14:schemeClr w14:val="tx1"/>
            </w14:solidFill>
          </w14:textFill>
        </w:rPr>
        <w:t>（招标单位名称）</w:t>
      </w:r>
      <w:r>
        <w:rPr>
          <w:rFonts w:hint="eastAsia" w:ascii="宋体" w:hAnsi="宋体" w:cs="宋体"/>
          <w:color w:val="000000" w:themeColor="text1"/>
          <w:sz w:val="24"/>
          <w:szCs w:val="24"/>
          <w14:textFill>
            <w14:solidFill>
              <w14:schemeClr w14:val="tx1"/>
            </w14:solidFill>
          </w14:textFill>
        </w:rPr>
        <w:t>的工程的设计投标，授权代理人所签署的一切文件和处理与有关的一切事务，我均予以承认。</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授权委托人无转让权、特此委托。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授权代理人：性别：年龄：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单位：部门：职务：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投标人：（盖法人章）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法定代表人：（签字或盖章）</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日期：年月日</w:t>
      </w:r>
    </w:p>
    <w:tbl>
      <w:tblPr>
        <w:tblStyle w:val="4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tcPr>
          <w:p>
            <w:pPr>
              <w:snapToGrid w:val="0"/>
              <w:spacing w:line="420" w:lineRule="exact"/>
              <w:ind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rPr>
            </w:pPr>
          </w:p>
          <w:p>
            <w:pPr>
              <w:snapToGrid w:val="0"/>
              <w:spacing w:line="420" w:lineRule="exact"/>
              <w:jc w:val="center"/>
              <w:rPr>
                <w:rFonts w:ascii="仿宋" w:hAnsi="仿宋" w:eastAsia="仿宋" w:cs="仿宋"/>
              </w:rPr>
            </w:pPr>
          </w:p>
        </w:tc>
      </w:tr>
    </w:tbl>
    <w:p>
      <w:pPr>
        <w:spacing w:line="360" w:lineRule="auto"/>
        <w:jc w:val="right"/>
        <w:rPr>
          <w:rFonts w:ascii="宋体" w:hAnsi="宋体" w:cs="宋体"/>
          <w:color w:val="000000" w:themeColor="text1"/>
          <w:sz w:val="24"/>
          <w:szCs w:val="24"/>
          <w14:textFill>
            <w14:solidFill>
              <w14:schemeClr w14:val="tx1"/>
            </w14:solidFill>
          </w14:textFill>
        </w:rPr>
      </w:pPr>
    </w:p>
    <w:p>
      <w:pPr>
        <w:spacing w:line="360" w:lineRule="auto"/>
        <w:jc w:val="right"/>
        <w:rPr>
          <w:rFonts w:ascii="宋体" w:hAnsi="宋体" w:cs="宋体"/>
          <w:color w:val="000000" w:themeColor="text1"/>
          <w:sz w:val="24"/>
          <w:szCs w:val="24"/>
          <w14:textFill>
            <w14:solidFill>
              <w14:schemeClr w14:val="tx1"/>
            </w14:solidFill>
          </w14:textFill>
        </w:rPr>
      </w:pPr>
    </w:p>
    <w:p>
      <w:pPr>
        <w:spacing w:line="360" w:lineRule="auto"/>
        <w:jc w:val="right"/>
        <w:rPr>
          <w:rFonts w:ascii="宋体" w:hAnsi="宋体" w:cs="宋体"/>
          <w:color w:val="000000" w:themeColor="text1"/>
          <w:sz w:val="28"/>
          <w14:textFill>
            <w14:solidFill>
              <w14:schemeClr w14:val="tx1"/>
            </w14:solidFill>
          </w14:textFill>
        </w:rPr>
      </w:pPr>
    </w:p>
    <w:bookmarkEnd w:id="147"/>
    <w:bookmarkEnd w:id="148"/>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30"/>
          <w:szCs w:val="30"/>
          <w14:textFill>
            <w14:solidFill>
              <w14:schemeClr w14:val="tx1"/>
            </w14:solidFill>
          </w14:textFill>
        </w:rPr>
        <w:t>三、诚信承诺书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致：</w:t>
      </w:r>
      <w:r>
        <w:rPr>
          <w:rFonts w:hint="eastAsia" w:ascii="宋体" w:hAnsi="宋体" w:cs="宋体"/>
          <w:color w:val="000000" w:themeColor="text1"/>
          <w:sz w:val="23"/>
          <w:szCs w:val="23"/>
          <w:u w:val="single"/>
          <w14:textFill>
            <w14:solidFill>
              <w14:schemeClr w14:val="tx1"/>
            </w14:solidFill>
          </w14:textFill>
        </w:rPr>
        <w:t xml:space="preserve">招标人名称          </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我方参加你方的</w:t>
      </w:r>
      <w:r>
        <w:rPr>
          <w:rFonts w:hint="eastAsia" w:ascii="宋体" w:hAnsi="宋体" w:cs="宋体"/>
          <w:color w:val="000000" w:themeColor="text1"/>
          <w:sz w:val="23"/>
          <w:szCs w:val="23"/>
          <w:u w:val="single"/>
          <w14:textFill>
            <w14:solidFill>
              <w14:schemeClr w14:val="tx1"/>
            </w14:solidFill>
          </w14:textFill>
        </w:rPr>
        <w:t>（以下简称“本工程”）</w:t>
      </w:r>
      <w:r>
        <w:rPr>
          <w:rFonts w:hint="eastAsia" w:ascii="宋体" w:hAnsi="宋体" w:cs="宋体"/>
          <w:color w:val="000000" w:themeColor="text1"/>
          <w:sz w:val="23"/>
          <w:szCs w:val="23"/>
          <w14:textFill>
            <w14:solidFill>
              <w14:schemeClr w14:val="tx1"/>
            </w14:solidFill>
          </w14:textFill>
        </w:rPr>
        <w:t>的设计投标，现我方向你方慎重承诺：</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1、我单位企业财务和经营状况良好，具备履行合同能力；未处于被责令停业、投标资格被取消或者财产被接管、冻结和破产状态；无因我单位违约或不恰当履约引起的合同争议纠纷及仲裁和诉讼记录。如果我单位经本工程评标委员会评定为中标候选人后，被他人举报并经相关部门核实，确认存在上述不良记录，你方即可取消我方中标资格，并同意投标保证金不予退还，并接受处罚。</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2、我单位递交的投标文件中的所有资料都是真实可信的，证件及有关附件是真实的，复印件与原件是一致的，没有弄虚作假。</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3、我单位不组织、不参与串标围标，绝无借资质挂靠、没有出借资质等违法违规行为。</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4、我单位遵守国家廉政相关规定，无失信、行贿等不良行为。</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5、我单位拟派项目负责人只在本单位受聘和执业。</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6、如果以后涉及招标投标方面的投诉举报，我单位将严格按照《江苏省房屋建筑和市政基础设施工程投诉处理实施办法》（苏建规字（2016）4 号）的规定进行投诉，否则，招标人可以不予受理。</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7、若我单位未能兑现以上承诺，愿意接受投标保证金不予退还的处理，并愿意接受你方和监管部门的处罚。</w:t>
      </w:r>
    </w:p>
    <w:p>
      <w:pPr>
        <w:spacing w:line="360" w:lineRule="auto"/>
        <w:ind w:firstLine="460" w:firstLineChars="200"/>
        <w:rPr>
          <w:rFonts w:ascii="宋体" w:hAnsi="宋体" w:cs="宋体"/>
          <w:b/>
          <w:bCs/>
          <w:color w:val="000000" w:themeColor="text1"/>
          <w:sz w:val="23"/>
          <w:szCs w:val="23"/>
          <w14:textFill>
            <w14:solidFill>
              <w14:schemeClr w14:val="tx1"/>
            </w14:solidFill>
          </w14:textFill>
        </w:rPr>
      </w:pPr>
      <w:r>
        <w:rPr>
          <w:rFonts w:hint="eastAsia" w:ascii="宋体" w:hAnsi="宋体" w:cs="宋体"/>
          <w:b/>
          <w:bCs/>
          <w:color w:val="000000" w:themeColor="text1"/>
          <w:sz w:val="23"/>
          <w:szCs w:val="23"/>
          <w14:textFill>
            <w14:solidFill>
              <w14:schemeClr w14:val="tx1"/>
            </w14:solidFill>
          </w14:textFill>
        </w:rPr>
        <w:t>我方承诺：违反上述任何一条承诺，愿意接受任何处罚，包括同意你方取消我方中标资格并不予退还投标保证金，将我方列入黑名单，并上报建设行政主管部门。</w:t>
      </w:r>
    </w:p>
    <w:p>
      <w:pPr>
        <w:spacing w:line="360" w:lineRule="auto"/>
        <w:ind w:firstLine="460" w:firstLineChars="200"/>
        <w:rPr>
          <w:rFonts w:ascii="宋体" w:hAnsi="宋体" w:cs="宋体"/>
          <w:b/>
          <w:bCs/>
          <w:color w:val="000000" w:themeColor="text1"/>
          <w:sz w:val="23"/>
          <w:szCs w:val="23"/>
          <w14:textFill>
            <w14:solidFill>
              <w14:schemeClr w14:val="tx1"/>
            </w14:solidFill>
          </w14:textFill>
        </w:rPr>
      </w:pP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投标人 (盖单位公章）：</w:t>
      </w:r>
    </w:p>
    <w:p>
      <w:pPr>
        <w:spacing w:line="360" w:lineRule="auto"/>
        <w:ind w:firstLine="42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62336" behindDoc="1" locked="0" layoutInCell="0" allowOverlap="1">
            <wp:simplePos x="0" y="0"/>
            <wp:positionH relativeFrom="column">
              <wp:posOffset>2799715</wp:posOffset>
            </wp:positionH>
            <wp:positionV relativeFrom="paragraph">
              <wp:posOffset>219710</wp:posOffset>
            </wp:positionV>
            <wp:extent cx="1930400" cy="12065"/>
            <wp:effectExtent l="0" t="0" r="0" b="0"/>
            <wp:wrapNone/>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8"/>
                    <a:stretch>
                      <a:fillRect/>
                    </a:stretch>
                  </pic:blipFill>
                  <pic:spPr>
                    <a:xfrm>
                      <a:off x="0" y="0"/>
                      <a:ext cx="1930400" cy="12065"/>
                    </a:xfrm>
                    <a:prstGeom prst="rect">
                      <a:avLst/>
                    </a:prstGeom>
                    <a:noFill/>
                    <a:ln>
                      <a:noFill/>
                    </a:ln>
                  </pic:spPr>
                </pic:pic>
              </a:graphicData>
            </a:graphic>
          </wp:anchor>
        </w:drawing>
      </w:r>
      <w:r>
        <w:rPr>
          <w:rFonts w:hint="eastAsia" w:ascii="宋体" w:hAnsi="宋体" w:cs="宋体"/>
          <w:color w:val="000000" w:themeColor="text1"/>
          <w:sz w:val="23"/>
          <w:szCs w:val="23"/>
          <w14:textFill>
            <w14:solidFill>
              <w14:schemeClr w14:val="tx1"/>
            </w14:solidFill>
          </w14:textFill>
        </w:rPr>
        <w:t>法定代表人或委托代理人(签字或盖章)：</w:t>
      </w:r>
    </w:p>
    <w:p>
      <w:pPr>
        <w:spacing w:line="360" w:lineRule="auto"/>
        <w:rPr>
          <w:rFonts w:ascii="宋体" w:hAnsi="宋体" w:cs="宋体"/>
          <w:color w:val="000000" w:themeColor="text1"/>
          <w:sz w:val="23"/>
          <w:szCs w:val="23"/>
          <w14:textFill>
            <w14:solidFill>
              <w14:schemeClr w14:val="tx1"/>
            </w14:solidFill>
          </w14:textFill>
        </w:rPr>
      </w:pP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日期：年月日</w:t>
      </w:r>
    </w:p>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 w:val="30"/>
          <w:szCs w:val="30"/>
          <w14:textFill>
            <w14:solidFill>
              <w14:schemeClr w14:val="tx1"/>
            </w14:solidFill>
          </w14:textFill>
        </w:rPr>
        <w:t>四、服务承诺书</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致：</w:t>
      </w:r>
      <w:r>
        <w:rPr>
          <w:rFonts w:hint="eastAsia" w:ascii="宋体" w:hAnsi="宋体" w:cs="宋体"/>
          <w:color w:val="000000" w:themeColor="text1"/>
          <w:sz w:val="23"/>
          <w:szCs w:val="23"/>
          <w:u w:val="single"/>
          <w14:textFill>
            <w14:solidFill>
              <w14:schemeClr w14:val="tx1"/>
            </w14:solidFill>
          </w14:textFill>
        </w:rPr>
        <w:t>招标人名称</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我方</w:t>
      </w:r>
      <w:r>
        <w:rPr>
          <w:rFonts w:hint="eastAsia" w:ascii="宋体" w:hAnsi="宋体" w:cs="宋体"/>
          <w:color w:val="000000" w:themeColor="text1"/>
          <w:sz w:val="23"/>
          <w:szCs w:val="23"/>
          <w:u w:val="single"/>
          <w14:textFill>
            <w14:solidFill>
              <w14:schemeClr w14:val="tx1"/>
            </w14:solidFill>
          </w14:textFill>
        </w:rPr>
        <w:t>（投标人名称）</w:t>
      </w:r>
      <w:r>
        <w:rPr>
          <w:rFonts w:hint="eastAsia" w:ascii="宋体" w:hAnsi="宋体" w:cs="宋体"/>
          <w:color w:val="000000" w:themeColor="text1"/>
          <w:sz w:val="23"/>
          <w:szCs w:val="23"/>
          <w14:textFill>
            <w14:solidFill>
              <w14:schemeClr w14:val="tx1"/>
            </w14:solidFill>
          </w14:textFill>
        </w:rPr>
        <w:t>，参加你方的</w:t>
      </w:r>
      <w:r>
        <w:rPr>
          <w:rFonts w:hint="eastAsia" w:ascii="宋体" w:hAnsi="宋体" w:cs="宋体"/>
          <w:color w:val="000000" w:themeColor="text1"/>
          <w:sz w:val="23"/>
          <w:szCs w:val="23"/>
          <w:u w:val="single"/>
          <w14:textFill>
            <w14:solidFill>
              <w14:schemeClr w14:val="tx1"/>
            </w14:solidFill>
          </w14:textFill>
        </w:rPr>
        <w:t>（工程名称）</w:t>
      </w:r>
      <w:r>
        <w:rPr>
          <w:rFonts w:hint="eastAsia" w:ascii="宋体" w:hAnsi="宋体" w:cs="宋体"/>
          <w:color w:val="000000" w:themeColor="text1"/>
          <w:sz w:val="23"/>
          <w:szCs w:val="23"/>
          <w14:textFill>
            <w14:solidFill>
              <w14:schemeClr w14:val="tx1"/>
            </w14:solidFill>
          </w14:textFill>
        </w:rPr>
        <w:t>工程的设计投标事宜，作向你方作如下郑重承诺：</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1、参与</w:t>
      </w:r>
      <w:r>
        <w:rPr>
          <w:rFonts w:hint="eastAsia" w:ascii="宋体" w:hAnsi="宋体" w:cs="宋体"/>
          <w:color w:val="000000" w:themeColor="text1"/>
          <w:sz w:val="23"/>
          <w:szCs w:val="23"/>
          <w:u w:val="single"/>
          <w14:textFill>
            <w14:solidFill>
              <w14:schemeClr w14:val="tx1"/>
            </w14:solidFill>
          </w14:textFill>
        </w:rPr>
        <w:t>（工程名称）</w:t>
      </w:r>
      <w:r>
        <w:rPr>
          <w:rFonts w:hint="eastAsia" w:ascii="宋体" w:hAnsi="宋体" w:cs="宋体"/>
          <w:color w:val="000000" w:themeColor="text1"/>
          <w:sz w:val="23"/>
          <w:szCs w:val="23"/>
          <w14:textFill>
            <w14:solidFill>
              <w14:schemeClr w14:val="tx1"/>
            </w14:solidFill>
          </w14:textFill>
        </w:rPr>
        <w:t>的设计人员均为我单位的正式合法职工，本项目设计组办公地点在我单位。</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2、投标材料中项目组人员与实际参与设计的人员完全一致。投标材料中所提供的项目负责人的设计业绩真实准确，不存在弄虚作假的情况。</w:t>
      </w:r>
    </w:p>
    <w:p>
      <w:pPr>
        <w:spacing w:line="360" w:lineRule="auto"/>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3、项目负责人将全过程参与并组织上述工</w:t>
      </w:r>
      <w:r>
        <w:rPr>
          <w:rFonts w:hint="eastAsia" w:ascii="宋体" w:hAnsi="宋体" w:cs="宋体"/>
          <w:color w:val="000000" w:themeColor="text1"/>
          <w:sz w:val="23"/>
          <w:szCs w:val="23"/>
          <w:highlight w:val="none"/>
          <w14:textFill>
            <w14:solidFill>
              <w14:schemeClr w14:val="tx1"/>
            </w14:solidFill>
          </w14:textFill>
        </w:rPr>
        <w:t>程的设计及后续服务工作。汇报成果、协助招标人办理相关行政报批手续等所有环节均由项目负责人参与办理。</w:t>
      </w:r>
    </w:p>
    <w:p>
      <w:pPr>
        <w:spacing w:line="360" w:lineRule="auto"/>
        <w:ind w:firstLine="460" w:firstLineChars="200"/>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4、我方将严格执行设计招标文件中提出的关于后续设计服务的全部要求。</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highlight w:val="none"/>
          <w14:textFill>
            <w14:solidFill>
              <w14:schemeClr w14:val="tx1"/>
            </w14:solidFill>
          </w14:textFill>
        </w:rPr>
        <w:t>5、自愿接受招标人在项目设计过程的抽查，如发现违反以上承诺及招标文件要</w:t>
      </w:r>
      <w:r>
        <w:rPr>
          <w:rFonts w:hint="eastAsia" w:ascii="宋体" w:hAnsi="宋体" w:cs="宋体"/>
          <w:color w:val="000000" w:themeColor="text1"/>
          <w:sz w:val="23"/>
          <w:szCs w:val="23"/>
          <w14:textFill>
            <w14:solidFill>
              <w14:schemeClr w14:val="tx1"/>
            </w14:solidFill>
          </w14:textFill>
        </w:rPr>
        <w:t>求、合同条款的现象，我方愿意接受招标人的相关处罚决定和接受招标人单方面终止合同。</w:t>
      </w: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6、</w:t>
      </w:r>
      <w:r>
        <w:rPr>
          <w:rFonts w:hint="eastAsia" w:ascii="宋体" w:hAnsi="宋体" w:cs="宋体"/>
          <w:color w:val="000000" w:themeColor="text1"/>
          <w:sz w:val="23"/>
          <w:szCs w:val="23"/>
          <w:u w:val="single"/>
          <w14:textFill>
            <w14:solidFill>
              <w14:schemeClr w14:val="tx1"/>
            </w14:solidFill>
          </w14:textFill>
        </w:rPr>
        <w:t>（该条由设计单位自行增加承诺及保障措施）</w:t>
      </w:r>
    </w:p>
    <w:p>
      <w:pPr>
        <w:spacing w:line="360" w:lineRule="auto"/>
        <w:ind w:firstLine="460" w:firstLineChars="200"/>
        <w:rPr>
          <w:rFonts w:ascii="宋体" w:hAnsi="宋体" w:cs="宋体"/>
          <w:color w:val="000000" w:themeColor="text1"/>
          <w:sz w:val="23"/>
          <w:szCs w:val="23"/>
          <w14:textFill>
            <w14:solidFill>
              <w14:schemeClr w14:val="tx1"/>
            </w14:solidFill>
          </w14:textFill>
        </w:rPr>
      </w:pP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投标人 (盖单位公章）：</w:t>
      </w:r>
    </w:p>
    <w:p>
      <w:pPr>
        <w:spacing w:line="360" w:lineRule="auto"/>
        <w:ind w:firstLine="42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63360" behindDoc="1" locked="0" layoutInCell="0" allowOverlap="1">
            <wp:simplePos x="0" y="0"/>
            <wp:positionH relativeFrom="column">
              <wp:posOffset>2799715</wp:posOffset>
            </wp:positionH>
            <wp:positionV relativeFrom="paragraph">
              <wp:posOffset>219710</wp:posOffset>
            </wp:positionV>
            <wp:extent cx="1930400" cy="12065"/>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1930400" cy="12065"/>
                    </a:xfrm>
                    <a:prstGeom prst="rect">
                      <a:avLst/>
                    </a:prstGeom>
                    <a:noFill/>
                    <a:ln>
                      <a:noFill/>
                    </a:ln>
                  </pic:spPr>
                </pic:pic>
              </a:graphicData>
            </a:graphic>
          </wp:anchor>
        </w:drawing>
      </w:r>
      <w:r>
        <w:rPr>
          <w:rFonts w:hint="eastAsia" w:ascii="宋体" w:hAnsi="宋体" w:cs="宋体"/>
          <w:color w:val="000000" w:themeColor="text1"/>
          <w:sz w:val="23"/>
          <w:szCs w:val="23"/>
          <w14:textFill>
            <w14:solidFill>
              <w14:schemeClr w14:val="tx1"/>
            </w14:solidFill>
          </w14:textFill>
        </w:rPr>
        <w:t>法定代表人或委托代理人(签字或盖章)：</w:t>
      </w:r>
    </w:p>
    <w:p>
      <w:pPr>
        <w:spacing w:line="360" w:lineRule="auto"/>
        <w:rPr>
          <w:rFonts w:ascii="宋体" w:hAnsi="宋体" w:cs="宋体"/>
          <w:color w:val="000000" w:themeColor="text1"/>
          <w:sz w:val="23"/>
          <w:szCs w:val="23"/>
          <w14:textFill>
            <w14:solidFill>
              <w14:schemeClr w14:val="tx1"/>
            </w14:solidFill>
          </w14:textFill>
        </w:rPr>
      </w:pP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日期：年月日</w:t>
      </w:r>
    </w:p>
    <w:p>
      <w:pPr>
        <w:spacing w:line="360" w:lineRule="auto"/>
        <w:ind w:firstLine="460" w:firstLineChars="200"/>
        <w:rPr>
          <w:rFonts w:ascii="宋体" w:hAnsi="宋体" w:cs="宋体"/>
          <w:color w:val="000000" w:themeColor="text1"/>
          <w:sz w:val="23"/>
          <w:szCs w:val="23"/>
          <w14:textFill>
            <w14:solidFill>
              <w14:schemeClr w14:val="tx1"/>
            </w14:solidFill>
          </w14:textFill>
        </w:rPr>
      </w:pPr>
    </w:p>
    <w:p>
      <w:pPr>
        <w:spacing w:line="360" w:lineRule="auto"/>
        <w:rPr>
          <w:rFonts w:ascii="宋体" w:hAnsi="宋体" w:cs="宋体"/>
          <w:color w:val="000000" w:themeColor="text1"/>
          <w:sz w:val="23"/>
          <w:szCs w:val="23"/>
          <w14:textFill>
            <w14:solidFill>
              <w14:schemeClr w14:val="tx1"/>
            </w14:solidFill>
          </w14:textFill>
        </w:rPr>
      </w:pPr>
    </w:p>
    <w:p>
      <w:pPr>
        <w:spacing w:line="360" w:lineRule="auto"/>
        <w:ind w:firstLine="460" w:firstLineChars="200"/>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注：第 6 条为设计单位自行增加承诺及保障措施。</w:t>
      </w:r>
    </w:p>
    <w:p>
      <w:pPr>
        <w:spacing w:line="360" w:lineRule="auto"/>
        <w:ind w:firstLine="1035" w:firstLineChars="450"/>
        <w:jc w:val="left"/>
        <w:rPr>
          <w:rFonts w:ascii="宋体" w:hAnsi="宋体" w:cs="宋体"/>
          <w:color w:val="000000" w:themeColor="text1"/>
          <w:sz w:val="23"/>
          <w:szCs w:val="23"/>
          <w14:textFill>
            <w14:solidFill>
              <w14:schemeClr w14:val="tx1"/>
            </w14:solidFill>
          </w14:textFill>
        </w:rPr>
      </w:pPr>
    </w:p>
    <w:p>
      <w:pPr>
        <w:spacing w:line="460" w:lineRule="exact"/>
        <w:ind w:firstLine="480" w:firstLineChars="200"/>
        <w:jc w:val="left"/>
        <w:rPr>
          <w:rFonts w:ascii="宋体" w:hAnsi="宋体" w:cs="宋体"/>
          <w:b/>
          <w:color w:val="000000" w:themeColor="text1"/>
          <w:sz w:val="24"/>
          <w:szCs w:val="24"/>
          <w14:textFill>
            <w14:solidFill>
              <w14:schemeClr w14:val="tx1"/>
            </w14:solidFill>
          </w14:textFill>
        </w:rPr>
      </w:pPr>
    </w:p>
    <w:p>
      <w:pPr>
        <w:spacing w:line="460" w:lineRule="exact"/>
        <w:ind w:firstLine="480" w:firstLineChars="200"/>
        <w:jc w:val="left"/>
        <w:rPr>
          <w:rFonts w:ascii="宋体" w:hAnsi="宋体" w:cs="宋体"/>
          <w:b/>
          <w:color w:val="000000" w:themeColor="text1"/>
          <w:sz w:val="24"/>
          <w:szCs w:val="24"/>
          <w14:textFill>
            <w14:solidFill>
              <w14:schemeClr w14:val="tx1"/>
            </w14:solidFill>
          </w14:textFill>
        </w:rPr>
      </w:pPr>
    </w:p>
    <w:p>
      <w:pPr>
        <w:spacing w:line="460" w:lineRule="exact"/>
        <w:ind w:firstLine="480" w:firstLineChars="200"/>
        <w:jc w:val="left"/>
        <w:rPr>
          <w:rFonts w:ascii="宋体" w:hAnsi="宋体" w:cs="宋体"/>
          <w:b/>
          <w:color w:val="000000" w:themeColor="text1"/>
          <w:sz w:val="24"/>
          <w:szCs w:val="24"/>
          <w14:textFill>
            <w14:solidFill>
              <w14:schemeClr w14:val="tx1"/>
            </w14:solidFill>
          </w14:textFill>
        </w:rPr>
      </w:pPr>
    </w:p>
    <w:p>
      <w:pPr>
        <w:spacing w:line="460" w:lineRule="exact"/>
        <w:ind w:firstLine="480" w:firstLineChars="200"/>
        <w:jc w:val="left"/>
        <w:rPr>
          <w:rFonts w:ascii="宋体" w:hAnsi="宋体" w:cs="宋体"/>
          <w:b/>
          <w:color w:val="000000" w:themeColor="text1"/>
          <w:sz w:val="24"/>
          <w:szCs w:val="24"/>
          <w14:textFill>
            <w14:solidFill>
              <w14:schemeClr w14:val="tx1"/>
            </w14:solidFill>
          </w14:textFill>
        </w:rPr>
      </w:pPr>
    </w:p>
    <w:p>
      <w:pPr>
        <w:pStyle w:val="19"/>
        <w:rPr>
          <w:rFonts w:ascii="宋体" w:hAnsi="宋体" w:eastAsia="宋体" w:cs="宋体"/>
          <w:b/>
          <w:color w:val="000000" w:themeColor="text1"/>
          <w:sz w:val="24"/>
          <w14:textFill>
            <w14:solidFill>
              <w14:schemeClr w14:val="tx1"/>
            </w14:solidFill>
          </w14:textFill>
        </w:rPr>
      </w:pPr>
    </w:p>
    <w:p>
      <w:pPr>
        <w:pStyle w:val="20"/>
        <w:rPr>
          <w:rFonts w:ascii="宋体" w:hAnsi="宋体" w:cs="宋体"/>
          <w:b/>
          <w:color w:val="000000" w:themeColor="text1"/>
          <w:sz w:val="24"/>
          <w:szCs w:val="24"/>
          <w14:textFill>
            <w14:solidFill>
              <w14:schemeClr w14:val="tx1"/>
            </w14:solidFill>
          </w14:textFill>
        </w:rPr>
      </w:pPr>
    </w:p>
    <w:p>
      <w:pPr>
        <w:spacing w:before="100" w:beforeAutospacing="1" w:after="100" w:afterAutospacing="1" w:line="360" w:lineRule="auto"/>
        <w:jc w:val="center"/>
        <w:rPr>
          <w:rFonts w:ascii="宋体" w:hAnsi="宋体" w:cs="宋体"/>
          <w:b/>
          <w:bCs/>
          <w:kern w:val="0"/>
          <w:sz w:val="24"/>
        </w:rPr>
      </w:pPr>
      <w:r>
        <w:rPr>
          <w:rFonts w:hint="eastAsia" w:ascii="宋体" w:hAnsi="宋体" w:cs="宋体"/>
          <w:b/>
          <w:bCs/>
          <w:kern w:val="0"/>
          <w:sz w:val="24"/>
        </w:rPr>
        <w:t>五、联合体协议书（采用联合体投标时提供，非联合体不提供）</w:t>
      </w:r>
    </w:p>
    <w:p>
      <w:pPr>
        <w:spacing w:line="360" w:lineRule="auto"/>
        <w:ind w:firstLine="600" w:firstLineChars="250"/>
        <w:rPr>
          <w:rFonts w:ascii="宋体" w:hAnsi="宋体" w:cs="宋体"/>
          <w:sz w:val="24"/>
        </w:rPr>
      </w:pPr>
      <w:r>
        <w:rPr>
          <w:rFonts w:hint="eastAsia" w:ascii="宋体" w:hAnsi="宋体" w:cs="宋体"/>
          <w:sz w:val="24"/>
        </w:rPr>
        <w:t>（所有成员单位名称）自愿组成联合体，共同参加 （项目名称）的投标。现就联合体投标事宜订立如下协议。</w:t>
      </w:r>
    </w:p>
    <w:p>
      <w:pPr>
        <w:spacing w:line="360" w:lineRule="auto"/>
        <w:ind w:firstLine="600" w:firstLineChars="250"/>
        <w:rPr>
          <w:rFonts w:ascii="宋体" w:hAnsi="宋体" w:cs="宋体"/>
          <w:sz w:val="24"/>
          <w:u w:val="single"/>
        </w:rPr>
      </w:pPr>
      <w:r>
        <w:rPr>
          <w:rFonts w:hint="eastAsia" w:ascii="宋体" w:hAnsi="宋体" w:cs="宋体"/>
          <w:sz w:val="24"/>
        </w:rPr>
        <w:t>1.（某成员单位名称）为牵头人。</w:t>
      </w:r>
    </w:p>
    <w:p>
      <w:pPr>
        <w:spacing w:line="360" w:lineRule="auto"/>
        <w:ind w:firstLine="600" w:firstLineChars="250"/>
        <w:rPr>
          <w:rFonts w:ascii="宋体" w:hAnsi="宋体" w:cs="宋体"/>
          <w:sz w:val="24"/>
        </w:rPr>
      </w:pPr>
      <w:r>
        <w:rPr>
          <w:rFonts w:hint="eastAsia" w:ascii="宋体" w:hAnsi="宋体" w:cs="宋体"/>
          <w:sz w:val="24"/>
        </w:rPr>
        <w:t>2.联合体牵头人合法代表联合体各成员负责本招标项目投标文件编制和合同谈判活动，代表联合体提交和接受相关资料、信息及指示，处理与之有关的一切事务，并负责合同实施阶段的主办、组织和协调工作。</w:t>
      </w:r>
    </w:p>
    <w:p>
      <w:pPr>
        <w:spacing w:line="360" w:lineRule="auto"/>
        <w:ind w:firstLine="600" w:firstLineChars="250"/>
        <w:rPr>
          <w:rFonts w:ascii="宋体" w:hAnsi="宋体" w:cs="宋体"/>
          <w:sz w:val="24"/>
        </w:rPr>
      </w:pPr>
      <w:r>
        <w:rPr>
          <w:rFonts w:hint="eastAsia" w:ascii="宋体" w:hAnsi="宋体" w:cs="宋体"/>
          <w:sz w:val="24"/>
        </w:rPr>
        <w:t>3.联合体将严格按照招标文件的各项要求，递交投标文件，履行合同，并对外承担连带责任。</w:t>
      </w:r>
    </w:p>
    <w:p>
      <w:pPr>
        <w:spacing w:line="360" w:lineRule="auto"/>
        <w:ind w:firstLine="600" w:firstLineChars="250"/>
        <w:rPr>
          <w:rFonts w:ascii="宋体" w:hAnsi="宋体" w:cs="宋体"/>
          <w:sz w:val="24"/>
        </w:rPr>
      </w:pPr>
      <w:r>
        <w:rPr>
          <w:rFonts w:hint="eastAsia" w:ascii="宋体" w:hAnsi="宋体" w:cs="宋体"/>
          <w:sz w:val="24"/>
        </w:rPr>
        <w:t>4、联合体牵头人代表联合体签署投标文件，联合体牵头人的所有承诺均认为代表了联合体各成员。</w:t>
      </w:r>
    </w:p>
    <w:p>
      <w:pPr>
        <w:spacing w:line="360" w:lineRule="auto"/>
        <w:ind w:firstLine="480" w:firstLineChars="200"/>
        <w:rPr>
          <w:rFonts w:ascii="宋体" w:hAnsi="宋体" w:cs="宋体"/>
          <w:sz w:val="24"/>
          <w:u w:val="single"/>
        </w:rPr>
      </w:pPr>
      <w:r>
        <w:rPr>
          <w:rFonts w:hint="eastAsia" w:ascii="宋体" w:hAnsi="宋体" w:cs="宋体"/>
          <w:sz w:val="24"/>
        </w:rPr>
        <w:t>5、联合体各成员单位内部的职责分工如下：（牵头人名称）承担 ；（成员名称）承担  。</w:t>
      </w:r>
    </w:p>
    <w:p>
      <w:pPr>
        <w:spacing w:line="360" w:lineRule="auto"/>
        <w:ind w:firstLine="480" w:firstLineChars="200"/>
        <w:rPr>
          <w:rFonts w:ascii="宋体" w:hAnsi="宋体" w:cs="宋体"/>
          <w:sz w:val="24"/>
        </w:rPr>
      </w:pPr>
      <w:r>
        <w:rPr>
          <w:rFonts w:hint="eastAsia" w:ascii="宋体" w:hAnsi="宋体" w:cs="宋体"/>
          <w:sz w:val="24"/>
        </w:rPr>
        <w:t>6.投标工作和联合体在中标后工程实施过程中的有关费用按各自承担的工作量分摊。</w:t>
      </w:r>
    </w:p>
    <w:p>
      <w:pPr>
        <w:spacing w:line="360" w:lineRule="auto"/>
        <w:ind w:firstLine="480" w:firstLineChars="200"/>
        <w:rPr>
          <w:rFonts w:ascii="宋体" w:hAnsi="宋体" w:cs="宋体"/>
          <w:sz w:val="24"/>
        </w:rPr>
      </w:pPr>
      <w:r>
        <w:rPr>
          <w:rFonts w:hint="eastAsia" w:ascii="宋体" w:hAnsi="宋体" w:cs="宋体"/>
          <w:sz w:val="24"/>
        </w:rPr>
        <w:t>7.本协议书自签署之日起生效，合同履行完毕后自动失效。</w:t>
      </w:r>
    </w:p>
    <w:p>
      <w:pPr>
        <w:spacing w:line="360" w:lineRule="auto"/>
        <w:ind w:firstLine="480" w:firstLineChars="200"/>
        <w:rPr>
          <w:rFonts w:ascii="宋体" w:hAnsi="宋体" w:cs="宋体"/>
          <w:sz w:val="24"/>
        </w:rPr>
      </w:pPr>
      <w:r>
        <w:rPr>
          <w:rFonts w:hint="eastAsia" w:ascii="宋体" w:hAnsi="宋体" w:cs="宋体"/>
          <w:sz w:val="24"/>
        </w:rPr>
        <w:t>8.本协议书一式份，联合体成员和招标人各执份。</w:t>
      </w:r>
    </w:p>
    <w:p>
      <w:pPr>
        <w:spacing w:line="360" w:lineRule="auto"/>
        <w:ind w:firstLine="480" w:firstLineChars="200"/>
        <w:rPr>
          <w:rFonts w:ascii="宋体" w:hAnsi="宋体" w:cs="宋体"/>
          <w:sz w:val="24"/>
          <w:u w:val="single"/>
        </w:rPr>
      </w:pPr>
    </w:p>
    <w:p>
      <w:pPr>
        <w:spacing w:line="360" w:lineRule="auto"/>
        <w:ind w:firstLine="480" w:firstLineChars="200"/>
        <w:rPr>
          <w:rFonts w:ascii="宋体" w:hAnsi="宋体" w:cs="宋体"/>
          <w:sz w:val="24"/>
          <w:u w:val="single"/>
        </w:rPr>
      </w:pPr>
      <w:r>
        <w:rPr>
          <w:rFonts w:hint="eastAsia" w:ascii="宋体" w:hAnsi="宋体" w:cs="宋体"/>
          <w:sz w:val="24"/>
        </w:rPr>
        <w:t>牵头人名称：</w:t>
      </w:r>
      <w:r>
        <w:rPr>
          <w:rFonts w:hint="eastAsia" w:ascii="宋体" w:hAnsi="宋体" w:cs="宋体"/>
          <w:sz w:val="24"/>
          <w:u w:val="single"/>
        </w:rPr>
        <w:t xml:space="preserve">                    （盖单位章）</w:t>
      </w:r>
    </w:p>
    <w:p>
      <w:pPr>
        <w:spacing w:line="360" w:lineRule="auto"/>
        <w:ind w:firstLine="480" w:firstLineChars="200"/>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w:t>
      </w:r>
    </w:p>
    <w:p>
      <w:pPr>
        <w:spacing w:line="360" w:lineRule="auto"/>
        <w:ind w:firstLine="480" w:firstLineChars="200"/>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rPr>
        <w:t>成员名称：</w:t>
      </w:r>
      <w:r>
        <w:rPr>
          <w:rFonts w:hint="eastAsia" w:ascii="宋体" w:hAnsi="宋体" w:cs="宋体"/>
          <w:sz w:val="24"/>
          <w:u w:val="single"/>
        </w:rPr>
        <w:t xml:space="preserve">                     （盖单位章）</w:t>
      </w:r>
    </w:p>
    <w:p>
      <w:pPr>
        <w:spacing w:line="360" w:lineRule="auto"/>
        <w:ind w:firstLine="480" w:firstLineChars="200"/>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w:t>
      </w:r>
    </w:p>
    <w:p>
      <w:pPr>
        <w:pStyle w:val="19"/>
        <w:rPr>
          <w:rFonts w:ascii="宋体" w:eastAsia="宋体" w:cs="宋体"/>
        </w:rPr>
      </w:pPr>
    </w:p>
    <w:p/>
    <w:p>
      <w:pPr>
        <w:spacing w:line="460" w:lineRule="exact"/>
        <w:ind w:firstLine="480" w:firstLineChars="200"/>
        <w:jc w:val="left"/>
        <w:rPr>
          <w:rFonts w:ascii="宋体" w:hAnsi="宋体" w:cs="宋体"/>
          <w:b/>
          <w:color w:val="000000" w:themeColor="text1"/>
          <w:sz w:val="24"/>
          <w:szCs w:val="24"/>
          <w14:textFill>
            <w14:solidFill>
              <w14:schemeClr w14:val="tx1"/>
            </w14:solidFill>
          </w14:textFill>
        </w:rPr>
      </w:pPr>
    </w:p>
    <w:p>
      <w:pPr>
        <w:spacing w:line="460" w:lineRule="exact"/>
        <w:rPr>
          <w:rFonts w:ascii="宋体" w:hAnsi="宋体" w:cs="宋体"/>
          <w:b/>
          <w:color w:val="000000" w:themeColor="text1"/>
          <w:sz w:val="28"/>
          <w14:textFill>
            <w14:solidFill>
              <w14:schemeClr w14:val="tx1"/>
            </w14:solidFill>
          </w14:textFill>
        </w:rPr>
      </w:pPr>
    </w:p>
    <w:p>
      <w:pPr>
        <w:pStyle w:val="19"/>
        <w:rPr>
          <w:rFonts w:ascii="宋体" w:hAnsi="宋体" w:eastAsia="宋体" w:cs="宋体"/>
          <w:b/>
          <w:color w:val="000000" w:themeColor="text1"/>
          <w14:textFill>
            <w14:solidFill>
              <w14:schemeClr w14:val="tx1"/>
            </w14:solidFill>
          </w14:textFill>
        </w:rPr>
      </w:pPr>
    </w:p>
    <w:p>
      <w:pPr>
        <w:pStyle w:val="20"/>
      </w:pPr>
    </w:p>
    <w:p>
      <w:pPr>
        <w:pStyle w:val="89"/>
        <w:outlineLvl w:val="1"/>
        <w:rPr>
          <w:rFonts w:eastAsia="宋体"/>
          <w:b w:val="0"/>
          <w:bCs w:val="0"/>
          <w:color w:val="000000" w:themeColor="text1"/>
          <w:szCs w:val="21"/>
          <w14:textFill>
            <w14:solidFill>
              <w14:schemeClr w14:val="tx1"/>
            </w14:solidFill>
          </w14:textFill>
        </w:rPr>
      </w:pPr>
      <w:bookmarkStart w:id="151" w:name="_Toc25659028"/>
      <w:bookmarkStart w:id="152" w:name="_Toc25658515"/>
      <w:r>
        <w:rPr>
          <w:rFonts w:hint="eastAsia" w:eastAsia="宋体"/>
          <w:color w:val="000000" w:themeColor="text1"/>
          <w14:textFill>
            <w14:solidFill>
              <w14:schemeClr w14:val="tx1"/>
            </w14:solidFill>
          </w14:textFill>
        </w:rPr>
        <w:t>三、</w:t>
      </w:r>
      <w:r>
        <w:rPr>
          <w:rFonts w:hint="eastAsia" w:eastAsia="宋体"/>
          <w:b w:val="0"/>
          <w:bCs w:val="0"/>
          <w:color w:val="000000" w:themeColor="text1"/>
          <w14:textFill>
            <w14:solidFill>
              <w14:schemeClr w14:val="tx1"/>
            </w14:solidFill>
          </w14:textFill>
        </w:rPr>
        <w:t>技术文件格式</w:t>
      </w:r>
      <w:bookmarkEnd w:id="151"/>
      <w:bookmarkEnd w:id="152"/>
    </w:p>
    <w:p>
      <w:pPr>
        <w:spacing w:line="440" w:lineRule="exact"/>
        <w:ind w:firstLine="597"/>
        <w:jc w:val="center"/>
        <w:rPr>
          <w:rFonts w:ascii="宋体" w:hAnsi="宋体" w:cs="宋体"/>
          <w:color w:val="000000" w:themeColor="text1"/>
          <w14:textFill>
            <w14:solidFill>
              <w14:schemeClr w14:val="tx1"/>
            </w14:solidFill>
          </w14:textFill>
        </w:rPr>
      </w:pPr>
    </w:p>
    <w:p>
      <w:pPr>
        <w:spacing w:line="440" w:lineRule="exact"/>
        <w:ind w:firstLine="597"/>
        <w:jc w:val="center"/>
        <w:rPr>
          <w:rFonts w:ascii="宋体" w:hAnsi="宋体" w:cs="宋体"/>
          <w:color w:val="000000" w:themeColor="text1"/>
          <w14:textFill>
            <w14:solidFill>
              <w14:schemeClr w14:val="tx1"/>
            </w14:solidFill>
          </w14:textFill>
        </w:rPr>
      </w:pPr>
    </w:p>
    <w:p>
      <w:pPr>
        <w:spacing w:line="360" w:lineRule="auto"/>
        <w:jc w:val="left"/>
        <w:rPr>
          <w:rFonts w:ascii="宋体" w:hAnsi="宋体" w:cs="宋体"/>
          <w:color w:val="000000" w:themeColor="text1"/>
          <w:sz w:val="24"/>
          <w:shd w:val="clear" w:color="auto" w:fill="FFFFFF"/>
          <w14:textFill>
            <w14:solidFill>
              <w14:schemeClr w14:val="tx1"/>
            </w14:solidFill>
          </w14:textFill>
        </w:rPr>
      </w:pPr>
    </w:p>
    <w:p>
      <w:pPr>
        <w:pStyle w:val="15"/>
        <w:tabs>
          <w:tab w:val="left" w:pos="1000"/>
        </w:tabs>
        <w:snapToGrid w:val="0"/>
        <w:spacing w:line="360" w:lineRule="auto"/>
        <w:ind w:firstLine="480" w:firstLineChars="200"/>
        <w:rPr>
          <w:rFonts w:ascii="宋体" w:hAnsi="宋体" w:cs="宋体"/>
          <w:b/>
          <w:bCs/>
          <w:color w:val="000000" w:themeColor="text1"/>
          <w:sz w:val="24"/>
          <w14:textFill>
            <w14:solidFill>
              <w14:schemeClr w14:val="tx1"/>
            </w14:solidFill>
          </w14:textFill>
        </w:rPr>
      </w:pPr>
    </w:p>
    <w:p>
      <w:pPr>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标为暗标，封袋内的“技术标”（包括封面及内侧页面、图纸及电子版文件）中的任何地方均不得出现或暗示反映投标人名称、设计人员、企业签章等标志。否则，作废标处理。封面统一使用无字白版封面，技术标文本为A</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尺寸，不宜缩小的图幅均应折成A</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规格，字体标题采用宋体二号、正文采用宋体小四号（图片、图表等除外）打印。</w:t>
      </w:r>
    </w:p>
    <w:p>
      <w:pPr>
        <w:spacing w:line="360" w:lineRule="auto"/>
        <w:jc w:val="left"/>
        <w:rPr>
          <w:rFonts w:ascii="宋体" w:hAnsi="宋体" w:cs="宋体"/>
          <w:color w:val="000000" w:themeColor="text1"/>
          <w:sz w:val="24"/>
          <w:shd w:val="clear" w:color="auto" w:fill="FFFFFF"/>
          <w14:textFill>
            <w14:solidFill>
              <w14:schemeClr w14:val="tx1"/>
            </w14:solidFill>
          </w14:textFill>
        </w:rPr>
      </w:pPr>
    </w:p>
    <w:p>
      <w:pPr>
        <w:spacing w:line="360" w:lineRule="auto"/>
        <w:jc w:val="left"/>
        <w:rPr>
          <w:rFonts w:ascii="宋体" w:hAnsi="宋体" w:cs="宋体"/>
          <w:color w:val="000000" w:themeColor="text1"/>
          <w:sz w:val="24"/>
          <w:shd w:val="clear" w:color="auto" w:fill="FFFFFF"/>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bookmarkStart w:id="153" w:name="_Toc25659029"/>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p>
    <w:p>
      <w:pPr>
        <w:widowControl/>
        <w:jc w:val="both"/>
        <w:rPr>
          <w:rFonts w:ascii="宋体" w:hAnsi="宋体" w:cs="宋体"/>
          <w:color w:val="000000" w:themeColor="text1"/>
          <w:sz w:val="30"/>
          <w:szCs w:val="30"/>
          <w14:textFill>
            <w14:solidFill>
              <w14:schemeClr w14:val="tx1"/>
            </w14:solidFill>
          </w14:textFill>
        </w:rPr>
      </w:pPr>
    </w:p>
    <w:p>
      <w:pPr>
        <w:rPr>
          <w:rFonts w:ascii="宋体" w:hAnsi="宋体" w:cs="宋体"/>
          <w:color w:val="000000" w:themeColor="text1"/>
          <w:sz w:val="36"/>
          <w:szCs w:val="36"/>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pStyle w:val="89"/>
        <w:outlineLvl w:val="1"/>
        <w:rPr>
          <w:rFonts w:eastAsia="宋体"/>
          <w:b w:val="0"/>
          <w:bCs w:val="0"/>
          <w:color w:val="000000" w:themeColor="text1"/>
          <w:szCs w:val="21"/>
          <w14:textFill>
            <w14:solidFill>
              <w14:schemeClr w14:val="tx1"/>
            </w14:solidFill>
          </w14:textFill>
        </w:rPr>
      </w:pPr>
      <w:r>
        <w:rPr>
          <w:rFonts w:hint="eastAsia" w:eastAsia="宋体"/>
          <w:color w:val="000000" w:themeColor="text1"/>
          <w:lang w:val="en-US"/>
          <w14:textFill>
            <w14:solidFill>
              <w14:schemeClr w14:val="tx1"/>
            </w14:solidFill>
          </w14:textFill>
        </w:rPr>
        <w:t>四</w:t>
      </w:r>
      <w:r>
        <w:rPr>
          <w:rFonts w:hint="eastAsia" w:eastAsia="宋体"/>
          <w:color w:val="000000" w:themeColor="text1"/>
          <w14:textFill>
            <w14:solidFill>
              <w14:schemeClr w14:val="tx1"/>
            </w14:solidFill>
          </w14:textFill>
        </w:rPr>
        <w:t>、</w:t>
      </w:r>
      <w:r>
        <w:rPr>
          <w:rFonts w:hint="eastAsia" w:eastAsia="宋体"/>
          <w:b w:val="0"/>
          <w:bCs w:val="0"/>
          <w:color w:val="000000" w:themeColor="text1"/>
          <w:lang w:val="en-US"/>
          <w14:textFill>
            <w14:solidFill>
              <w14:schemeClr w14:val="tx1"/>
            </w14:solidFill>
          </w14:textFill>
        </w:rPr>
        <w:t>综合标</w:t>
      </w:r>
      <w:r>
        <w:rPr>
          <w:rFonts w:hint="eastAsia" w:eastAsia="宋体"/>
          <w:b w:val="0"/>
          <w:bCs w:val="0"/>
          <w:color w:val="000000" w:themeColor="text1"/>
          <w14:textFill>
            <w14:solidFill>
              <w14:schemeClr w14:val="tx1"/>
            </w14:solidFill>
          </w14:textFill>
        </w:rPr>
        <w:t>文件格式</w:t>
      </w:r>
    </w:p>
    <w:p>
      <w:pPr>
        <w:spacing w:line="440" w:lineRule="exact"/>
        <w:ind w:firstLine="597"/>
        <w:jc w:val="center"/>
        <w:rPr>
          <w:rFonts w:ascii="宋体" w:hAnsi="宋体" w:cs="宋体"/>
          <w:color w:val="000000" w:themeColor="text1"/>
          <w14:textFill>
            <w14:solidFill>
              <w14:schemeClr w14:val="tx1"/>
            </w14:solidFill>
          </w14:textFill>
        </w:rPr>
      </w:pPr>
    </w:p>
    <w:p>
      <w:pPr>
        <w:spacing w:line="440" w:lineRule="exact"/>
        <w:ind w:firstLine="597"/>
        <w:jc w:val="center"/>
        <w:rPr>
          <w:rFonts w:ascii="宋体" w:hAnsi="宋体" w:cs="宋体"/>
          <w:color w:val="000000" w:themeColor="text1"/>
          <w14:textFill>
            <w14:solidFill>
              <w14:schemeClr w14:val="tx1"/>
            </w14:solidFill>
          </w14:textFill>
        </w:rPr>
      </w:pPr>
    </w:p>
    <w:p>
      <w:pPr>
        <w:ind w:right="566"/>
        <w:rPr>
          <w:rFonts w:ascii="宋体" w:hAnsi="宋体" w:cs="宋体"/>
          <w:b/>
          <w:color w:val="000000" w:themeColor="text1"/>
          <w:sz w:val="28"/>
          <w14:textFill>
            <w14:solidFill>
              <w14:schemeClr w14:val="tx1"/>
            </w14:solidFill>
          </w14:textFill>
        </w:rPr>
      </w:pPr>
    </w:p>
    <w:p>
      <w:pPr>
        <w:jc w:val="center"/>
        <w:rPr>
          <w:rFonts w:ascii="宋体" w:hAnsi="宋体" w:cs="宋体"/>
          <w:b/>
          <w:color w:val="000000" w:themeColor="text1"/>
          <w:sz w:val="32"/>
          <w14:textFill>
            <w14:solidFill>
              <w14:schemeClr w14:val="tx1"/>
            </w14:solidFill>
          </w14:textFill>
        </w:rPr>
      </w:pPr>
    </w:p>
    <w:p>
      <w:pPr>
        <w:spacing w:before="156" w:beforeLines="50" w:after="156" w:afterLines="50" w:line="360" w:lineRule="auto"/>
        <w:ind w:firstLine="640" w:firstLineChars="200"/>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32"/>
          <w:szCs w:val="48"/>
          <w:u w:val="single"/>
          <w14:textFill>
            <w14:solidFill>
              <w14:schemeClr w14:val="tx1"/>
            </w14:solidFill>
          </w14:textFill>
        </w:rPr>
        <w:t xml:space="preserve">     （工程名称）    </w:t>
      </w:r>
      <w:r>
        <w:rPr>
          <w:rFonts w:hint="eastAsia" w:ascii="宋体" w:hAnsi="宋体" w:cs="宋体"/>
          <w:b/>
          <w:color w:val="000000" w:themeColor="text1"/>
          <w:sz w:val="32"/>
          <w:szCs w:val="48"/>
          <w14:textFill>
            <w14:solidFill>
              <w14:schemeClr w14:val="tx1"/>
            </w14:solidFill>
          </w14:textFill>
        </w:rPr>
        <w:t>招标</w:t>
      </w:r>
    </w:p>
    <w:p>
      <w:pPr>
        <w:spacing w:before="156" w:beforeLines="50"/>
        <w:jc w:val="center"/>
        <w:rPr>
          <w:rFonts w:ascii="宋体" w:hAnsi="宋体" w:cs="宋体"/>
          <w:color w:val="000000" w:themeColor="text1"/>
          <w:sz w:val="28"/>
          <w:szCs w:val="28"/>
          <w14:textFill>
            <w14:solidFill>
              <w14:schemeClr w14:val="tx1"/>
            </w14:solidFill>
          </w14:textFill>
        </w:rPr>
      </w:pPr>
    </w:p>
    <w:p>
      <w:pPr>
        <w:spacing w:before="156" w:beforeLines="50"/>
        <w:jc w:val="center"/>
        <w:rPr>
          <w:rFonts w:ascii="宋体" w:hAnsi="宋体" w:cs="宋体"/>
          <w:color w:val="000000" w:themeColor="text1"/>
          <w:sz w:val="28"/>
          <w:szCs w:val="28"/>
          <w14:textFill>
            <w14:solidFill>
              <w14:schemeClr w14:val="tx1"/>
            </w14:solidFill>
          </w14:textFill>
        </w:rPr>
      </w:pPr>
    </w:p>
    <w:p>
      <w:pPr>
        <w:spacing w:before="156" w:beforeLines="50"/>
        <w:jc w:val="center"/>
        <w:rPr>
          <w:rFonts w:ascii="宋体" w:hAnsi="宋体" w:cs="宋体"/>
          <w:color w:val="000000" w:themeColor="text1"/>
          <w:sz w:val="52"/>
          <w:szCs w:val="44"/>
          <w14:textFill>
            <w14:solidFill>
              <w14:schemeClr w14:val="tx1"/>
            </w14:solidFill>
          </w14:textFill>
        </w:rPr>
      </w:pPr>
      <w:r>
        <w:rPr>
          <w:rFonts w:hint="eastAsia" w:ascii="宋体" w:hAnsi="宋体" w:cs="宋体"/>
          <w:color w:val="000000" w:themeColor="text1"/>
          <w:sz w:val="52"/>
          <w:szCs w:val="44"/>
          <w14:textFill>
            <w14:solidFill>
              <w14:schemeClr w14:val="tx1"/>
            </w14:solidFill>
          </w14:textFill>
        </w:rPr>
        <w:t>综合标</w:t>
      </w:r>
    </w:p>
    <w:p>
      <w:pPr>
        <w:spacing w:before="156" w:beforeLines="50"/>
        <w:jc w:val="center"/>
        <w:rPr>
          <w:rFonts w:ascii="宋体" w:hAnsi="宋体" w:cs="宋体"/>
          <w:color w:val="000000" w:themeColor="text1"/>
          <w:sz w:val="44"/>
          <w:szCs w:val="44"/>
          <w14:textFill>
            <w14:solidFill>
              <w14:schemeClr w14:val="tx1"/>
            </w14:solidFill>
          </w14:textFill>
        </w:rPr>
      </w:pPr>
    </w:p>
    <w:p>
      <w:pPr>
        <w:spacing w:before="156" w:beforeLines="50"/>
        <w:jc w:val="center"/>
        <w:rPr>
          <w:rFonts w:ascii="宋体" w:hAnsi="宋体" w:cs="宋体"/>
          <w:color w:val="000000" w:themeColor="text1"/>
          <w:sz w:val="44"/>
          <w:szCs w:val="44"/>
          <w14:textFill>
            <w14:solidFill>
              <w14:schemeClr w14:val="tx1"/>
            </w14:solidFill>
          </w14:textFill>
        </w:rPr>
      </w:pPr>
    </w:p>
    <w:p>
      <w:pPr>
        <w:spacing w:before="156" w:beforeLines="50"/>
        <w:jc w:val="center"/>
        <w:rPr>
          <w:rFonts w:ascii="宋体" w:hAnsi="宋体" w:cs="宋体"/>
          <w:color w:val="000000" w:themeColor="text1"/>
          <w:sz w:val="44"/>
          <w:szCs w:val="44"/>
          <w14:textFill>
            <w14:solidFill>
              <w14:schemeClr w14:val="tx1"/>
            </w14:solidFill>
          </w14:textFill>
        </w:rPr>
      </w:pPr>
    </w:p>
    <w:p>
      <w:pPr>
        <w:spacing w:before="156" w:beforeLines="50"/>
        <w:jc w:val="center"/>
        <w:rPr>
          <w:rFonts w:ascii="宋体" w:hAnsi="宋体" w:cs="宋体"/>
          <w:color w:val="000000" w:themeColor="text1"/>
          <w:sz w:val="32"/>
          <w:szCs w:val="32"/>
          <w14:textFill>
            <w14:solidFill>
              <w14:schemeClr w14:val="tx1"/>
            </w14:solidFill>
          </w14:textFill>
        </w:rPr>
      </w:pPr>
    </w:p>
    <w:p>
      <w:pPr>
        <w:spacing w:before="156" w:beforeLines="50"/>
        <w:jc w:val="center"/>
        <w:rPr>
          <w:rFonts w:ascii="宋体" w:hAnsi="宋体" w:cs="宋体"/>
          <w:color w:val="000000" w:themeColor="text1"/>
          <w:sz w:val="32"/>
          <w:szCs w:val="32"/>
          <w14:textFill>
            <w14:solidFill>
              <w14:schemeClr w14:val="tx1"/>
            </w14:solidFill>
          </w14:textFill>
        </w:rPr>
      </w:pPr>
    </w:p>
    <w:p>
      <w:pPr>
        <w:spacing w:line="360" w:lineRule="auto"/>
        <w:ind w:right="566" w:firstLine="560" w:firstLineChars="200"/>
        <w:rPr>
          <w:rFonts w:ascii="宋体" w:hAnsi="宋体" w:cs="宋体"/>
          <w:b/>
          <w:color w:val="000000" w:themeColor="text1"/>
          <w:sz w:val="28"/>
          <w:u w:val="single"/>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投标人：</w:t>
      </w:r>
      <w:r>
        <w:rPr>
          <w:rFonts w:hint="eastAsia" w:ascii="宋体" w:hAnsi="宋体" w:cs="宋体"/>
          <w:b/>
          <w:color w:val="000000" w:themeColor="text1"/>
          <w:sz w:val="28"/>
          <w:u w:val="single"/>
          <w14:textFill>
            <w14:solidFill>
              <w14:schemeClr w14:val="tx1"/>
            </w14:solidFill>
          </w14:textFill>
        </w:rPr>
        <w:t>（盖章）</w:t>
      </w:r>
    </w:p>
    <w:p>
      <w:pPr>
        <w:spacing w:line="360" w:lineRule="auto"/>
        <w:ind w:firstLine="560" w:firstLineChars="200"/>
        <w:rPr>
          <w:rFonts w:ascii="宋体" w:hAnsi="宋体" w:cs="宋体"/>
          <w:b/>
          <w:color w:val="000000" w:themeColor="text1"/>
          <w:sz w:val="28"/>
          <w:u w:val="single"/>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法定代表人或其委托代理人：（签字或盖章）</w:t>
      </w:r>
    </w:p>
    <w:p>
      <w:pPr>
        <w:spacing w:line="360" w:lineRule="auto"/>
        <w:ind w:firstLine="560" w:firstLineChars="200"/>
        <w:rPr>
          <w:rFonts w:ascii="宋体" w:hAnsi="宋体" w:cs="宋体"/>
          <w:b/>
          <w:color w:val="000000" w:themeColor="text1"/>
          <w:sz w:val="28"/>
          <w:u w:val="single"/>
          <w14:textFill>
            <w14:solidFill>
              <w14:schemeClr w14:val="tx1"/>
            </w14:solidFill>
          </w14:textFill>
        </w:rPr>
      </w:pPr>
      <w:r>
        <w:rPr>
          <w:rFonts w:hint="eastAsia" w:ascii="宋体" w:hAnsi="宋体" w:cs="宋体"/>
          <w:b/>
          <w:color w:val="000000" w:themeColor="text1"/>
          <w:sz w:val="28"/>
          <w14:textFill>
            <w14:solidFill>
              <w14:schemeClr w14:val="tx1"/>
            </w14:solidFill>
          </w14:textFill>
        </w:rPr>
        <w:t>地址：</w:t>
      </w:r>
    </w:p>
    <w:p>
      <w:pPr>
        <w:spacing w:line="360" w:lineRule="auto"/>
        <w:ind w:firstLine="560"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日期：年月日</w:t>
      </w:r>
    </w:p>
    <w:p>
      <w:pPr>
        <w:spacing w:before="93" w:beforeLines="30" w:after="93" w:afterLines="30" w:line="360" w:lineRule="auto"/>
        <w:jc w:val="center"/>
        <w:outlineLvl w:val="0"/>
        <w:rPr>
          <w:rFonts w:ascii="宋体" w:hAnsi="宋体" w:cs="宋体"/>
          <w:color w:val="000000" w:themeColor="text1"/>
          <w:sz w:val="36"/>
          <w:szCs w:val="36"/>
          <w14:textFill>
            <w14:solidFill>
              <w14:schemeClr w14:val="tx1"/>
            </w14:solidFill>
          </w14:textFill>
        </w:rPr>
      </w:pPr>
    </w:p>
    <w:p>
      <w:pPr>
        <w:spacing w:before="93" w:beforeLines="30" w:after="93" w:afterLines="30" w:line="360" w:lineRule="auto"/>
        <w:jc w:val="center"/>
        <w:outlineLvl w:val="0"/>
        <w:rPr>
          <w:rFonts w:ascii="宋体" w:hAnsi="宋体" w:cs="宋体"/>
          <w:color w:val="000000" w:themeColor="text1"/>
          <w:sz w:val="36"/>
          <w:szCs w:val="36"/>
          <w14:textFill>
            <w14:solidFill>
              <w14:schemeClr w14:val="tx1"/>
            </w14:solidFill>
          </w14:textFill>
        </w:rPr>
      </w:pPr>
    </w:p>
    <w:p>
      <w:pPr>
        <w:widowControl/>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一、项目设计负责人基本情况表</w:t>
      </w:r>
    </w:p>
    <w:p>
      <w:pPr>
        <w:spacing w:line="360" w:lineRule="exact"/>
        <w:ind w:right="600" w:firstLine="420" w:firstLineChars="200"/>
        <w:jc w:val="center"/>
        <w:rPr>
          <w:rFonts w:ascii="宋体" w:hAnsi="宋体" w:cs="宋体"/>
          <w:color w:val="000000" w:themeColor="text1"/>
          <w14:textFill>
            <w14:solidFill>
              <w14:schemeClr w14:val="tx1"/>
            </w14:solidFill>
          </w14:textFill>
        </w:rPr>
      </w:pPr>
    </w:p>
    <w:tbl>
      <w:tblPr>
        <w:tblStyle w:val="45"/>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668"/>
        <w:gridCol w:w="540"/>
        <w:gridCol w:w="900"/>
        <w:gridCol w:w="1080"/>
        <w:gridCol w:w="1373"/>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18"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08" w:type="dxa"/>
            <w:gridSpan w:val="2"/>
            <w:vAlign w:val="center"/>
          </w:tcPr>
          <w:p>
            <w:pPr>
              <w:spacing w:line="360" w:lineRule="exact"/>
              <w:rPr>
                <w:rFonts w:ascii="宋体" w:hAnsi="宋体" w:cs="宋体"/>
                <w:color w:val="000000" w:themeColor="text1"/>
                <w14:textFill>
                  <w14:solidFill>
                    <w14:schemeClr w14:val="tx1"/>
                  </w14:solidFill>
                </w14:textFill>
              </w:rPr>
            </w:pPr>
          </w:p>
        </w:tc>
        <w:tc>
          <w:tcPr>
            <w:tcW w:w="900"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1080" w:type="dxa"/>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出生日期</w:t>
            </w: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18"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毕业院校及专业</w:t>
            </w:r>
          </w:p>
        </w:tc>
        <w:tc>
          <w:tcPr>
            <w:tcW w:w="3188" w:type="dxa"/>
            <w:gridSpan w:val="4"/>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毕业时间</w:t>
            </w: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8"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从事本专业时间</w:t>
            </w:r>
          </w:p>
        </w:tc>
        <w:tc>
          <w:tcPr>
            <w:tcW w:w="3188" w:type="dxa"/>
            <w:gridSpan w:val="4"/>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为投标人服务时间</w:t>
            </w: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18"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执业注册</w:t>
            </w:r>
          </w:p>
        </w:tc>
        <w:tc>
          <w:tcPr>
            <w:tcW w:w="3188" w:type="dxa"/>
            <w:gridSpan w:val="4"/>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8"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从事本项目中担任任务</w:t>
            </w:r>
          </w:p>
        </w:tc>
        <w:tc>
          <w:tcPr>
            <w:tcW w:w="6733" w:type="dxa"/>
            <w:gridSpan w:val="6"/>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18" w:type="dxa"/>
            <w:vMerge w:val="restart"/>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本人主要设计</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成果</w:t>
            </w:r>
          </w:p>
        </w:tc>
        <w:tc>
          <w:tcPr>
            <w:tcW w:w="668" w:type="dxa"/>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520" w:type="dxa"/>
            <w:gridSpan w:val="3"/>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工程项目名称及规模</w:t>
            </w:r>
          </w:p>
        </w:tc>
        <w:tc>
          <w:tcPr>
            <w:tcW w:w="1373"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完成年月</w:t>
            </w:r>
          </w:p>
        </w:tc>
        <w:tc>
          <w:tcPr>
            <w:tcW w:w="2172" w:type="dxa"/>
            <w:vAlign w:val="center"/>
          </w:tcPr>
          <w:p>
            <w:pPr>
              <w:spacing w:line="360" w:lineRule="exact"/>
              <w:ind w:left="-163" w:leftChars="-78" w:right="-39" w:rightChars="-19"/>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18" w:type="dxa"/>
            <w:vMerge w:val="continue"/>
            <w:vAlign w:val="center"/>
          </w:tcPr>
          <w:p>
            <w:pPr>
              <w:spacing w:line="360" w:lineRule="exact"/>
              <w:rPr>
                <w:rFonts w:ascii="宋体" w:hAnsi="宋体" w:cs="宋体"/>
                <w:color w:val="000000" w:themeColor="text1"/>
                <w14:textFill>
                  <w14:solidFill>
                    <w14:schemeClr w14:val="tx1"/>
                  </w14:solidFill>
                </w14:textFill>
              </w:rPr>
            </w:pPr>
          </w:p>
        </w:tc>
        <w:tc>
          <w:tcPr>
            <w:tcW w:w="668" w:type="dxa"/>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2520" w:type="dxa"/>
            <w:gridSpan w:val="3"/>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8" w:type="dxa"/>
            <w:vMerge w:val="continue"/>
            <w:vAlign w:val="center"/>
          </w:tcPr>
          <w:p>
            <w:pPr>
              <w:spacing w:line="360" w:lineRule="exact"/>
              <w:rPr>
                <w:rFonts w:ascii="宋体" w:hAnsi="宋体" w:cs="宋体"/>
                <w:color w:val="000000" w:themeColor="text1"/>
                <w14:textFill>
                  <w14:solidFill>
                    <w14:schemeClr w14:val="tx1"/>
                  </w14:solidFill>
                </w14:textFill>
              </w:rPr>
            </w:pPr>
          </w:p>
        </w:tc>
        <w:tc>
          <w:tcPr>
            <w:tcW w:w="668" w:type="dxa"/>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520" w:type="dxa"/>
            <w:gridSpan w:val="3"/>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18" w:type="dxa"/>
            <w:vMerge w:val="continue"/>
            <w:vAlign w:val="center"/>
          </w:tcPr>
          <w:p>
            <w:pPr>
              <w:spacing w:line="360" w:lineRule="exact"/>
              <w:rPr>
                <w:rFonts w:ascii="宋体" w:hAnsi="宋体" w:cs="宋体"/>
                <w:color w:val="000000" w:themeColor="text1"/>
                <w14:textFill>
                  <w14:solidFill>
                    <w14:schemeClr w14:val="tx1"/>
                  </w14:solidFill>
                </w14:textFill>
              </w:rPr>
            </w:pPr>
          </w:p>
        </w:tc>
        <w:tc>
          <w:tcPr>
            <w:tcW w:w="668" w:type="dxa"/>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2520" w:type="dxa"/>
            <w:gridSpan w:val="3"/>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018" w:type="dxa"/>
            <w:vMerge w:val="continue"/>
            <w:vAlign w:val="center"/>
          </w:tcPr>
          <w:p>
            <w:pPr>
              <w:spacing w:line="360" w:lineRule="exact"/>
              <w:rPr>
                <w:rFonts w:ascii="宋体" w:hAnsi="宋体" w:cs="宋体"/>
                <w:color w:val="000000" w:themeColor="text1"/>
                <w14:textFill>
                  <w14:solidFill>
                    <w14:schemeClr w14:val="tx1"/>
                  </w14:solidFill>
                </w14:textFill>
              </w:rPr>
            </w:pPr>
          </w:p>
        </w:tc>
        <w:tc>
          <w:tcPr>
            <w:tcW w:w="668" w:type="dxa"/>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2520" w:type="dxa"/>
            <w:gridSpan w:val="3"/>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018" w:type="dxa"/>
            <w:vMerge w:val="continue"/>
            <w:vAlign w:val="center"/>
          </w:tcPr>
          <w:p>
            <w:pPr>
              <w:spacing w:line="360" w:lineRule="exact"/>
              <w:rPr>
                <w:rFonts w:ascii="宋体" w:hAnsi="宋体" w:cs="宋体"/>
                <w:color w:val="000000" w:themeColor="text1"/>
                <w14:textFill>
                  <w14:solidFill>
                    <w14:schemeClr w14:val="tx1"/>
                  </w14:solidFill>
                </w14:textFill>
              </w:rPr>
            </w:pPr>
          </w:p>
        </w:tc>
        <w:tc>
          <w:tcPr>
            <w:tcW w:w="668" w:type="dxa"/>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2520" w:type="dxa"/>
            <w:gridSpan w:val="3"/>
            <w:vAlign w:val="center"/>
          </w:tcPr>
          <w:p>
            <w:pPr>
              <w:spacing w:line="360" w:lineRule="exact"/>
              <w:rPr>
                <w:rFonts w:ascii="宋体" w:hAnsi="宋体" w:cs="宋体"/>
                <w:color w:val="000000" w:themeColor="text1"/>
                <w14:textFill>
                  <w14:solidFill>
                    <w14:schemeClr w14:val="tx1"/>
                  </w14:solidFill>
                </w14:textFill>
              </w:rPr>
            </w:pPr>
          </w:p>
        </w:tc>
        <w:tc>
          <w:tcPr>
            <w:tcW w:w="1373" w:type="dxa"/>
            <w:vAlign w:val="center"/>
          </w:tcPr>
          <w:p>
            <w:pPr>
              <w:spacing w:line="360" w:lineRule="exact"/>
              <w:rPr>
                <w:rFonts w:ascii="宋体" w:hAnsi="宋体" w:cs="宋体"/>
                <w:color w:val="000000" w:themeColor="text1"/>
                <w14:textFill>
                  <w14:solidFill>
                    <w14:schemeClr w14:val="tx1"/>
                  </w14:solidFill>
                </w14:textFill>
              </w:rPr>
            </w:pPr>
          </w:p>
        </w:tc>
        <w:tc>
          <w:tcPr>
            <w:tcW w:w="2172" w:type="dxa"/>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2018" w:type="dxa"/>
            <w:vAlign w:val="center"/>
          </w:tcPr>
          <w:p>
            <w:pPr>
              <w:spacing w:line="360" w:lineRule="exact"/>
              <w:ind w:left="-63" w:leftChars="-30" w:right="-111" w:rightChars="-53"/>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本人主要获奖情况</w:t>
            </w:r>
          </w:p>
        </w:tc>
        <w:tc>
          <w:tcPr>
            <w:tcW w:w="6733" w:type="dxa"/>
            <w:gridSpan w:val="6"/>
            <w:vAlign w:val="center"/>
          </w:tcPr>
          <w:p>
            <w:pPr>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2018" w:type="dxa"/>
            <w:vAlign w:val="center"/>
          </w:tcPr>
          <w:p>
            <w:pPr>
              <w:spacing w:line="360" w:lineRule="exact"/>
              <w:rPr>
                <w:rFonts w:ascii="宋体" w:hAnsi="宋体" w:cs="宋体"/>
                <w:color w:val="000000" w:themeColor="text1"/>
                <w:spacing w:val="-14"/>
                <w14:textFill>
                  <w14:solidFill>
                    <w14:schemeClr w14:val="tx1"/>
                  </w14:solidFill>
                </w14:textFill>
              </w:rPr>
            </w:pPr>
            <w:r>
              <w:rPr>
                <w:rFonts w:hint="eastAsia" w:ascii="宋体" w:hAnsi="宋体" w:cs="宋体"/>
                <w:color w:val="000000" w:themeColor="text1"/>
                <w:spacing w:val="-14"/>
                <w14:textFill>
                  <w14:solidFill>
                    <w14:schemeClr w14:val="tx1"/>
                  </w14:solidFill>
                </w14:textFill>
              </w:rPr>
              <w:t>其他需补充的情况</w:t>
            </w:r>
          </w:p>
        </w:tc>
        <w:tc>
          <w:tcPr>
            <w:tcW w:w="6733" w:type="dxa"/>
            <w:gridSpan w:val="6"/>
            <w:vAlign w:val="center"/>
          </w:tcPr>
          <w:p>
            <w:pPr>
              <w:spacing w:line="360" w:lineRule="exact"/>
              <w:rPr>
                <w:rFonts w:ascii="宋体" w:hAnsi="宋体" w:cs="宋体"/>
                <w:color w:val="000000" w:themeColor="text1"/>
                <w14:textFill>
                  <w14:solidFill>
                    <w14:schemeClr w14:val="tx1"/>
                  </w14:solidFill>
                </w14:textFill>
              </w:rPr>
            </w:pPr>
          </w:p>
        </w:tc>
      </w:tr>
    </w:tbl>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 (盖单位公章）：</w:t>
      </w: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法定代表人或委托代理人(签字或盖章)：</w:t>
      </w: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日期：年月日</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widowControl/>
        <w:jc w:val="center"/>
        <w:rPr>
          <w:rFonts w:ascii="宋体" w:hAnsi="宋体" w:cs="宋体"/>
          <w:color w:val="000000" w:themeColor="text1"/>
          <w:sz w:val="30"/>
          <w:szCs w:val="30"/>
          <w14:textFill>
            <w14:solidFill>
              <w14:schemeClr w14:val="tx1"/>
            </w14:solidFill>
          </w14:textFill>
        </w:rPr>
      </w:pPr>
    </w:p>
    <w:p>
      <w:pPr>
        <w:widowControl/>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二、投入本项目其他专业设计人员一览表</w:t>
      </w:r>
    </w:p>
    <w:tbl>
      <w:tblPr>
        <w:tblStyle w:val="45"/>
        <w:tblW w:w="90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2493"/>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序号</w:t>
            </w:r>
          </w:p>
        </w:tc>
        <w:tc>
          <w:tcPr>
            <w:tcW w:w="1984" w:type="dxa"/>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姓名</w:t>
            </w:r>
          </w:p>
        </w:tc>
        <w:tc>
          <w:tcPr>
            <w:tcW w:w="2493" w:type="dxa"/>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在本项目中岗位</w:t>
            </w: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职称</w:t>
            </w:r>
          </w:p>
        </w:tc>
        <w:tc>
          <w:tcPr>
            <w:tcW w:w="1812" w:type="dxa"/>
          </w:tcPr>
          <w:p>
            <w:pPr>
              <w:spacing w:line="360" w:lineRule="auto"/>
              <w:rPr>
                <w:rFonts w:ascii="宋体" w:hAnsi="宋体" w:cs="宋体"/>
                <w:color w:val="000000" w:themeColor="text1"/>
                <w:sz w:val="23"/>
                <w:szCs w:val="23"/>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注册资格证书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984"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2493"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984"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2493"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984"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2493"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984"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2493"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984"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2493"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984"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2493"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c>
          <w:tcPr>
            <w:tcW w:w="1812" w:type="dxa"/>
          </w:tcPr>
          <w:p>
            <w:pPr>
              <w:spacing w:line="360" w:lineRule="auto"/>
              <w:jc w:val="center"/>
              <w:rPr>
                <w:rFonts w:ascii="宋体" w:hAnsi="宋体" w:cs="宋体"/>
                <w:color w:val="000000" w:themeColor="text1"/>
                <w:sz w:val="30"/>
                <w:szCs w:val="30"/>
                <w14:textFill>
                  <w14:solidFill>
                    <w14:schemeClr w14:val="tx1"/>
                  </w14:solidFill>
                </w14:textFill>
              </w:rPr>
            </w:pPr>
          </w:p>
        </w:tc>
      </w:tr>
    </w:tbl>
    <w:p>
      <w:pPr>
        <w:spacing w:line="360" w:lineRule="auto"/>
        <w:jc w:val="center"/>
        <w:rPr>
          <w:rFonts w:ascii="宋体" w:hAnsi="宋体" w:cs="宋体"/>
          <w:color w:val="000000" w:themeColor="text1"/>
          <w:sz w:val="30"/>
          <w:szCs w:val="30"/>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 (盖单位公章）：</w:t>
      </w: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法定代表人或委托代理人(签字或盖章)：</w:t>
      </w:r>
    </w:p>
    <w:p>
      <w:pPr>
        <w:spacing w:line="360" w:lineRule="exact"/>
        <w:rPr>
          <w:rFonts w:ascii="宋体" w:hAnsi="宋体" w:cs="宋体"/>
          <w:color w:val="000000" w:themeColor="text1"/>
          <w14:textFill>
            <w14:solidFill>
              <w14:schemeClr w14:val="tx1"/>
            </w14:solidFill>
          </w14:textFill>
        </w:rPr>
      </w:pPr>
    </w:p>
    <w:p>
      <w:pPr>
        <w:spacing w:line="360" w:lineRule="exact"/>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14:textFill>
            <w14:solidFill>
              <w14:schemeClr w14:val="tx1"/>
            </w14:solidFill>
          </w14:textFill>
        </w:rPr>
        <w:t>日期：年月日</w:t>
      </w:r>
      <w:r>
        <w:rPr>
          <w:rFonts w:hint="eastAsia" w:ascii="宋体" w:hAnsi="宋体" w:cs="宋体"/>
          <w:color w:val="000000" w:themeColor="text1"/>
          <w:sz w:val="36"/>
          <w:szCs w:val="36"/>
          <w14:textFill>
            <w14:solidFill>
              <w14:schemeClr w14:val="tx1"/>
            </w14:solidFill>
          </w14:textFill>
        </w:rPr>
        <w:br w:type="page"/>
      </w:r>
      <w:r>
        <w:rPr>
          <w:rFonts w:hint="eastAsia" w:ascii="宋体" w:hAnsi="宋体" w:cs="宋体"/>
          <w:color w:val="000000" w:themeColor="text1"/>
          <w:sz w:val="36"/>
          <w:szCs w:val="36"/>
          <w14:textFill>
            <w14:solidFill>
              <w14:schemeClr w14:val="tx1"/>
            </w14:solidFill>
          </w14:textFill>
        </w:rPr>
        <w:t>第六章评标办法(综合评分法)</w:t>
      </w:r>
      <w:bookmarkEnd w:id="153"/>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根据《中华人民共和国招标投标法》、《工程建设项目勘察设计招标投标办法》及《江苏省招标投标条例》、《评标委员会和评标方法暂行规定》等有关法律法规，本着公平、公正、合理的原则，结合工程实际情况，各投标人满足招标文件中的工期，设计要求及质量标准，并响应招标文件中实质性条款后，对投标人的技术标、商务标内容进行评标（评分保留两位小数）。</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二、开标时，参加开标的授权委托人必</w:t>
      </w:r>
      <w:r>
        <w:rPr>
          <w:rFonts w:hint="eastAsia" w:ascii="宋体" w:hAnsi="宋体" w:cs="宋体"/>
          <w:bCs/>
          <w:color w:val="000000" w:themeColor="text1"/>
          <w:sz w:val="24"/>
          <w:szCs w:val="24"/>
          <w:highlight w:val="none"/>
          <w14:textFill>
            <w14:solidFill>
              <w14:schemeClr w14:val="tx1"/>
            </w14:solidFill>
          </w14:textFill>
        </w:rPr>
        <w:t>须携带本人身份原件和法</w:t>
      </w:r>
      <w:r>
        <w:rPr>
          <w:rFonts w:hint="eastAsia" w:ascii="宋体" w:hAnsi="宋体" w:cs="宋体"/>
          <w:bCs/>
          <w:color w:val="000000" w:themeColor="text1"/>
          <w:sz w:val="24"/>
          <w:szCs w:val="24"/>
          <w14:textFill>
            <w14:solidFill>
              <w14:schemeClr w14:val="tx1"/>
            </w14:solidFill>
          </w14:textFill>
        </w:rPr>
        <w:t>定代理人授权委托书或法定代表人准时到场参加开标会议，否则不予接受其投标文件。</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三、评标时如遇特殊情况，由评标委员会研究决定或处理。处理结果概不向投标人解释。</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四、评标程序</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ascii="宋体" w:hAnsi="宋体" w:cs="宋体"/>
          <w:color w:val="000000"/>
          <w:sz w:val="24"/>
          <w:szCs w:val="24"/>
        </w:rPr>
        <w:t>资格符合性评审→技术标开标、评审→综合标开标、评审→商务标开标、评审→确定中标候选人</w:t>
      </w:r>
      <w:r>
        <w:rPr>
          <w:rFonts w:hint="eastAsia" w:ascii="宋体" w:hAnsi="宋体" w:cs="宋体"/>
          <w:bCs/>
          <w:color w:val="000000" w:themeColor="text1"/>
          <w:sz w:val="24"/>
          <w:szCs w:val="24"/>
          <w14:textFill>
            <w14:solidFill>
              <w14:schemeClr w14:val="tx1"/>
            </w14:solidFill>
          </w14:textFill>
        </w:rPr>
        <w:t>。</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五、投标人资格审查</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（一）由本工程评标委员会根据参加资格审查的投标人递交的资格审查文件，并按照本工程招标文件《资格审查标准》对投标人的资格进行评审。</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（二）资格审查为通过性审查，只有资格条件评审合格的投标人，才可参加技术标、商务标评审。</w:t>
      </w:r>
    </w:p>
    <w:p>
      <w:pPr>
        <w:spacing w:line="44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资格审查标准</w:t>
      </w:r>
    </w:p>
    <w:tbl>
      <w:tblPr>
        <w:tblStyle w:val="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988"/>
        <w:gridCol w:w="3961"/>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44" w:type="dxa"/>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88" w:type="dxa"/>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项目内容</w:t>
            </w:r>
          </w:p>
        </w:tc>
        <w:tc>
          <w:tcPr>
            <w:tcW w:w="3961" w:type="dxa"/>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合格条件</w:t>
            </w:r>
          </w:p>
        </w:tc>
        <w:tc>
          <w:tcPr>
            <w:tcW w:w="3013" w:type="dxa"/>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44" w:type="dxa"/>
            <w:vAlign w:val="center"/>
          </w:tcPr>
          <w:p>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988" w:type="dxa"/>
            <w:vAlign w:val="center"/>
          </w:tcPr>
          <w:p>
            <w:pPr>
              <w:spacing w:line="24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中国大陆境内合法注册的独立企业法人或事业法人</w:t>
            </w:r>
          </w:p>
        </w:tc>
        <w:tc>
          <w:tcPr>
            <w:tcW w:w="3961" w:type="dxa"/>
            <w:vAlign w:val="center"/>
          </w:tcPr>
          <w:p>
            <w:pPr>
              <w:spacing w:line="240" w:lineRule="atLeas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工商行政管理部门颁发的企业法人营业执照或事业单位法人证书</w:t>
            </w:r>
          </w:p>
        </w:tc>
        <w:tc>
          <w:tcPr>
            <w:tcW w:w="3013" w:type="dxa"/>
            <w:vAlign w:val="center"/>
          </w:tcPr>
          <w:p>
            <w:pPr>
              <w:spacing w:line="240" w:lineRule="atLeas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有效的企业法人营业执照或事业</w:t>
            </w:r>
            <w:r>
              <w:rPr>
                <w:rFonts w:hint="eastAsia" w:ascii="宋体" w:hAnsi="宋体" w:cs="宋体"/>
                <w:sz w:val="22"/>
                <w:szCs w:val="22"/>
                <w:highlight w:val="none"/>
              </w:rPr>
              <w:t>单位法人证书（副本）</w:t>
            </w:r>
            <w:r>
              <w:rPr>
                <w:rFonts w:hint="eastAsia" w:ascii="宋体" w:hAnsi="宋体" w:cs="宋体"/>
                <w:szCs w:val="21"/>
                <w:highlight w:val="none"/>
              </w:rPr>
              <w:t>（若为联合体投标，双方均需提供）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44" w:type="dxa"/>
            <w:vAlign w:val="center"/>
          </w:tcPr>
          <w:p>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1988" w:type="dxa"/>
            <w:vAlign w:val="center"/>
          </w:tcPr>
          <w:p>
            <w:pPr>
              <w:spacing w:line="24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企业资质类别等级</w:t>
            </w:r>
          </w:p>
        </w:tc>
        <w:tc>
          <w:tcPr>
            <w:tcW w:w="3961" w:type="dxa"/>
            <w:vAlign w:val="center"/>
          </w:tcPr>
          <w:p>
            <w:pPr>
              <w:pStyle w:val="42"/>
              <w:shd w:val="clear" w:color="auto" w:fill="FFFFFF"/>
              <w:spacing w:before="0" w:beforeAutospacing="0" w:after="0" w:afterAutospacing="0"/>
              <w:rPr>
                <w:color w:val="000000" w:themeColor="text1"/>
                <w:kern w:val="2"/>
                <w:sz w:val="22"/>
                <w:szCs w:val="22"/>
                <w:highlight w:val="none"/>
                <w14:textFill>
                  <w14:solidFill>
                    <w14:schemeClr w14:val="tx1"/>
                  </w14:solidFill>
                </w14:textFill>
              </w:rPr>
            </w:pPr>
            <w:r>
              <w:rPr>
                <w:rFonts w:hint="eastAsia"/>
                <w:color w:val="000000" w:themeColor="text1"/>
                <w:kern w:val="2"/>
                <w:sz w:val="22"/>
                <w:szCs w:val="22"/>
                <w:highlight w:val="none"/>
                <w14:textFill>
                  <w14:solidFill>
                    <w14:schemeClr w14:val="tx1"/>
                  </w14:solidFill>
                </w14:textFill>
              </w:rPr>
              <w:t>具备①或②：</w:t>
            </w:r>
          </w:p>
          <w:p>
            <w:pPr>
              <w:pStyle w:val="42"/>
              <w:shd w:val="clear" w:color="auto" w:fill="FFFFFF"/>
              <w:spacing w:before="0" w:beforeAutospacing="0" w:after="0" w:afterAutospacing="0"/>
              <w:rPr>
                <w:color w:val="000000" w:themeColor="text1"/>
                <w:kern w:val="2"/>
                <w:sz w:val="22"/>
                <w:szCs w:val="22"/>
                <w:highlight w:val="none"/>
                <w14:textFill>
                  <w14:solidFill>
                    <w14:schemeClr w14:val="tx1"/>
                  </w14:solidFill>
                </w14:textFill>
              </w:rPr>
            </w:pPr>
            <w:r>
              <w:rPr>
                <w:rFonts w:hint="eastAsia"/>
                <w:color w:val="000000" w:themeColor="text1"/>
                <w:kern w:val="2"/>
                <w:sz w:val="22"/>
                <w:szCs w:val="22"/>
                <w:highlight w:val="none"/>
                <w14:textFill>
                  <w14:solidFill>
                    <w14:schemeClr w14:val="tx1"/>
                  </w14:solidFill>
                </w14:textFill>
              </w:rPr>
              <w:t>①工程设计综合甲级资质或建筑行业设计乙级及以上资质或建筑行业（建筑工程）专业设计乙级及以上资质；</w:t>
            </w:r>
          </w:p>
          <w:p>
            <w:pPr>
              <w:pStyle w:val="42"/>
              <w:shd w:val="clear" w:color="auto" w:fill="FFFFFF"/>
              <w:spacing w:before="0" w:beforeAutospacing="0" w:after="0" w:afterAutospacing="0"/>
              <w:rPr>
                <w:color w:val="000000" w:themeColor="text1"/>
                <w:sz w:val="22"/>
                <w:highlight w:val="none"/>
                <w14:textFill>
                  <w14:solidFill>
                    <w14:schemeClr w14:val="tx1"/>
                  </w14:solidFill>
                </w14:textFill>
              </w:rPr>
            </w:pPr>
            <w:r>
              <w:rPr>
                <w:rFonts w:hint="eastAsia"/>
                <w:color w:val="000000" w:themeColor="text1"/>
                <w:kern w:val="2"/>
                <w:sz w:val="22"/>
                <w:szCs w:val="22"/>
                <w:highlight w:val="none"/>
                <w14:textFill>
                  <w14:solidFill>
                    <w14:schemeClr w14:val="tx1"/>
                  </w14:solidFill>
                </w14:textFill>
              </w:rPr>
              <w:t>②照明工程设计专项乙级及以上资质。</w:t>
            </w:r>
          </w:p>
        </w:tc>
        <w:tc>
          <w:tcPr>
            <w:tcW w:w="3013" w:type="dxa"/>
            <w:vAlign w:val="center"/>
          </w:tcPr>
          <w:p>
            <w:pPr>
              <w:spacing w:line="240" w:lineRule="atLeas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企业资质证书（副本）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1988" w:type="dxa"/>
            <w:vAlign w:val="center"/>
          </w:tcPr>
          <w:p>
            <w:pPr>
              <w:spacing w:line="24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拟派项目负责人</w:t>
            </w:r>
          </w:p>
        </w:tc>
        <w:tc>
          <w:tcPr>
            <w:tcW w:w="3961" w:type="dxa"/>
            <w:vAlign w:val="center"/>
          </w:tcPr>
          <w:p>
            <w:pPr>
              <w:spacing w:line="240" w:lineRule="atLeas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具备国家一级注册建筑师执业资格（须在注册有效期内且注册单位为所投标单位）或工程类工程师高级及以上技术职称。（如为联合体投标，项目负责人须来自联合体牵头人）；</w:t>
            </w:r>
          </w:p>
        </w:tc>
        <w:tc>
          <w:tcPr>
            <w:tcW w:w="3013" w:type="dxa"/>
            <w:vAlign w:val="center"/>
          </w:tcPr>
          <w:p>
            <w:pPr>
              <w:spacing w:line="24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注册建筑师资格证书或职称证</w:t>
            </w:r>
            <w:r>
              <w:rPr>
                <w:rFonts w:hint="eastAsia" w:ascii="宋体" w:hAnsi="宋体" w:cs="宋体"/>
                <w:b/>
                <w:bCs/>
                <w:color w:val="000000" w:themeColor="text1"/>
                <w:kern w:val="0"/>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44" w:type="dxa"/>
            <w:vAlign w:val="center"/>
          </w:tcPr>
          <w:p>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988" w:type="dxa"/>
            <w:vAlign w:val="center"/>
          </w:tcPr>
          <w:p>
            <w:pPr>
              <w:spacing w:line="240" w:lineRule="atLeast"/>
              <w:jc w:val="center"/>
              <w:rPr>
                <w:rFonts w:ascii="宋体" w:hAnsi="宋体" w:cs="宋体"/>
                <w:snapToGrid w:val="0"/>
                <w:color w:val="000000" w:themeColor="text1"/>
                <w:kern w:val="0"/>
                <w:sz w:val="22"/>
                <w:szCs w:val="22"/>
                <w14:textFill>
                  <w14:solidFill>
                    <w14:schemeClr w14:val="tx1"/>
                  </w14:solidFill>
                </w14:textFill>
              </w:rPr>
            </w:pPr>
            <w:r>
              <w:rPr>
                <w:rFonts w:hint="eastAsia" w:ascii="宋体" w:hAnsi="宋体" w:cs="宋体"/>
                <w:snapToGrid w:val="0"/>
                <w:color w:val="000000" w:themeColor="text1"/>
                <w:kern w:val="0"/>
                <w:sz w:val="22"/>
                <w:szCs w:val="22"/>
                <w14:textFill>
                  <w14:solidFill>
                    <w14:schemeClr w14:val="tx1"/>
                  </w14:solidFill>
                </w14:textFill>
              </w:rPr>
              <w:t>投标人诚信承诺</w:t>
            </w:r>
          </w:p>
        </w:tc>
        <w:tc>
          <w:tcPr>
            <w:tcW w:w="3961" w:type="dxa"/>
            <w:vAlign w:val="center"/>
          </w:tcPr>
          <w:p>
            <w:pPr>
              <w:spacing w:line="240" w:lineRule="atLeast"/>
              <w:rPr>
                <w:rFonts w:ascii="宋体" w:hAnsi="宋体" w:cs="宋体"/>
                <w:color w:val="000000" w:themeColor="text1"/>
                <w:spacing w:val="-6"/>
                <w:sz w:val="22"/>
                <w:szCs w:val="22"/>
                <w14:textFill>
                  <w14:solidFill>
                    <w14:schemeClr w14:val="tx1"/>
                  </w14:solidFill>
                </w14:textFill>
              </w:rPr>
            </w:pPr>
            <w:r>
              <w:rPr>
                <w:rFonts w:hint="eastAsia" w:ascii="宋体" w:hAnsi="宋体" w:cs="宋体"/>
                <w:snapToGrid w:val="0"/>
                <w:color w:val="000000" w:themeColor="text1"/>
                <w:kern w:val="0"/>
                <w:sz w:val="22"/>
                <w:szCs w:val="22"/>
                <w14:textFill>
                  <w14:solidFill>
                    <w14:schemeClr w14:val="tx1"/>
                  </w14:solidFill>
                </w14:textFill>
              </w:rPr>
              <w:t>投标人诚信承诺书</w:t>
            </w:r>
          </w:p>
        </w:tc>
        <w:tc>
          <w:tcPr>
            <w:tcW w:w="3013" w:type="dxa"/>
            <w:vAlign w:val="center"/>
          </w:tcPr>
          <w:p>
            <w:pPr>
              <w:spacing w:line="24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企业法定代表人（</w:t>
            </w:r>
            <w:r>
              <w:rPr>
                <w:rFonts w:hint="eastAsia" w:ascii="宋体" w:hAnsi="宋体" w:cs="宋体"/>
                <w:color w:val="000000" w:themeColor="text1"/>
                <w:sz w:val="22"/>
                <w:szCs w:val="22"/>
                <w14:textFill>
                  <w14:solidFill>
                    <w14:schemeClr w14:val="tx1"/>
                  </w14:solidFill>
                </w14:textFill>
              </w:rPr>
              <w:t>或委托代理人）</w:t>
            </w:r>
            <w:r>
              <w:rPr>
                <w:rFonts w:hint="eastAsia" w:ascii="宋体" w:hAnsi="宋体" w:cs="宋体"/>
                <w:color w:val="000000" w:themeColor="text1"/>
                <w:kern w:val="0"/>
                <w:sz w:val="22"/>
                <w:szCs w:val="22"/>
                <w14:textFill>
                  <w14:solidFill>
                    <w14:schemeClr w14:val="tx1"/>
                  </w14:solidFill>
                </w14:textFill>
              </w:rPr>
              <w:t>签名（或盖章）并加盖单位公章的承诺书（格式详见招标文件第三章）。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44" w:type="dxa"/>
            <w:vAlign w:val="center"/>
          </w:tcPr>
          <w:p>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988" w:type="dxa"/>
            <w:vAlign w:val="center"/>
          </w:tcPr>
          <w:p>
            <w:pPr>
              <w:spacing w:line="240" w:lineRule="atLeast"/>
              <w:jc w:val="center"/>
              <w:rPr>
                <w:rFonts w:ascii="宋体" w:hAnsi="宋体" w:cs="宋体"/>
                <w:snapToGrid w:val="0"/>
                <w:color w:val="000000" w:themeColor="text1"/>
                <w:kern w:val="0"/>
                <w:sz w:val="22"/>
                <w:szCs w:val="22"/>
                <w14:textFill>
                  <w14:solidFill>
                    <w14:schemeClr w14:val="tx1"/>
                  </w14:solidFill>
                </w14:textFill>
              </w:rPr>
            </w:pPr>
            <w:r>
              <w:rPr>
                <w:rFonts w:hint="eastAsia" w:ascii="宋体" w:hAnsi="宋体" w:cs="宋体"/>
                <w:snapToGrid w:val="0"/>
                <w:color w:val="000000" w:themeColor="text1"/>
                <w:kern w:val="0"/>
                <w:sz w:val="22"/>
                <w:szCs w:val="22"/>
                <w14:textFill>
                  <w14:solidFill>
                    <w14:schemeClr w14:val="tx1"/>
                  </w14:solidFill>
                </w14:textFill>
              </w:rPr>
              <w:t>投标人服务承诺</w:t>
            </w:r>
          </w:p>
        </w:tc>
        <w:tc>
          <w:tcPr>
            <w:tcW w:w="3961" w:type="dxa"/>
            <w:vAlign w:val="center"/>
          </w:tcPr>
          <w:p>
            <w:pPr>
              <w:spacing w:line="240" w:lineRule="atLeast"/>
              <w:rPr>
                <w:rFonts w:ascii="宋体" w:hAnsi="宋体" w:cs="宋体"/>
                <w:snapToGrid w:val="0"/>
                <w:color w:val="000000" w:themeColor="text1"/>
                <w:kern w:val="0"/>
                <w:sz w:val="22"/>
                <w:szCs w:val="22"/>
                <w14:textFill>
                  <w14:solidFill>
                    <w14:schemeClr w14:val="tx1"/>
                  </w14:solidFill>
                </w14:textFill>
              </w:rPr>
            </w:pPr>
            <w:r>
              <w:rPr>
                <w:rFonts w:hint="eastAsia" w:ascii="宋体" w:hAnsi="宋体" w:cs="宋体"/>
                <w:snapToGrid w:val="0"/>
                <w:color w:val="000000" w:themeColor="text1"/>
                <w:kern w:val="0"/>
                <w:sz w:val="22"/>
                <w:szCs w:val="22"/>
                <w14:textFill>
                  <w14:solidFill>
                    <w14:schemeClr w14:val="tx1"/>
                  </w14:solidFill>
                </w14:textFill>
              </w:rPr>
              <w:t>投标人服务承诺书</w:t>
            </w:r>
          </w:p>
        </w:tc>
        <w:tc>
          <w:tcPr>
            <w:tcW w:w="3013" w:type="dxa"/>
            <w:vAlign w:val="center"/>
          </w:tcPr>
          <w:p>
            <w:pPr>
              <w:spacing w:line="240" w:lineRule="atLeas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企业法定代表人（</w:t>
            </w:r>
            <w:r>
              <w:rPr>
                <w:rFonts w:hint="eastAsia" w:ascii="宋体" w:hAnsi="宋体" w:cs="宋体"/>
                <w:color w:val="000000" w:themeColor="text1"/>
                <w:sz w:val="22"/>
                <w:szCs w:val="22"/>
                <w14:textFill>
                  <w14:solidFill>
                    <w14:schemeClr w14:val="tx1"/>
                  </w14:solidFill>
                </w14:textFill>
              </w:rPr>
              <w:t>或委托代理人）</w:t>
            </w:r>
            <w:r>
              <w:rPr>
                <w:rFonts w:hint="eastAsia" w:ascii="宋体" w:hAnsi="宋体" w:cs="宋体"/>
                <w:color w:val="000000" w:themeColor="text1"/>
                <w:kern w:val="0"/>
                <w:sz w:val="22"/>
                <w:szCs w:val="22"/>
                <w14:textFill>
                  <w14:solidFill>
                    <w14:schemeClr w14:val="tx1"/>
                  </w14:solidFill>
                </w14:textFill>
              </w:rPr>
              <w:t>签名（或盖章）并加盖单位公章的承诺书（格式详见招标文件第三章）。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44" w:type="dxa"/>
            <w:vAlign w:val="center"/>
          </w:tcPr>
          <w:p>
            <w:pPr>
              <w:spacing w:line="240" w:lineRule="atLeast"/>
              <w:jc w:val="center"/>
              <w:rPr>
                <w:rFonts w:ascii="宋体" w:hAnsi="宋体" w:cs="宋体"/>
                <w:sz w:val="22"/>
                <w:szCs w:val="22"/>
              </w:rPr>
            </w:pPr>
            <w:r>
              <w:rPr>
                <w:rFonts w:hint="eastAsia" w:ascii="宋体" w:hAnsi="宋体" w:cs="宋体"/>
                <w:sz w:val="22"/>
                <w:szCs w:val="22"/>
              </w:rPr>
              <w:t>6</w:t>
            </w:r>
          </w:p>
        </w:tc>
        <w:tc>
          <w:tcPr>
            <w:tcW w:w="1988" w:type="dxa"/>
            <w:vAlign w:val="center"/>
          </w:tcPr>
          <w:p>
            <w:pPr>
              <w:spacing w:line="240" w:lineRule="atLeast"/>
              <w:rPr>
                <w:rFonts w:ascii="宋体" w:hAnsi="宋体" w:cs="宋体"/>
                <w:snapToGrid w:val="0"/>
                <w:kern w:val="0"/>
                <w:sz w:val="22"/>
                <w:szCs w:val="22"/>
              </w:rPr>
            </w:pPr>
            <w:r>
              <w:rPr>
                <w:rFonts w:hint="eastAsia" w:ascii="宋体" w:hAnsi="宋体" w:cs="宋体"/>
                <w:snapToGrid w:val="0"/>
                <w:kern w:val="0"/>
                <w:sz w:val="22"/>
                <w:szCs w:val="22"/>
              </w:rPr>
              <w:t>联合体协议书</w:t>
            </w:r>
          </w:p>
        </w:tc>
        <w:tc>
          <w:tcPr>
            <w:tcW w:w="3961" w:type="dxa"/>
            <w:vAlign w:val="center"/>
          </w:tcPr>
          <w:p>
            <w:pPr>
              <w:spacing w:line="240" w:lineRule="atLeast"/>
              <w:rPr>
                <w:rFonts w:ascii="宋体" w:hAnsi="宋体" w:cs="宋体"/>
                <w:snapToGrid w:val="0"/>
                <w:kern w:val="0"/>
                <w:sz w:val="22"/>
                <w:szCs w:val="22"/>
              </w:rPr>
            </w:pPr>
            <w:r>
              <w:rPr>
                <w:rFonts w:hint="eastAsia" w:ascii="宋体" w:hAnsi="宋体" w:cs="宋体"/>
                <w:snapToGrid w:val="0"/>
                <w:kern w:val="0"/>
                <w:sz w:val="22"/>
                <w:szCs w:val="22"/>
              </w:rPr>
              <w:t>联合体协议书（如为联合体投标需提供）</w:t>
            </w:r>
          </w:p>
        </w:tc>
        <w:tc>
          <w:tcPr>
            <w:tcW w:w="3013" w:type="dxa"/>
            <w:vAlign w:val="center"/>
          </w:tcPr>
          <w:p>
            <w:pPr>
              <w:spacing w:line="240" w:lineRule="atLeast"/>
              <w:rPr>
                <w:rFonts w:ascii="宋体" w:hAnsi="宋体" w:cs="宋体"/>
                <w:kern w:val="0"/>
                <w:sz w:val="22"/>
                <w:szCs w:val="22"/>
              </w:rPr>
            </w:pPr>
            <w:r>
              <w:rPr>
                <w:rFonts w:hint="eastAsia" w:ascii="宋体" w:hAnsi="宋体" w:cs="宋体"/>
                <w:snapToGrid w:val="0"/>
                <w:kern w:val="0"/>
                <w:sz w:val="22"/>
                <w:szCs w:val="22"/>
              </w:rPr>
              <w:t>格式详见第五章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44" w:type="dxa"/>
            <w:vAlign w:val="center"/>
          </w:tcPr>
          <w:p>
            <w:pPr>
              <w:spacing w:line="240" w:lineRule="atLeas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988" w:type="dxa"/>
            <w:vAlign w:val="center"/>
          </w:tcPr>
          <w:p>
            <w:pPr>
              <w:spacing w:line="240" w:lineRule="atLeast"/>
              <w:rPr>
                <w:rFonts w:ascii="宋体" w:hAnsi="宋体" w:cs="宋体"/>
                <w:color w:val="000000" w:themeColor="text1"/>
                <w:sz w:val="22"/>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资格审查文件表格</w:t>
            </w:r>
          </w:p>
        </w:tc>
        <w:tc>
          <w:tcPr>
            <w:tcW w:w="3961" w:type="dxa"/>
            <w:vAlign w:val="center"/>
          </w:tcPr>
          <w:p>
            <w:pPr>
              <w:spacing w:line="240" w:lineRule="atLeast"/>
              <w:rPr>
                <w:rFonts w:ascii="宋体" w:hAnsi="宋体" w:cs="宋体"/>
                <w:color w:val="000000" w:themeColor="text1"/>
                <w:sz w:val="22"/>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资格审查文件表格</w:t>
            </w:r>
          </w:p>
        </w:tc>
        <w:tc>
          <w:tcPr>
            <w:tcW w:w="3013" w:type="dxa"/>
            <w:vAlign w:val="center"/>
          </w:tcPr>
          <w:p>
            <w:pPr>
              <w:spacing w:line="240" w:lineRule="atLeas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格式详见第五章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06" w:type="dxa"/>
            <w:gridSpan w:val="4"/>
            <w:vAlign w:val="center"/>
          </w:tcPr>
          <w:p>
            <w:pPr>
              <w:spacing w:line="360" w:lineRule="exact"/>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pacing w:val="-6"/>
                <w:sz w:val="22"/>
                <w:szCs w:val="22"/>
                <w14:textFill>
                  <w14:solidFill>
                    <w14:schemeClr w14:val="tx1"/>
                  </w14:solidFill>
                </w14:textFill>
              </w:rPr>
              <w:t>备注：</w:t>
            </w:r>
          </w:p>
          <w:p>
            <w:pPr>
              <w:spacing w:line="320" w:lineRule="exact"/>
              <w:rPr>
                <w:rFonts w:ascii="宋体" w:hAnsi="宋体" w:cs="宋体"/>
                <w:b/>
                <w:bCs/>
                <w:color w:val="000000" w:themeColor="text1"/>
                <w:spacing w:val="-6"/>
                <w:sz w:val="22"/>
                <w:szCs w:val="22"/>
                <w14:textFill>
                  <w14:solidFill>
                    <w14:schemeClr w14:val="tx1"/>
                  </w14:solidFill>
                </w14:textFill>
              </w:rPr>
            </w:pPr>
            <w:r>
              <w:rPr>
                <w:rFonts w:hint="eastAsia" w:ascii="宋体" w:hAnsi="宋体" w:cs="宋体"/>
                <w:b/>
                <w:bCs/>
                <w:color w:val="000000" w:themeColor="text1"/>
                <w:spacing w:val="-6"/>
                <w:sz w:val="22"/>
                <w:szCs w:val="22"/>
                <w14:textFill>
                  <w14:solidFill>
                    <w14:schemeClr w14:val="tx1"/>
                  </w14:solidFill>
                </w14:textFill>
              </w:rPr>
              <w:t>①</w:t>
            </w:r>
            <w:r>
              <w:rPr>
                <w:rFonts w:hint="eastAsia" w:ascii="宋体" w:hAnsi="宋体" w:cs="宋体"/>
                <w:b/>
                <w:bCs/>
                <w:color w:val="000000" w:themeColor="text1"/>
                <w:spacing w:val="-6"/>
                <w:sz w:val="22"/>
                <w:szCs w:val="22"/>
                <w:lang w:eastAsia="zh-CN"/>
                <w14:textFill>
                  <w14:solidFill>
                    <w14:schemeClr w14:val="tx1"/>
                  </w14:solidFill>
                </w14:textFill>
              </w:rPr>
              <w:t>上</w:t>
            </w:r>
            <w:r>
              <w:rPr>
                <w:rFonts w:hint="eastAsia" w:ascii="宋体" w:hAnsi="宋体" w:cs="宋体"/>
                <w:b/>
                <w:bCs/>
                <w:color w:val="000000" w:themeColor="text1"/>
                <w:spacing w:val="-6"/>
                <w:sz w:val="22"/>
                <w:szCs w:val="22"/>
                <w14:textFill>
                  <w14:solidFill>
                    <w14:schemeClr w14:val="tx1"/>
                  </w14:solidFill>
                </w14:textFill>
              </w:rPr>
              <w:t>述1-</w:t>
            </w:r>
            <w:r>
              <w:rPr>
                <w:rFonts w:hint="eastAsia" w:ascii="宋体" w:hAnsi="宋体" w:cs="宋体"/>
                <w:b/>
                <w:bCs/>
                <w:color w:val="000000" w:themeColor="text1"/>
                <w:spacing w:val="-6"/>
                <w:sz w:val="22"/>
                <w:szCs w:val="22"/>
                <w:lang w:val="en-US" w:eastAsia="zh-CN"/>
                <w14:textFill>
                  <w14:solidFill>
                    <w14:schemeClr w14:val="tx1"/>
                  </w14:solidFill>
                </w14:textFill>
              </w:rPr>
              <w:t>3</w:t>
            </w:r>
            <w:r>
              <w:rPr>
                <w:rFonts w:hint="eastAsia" w:ascii="宋体" w:hAnsi="宋体" w:cs="宋体"/>
                <w:b/>
                <w:bCs/>
                <w:color w:val="000000" w:themeColor="text1"/>
                <w:spacing w:val="-6"/>
                <w:sz w:val="22"/>
                <w:szCs w:val="22"/>
                <w14:textFill>
                  <w14:solidFill>
                    <w14:schemeClr w14:val="tx1"/>
                  </w14:solidFill>
                </w14:textFill>
              </w:rPr>
              <w:t>项须提供复印件，并在复印件上加盖单位公章；否则，资格审查不通过。</w:t>
            </w:r>
          </w:p>
          <w:p>
            <w:pPr>
              <w:spacing w:line="320" w:lineRule="exact"/>
              <w:rPr>
                <w:rFonts w:ascii="宋体" w:hAnsi="宋体" w:cs="宋体"/>
                <w:b/>
                <w:bCs/>
                <w:color w:val="000000" w:themeColor="text1"/>
                <w:spacing w:val="-6"/>
                <w:sz w:val="22"/>
                <w:szCs w:val="22"/>
                <w14:textFill>
                  <w14:solidFill>
                    <w14:schemeClr w14:val="tx1"/>
                  </w14:solidFill>
                </w14:textFill>
              </w:rPr>
            </w:pPr>
            <w:r>
              <w:rPr>
                <w:rFonts w:hint="eastAsia" w:ascii="宋体" w:hAnsi="宋体" w:cs="宋体"/>
                <w:b/>
                <w:bCs/>
                <w:color w:val="000000" w:themeColor="text1"/>
                <w:spacing w:val="-6"/>
                <w:sz w:val="22"/>
                <w:szCs w:val="22"/>
                <w14:textFill>
                  <w14:solidFill>
                    <w14:schemeClr w14:val="tx1"/>
                  </w14:solidFill>
                </w14:textFill>
              </w:rPr>
              <w:t>②如法人名称和法人代表姓名发生变化，请提供相关证明；证书如遇年检，请提供相关证明。否则，资格审查不通过。</w:t>
            </w:r>
          </w:p>
        </w:tc>
      </w:tr>
    </w:tbl>
    <w:p>
      <w:pPr>
        <w:spacing w:before="185"/>
        <w:ind w:firstLine="480" w:firstLineChars="200"/>
        <w:jc w:val="left"/>
        <w:rPr>
          <w:b/>
          <w:sz w:val="24"/>
          <w:szCs w:val="24"/>
        </w:rPr>
      </w:pPr>
      <w:r>
        <w:rPr>
          <w:rFonts w:hint="eastAsia"/>
          <w:b/>
          <w:sz w:val="24"/>
          <w:szCs w:val="24"/>
        </w:rPr>
        <w:t>六、技术标评审（50分、暗标）</w:t>
      </w:r>
    </w:p>
    <w:tbl>
      <w:tblPr>
        <w:tblStyle w:val="45"/>
        <w:tblW w:w="9379" w:type="dxa"/>
        <w:tblInd w:w="98" w:type="dxa"/>
        <w:tblLayout w:type="fixed"/>
        <w:tblCellMar>
          <w:top w:w="0" w:type="dxa"/>
          <w:left w:w="108" w:type="dxa"/>
          <w:bottom w:w="0" w:type="dxa"/>
          <w:right w:w="108" w:type="dxa"/>
        </w:tblCellMar>
      </w:tblPr>
      <w:tblGrid>
        <w:gridCol w:w="715"/>
        <w:gridCol w:w="2185"/>
        <w:gridCol w:w="5590"/>
        <w:gridCol w:w="889"/>
      </w:tblGrid>
      <w:tr>
        <w:tblPrEx>
          <w:tblCellMar>
            <w:top w:w="0" w:type="dxa"/>
            <w:left w:w="108" w:type="dxa"/>
            <w:bottom w:w="0" w:type="dxa"/>
            <w:right w:w="108" w:type="dxa"/>
          </w:tblCellMar>
        </w:tblPrEx>
        <w:trPr>
          <w:trHeight w:val="6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评分因素</w:t>
            </w:r>
          </w:p>
        </w:tc>
        <w:tc>
          <w:tcPr>
            <w:tcW w:w="5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评分标准</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分值</w:t>
            </w:r>
          </w:p>
        </w:tc>
      </w:tr>
      <w:tr>
        <w:tblPrEx>
          <w:tblCellMar>
            <w:top w:w="0" w:type="dxa"/>
            <w:left w:w="108" w:type="dxa"/>
            <w:bottom w:w="0" w:type="dxa"/>
            <w:right w:w="108" w:type="dxa"/>
          </w:tblCellMar>
        </w:tblPrEx>
        <w:trPr>
          <w:trHeight w:val="1190" w:hRule="atLeast"/>
        </w:trPr>
        <w:tc>
          <w:tcPr>
            <w:tcW w:w="71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218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工作任务解读</w:t>
            </w:r>
          </w:p>
        </w:tc>
        <w:tc>
          <w:tcPr>
            <w:tcW w:w="559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评委根据投标人对本项目工作任务的理解等内容进行评分。</w:t>
            </w:r>
          </w:p>
          <w:p>
            <w:pPr>
              <w:rPr>
                <w:rFonts w:ascii="仿宋" w:hAnsi="仿宋" w:eastAsia="仿宋" w:cs="仿宋"/>
                <w:sz w:val="24"/>
                <w:szCs w:val="24"/>
              </w:rPr>
            </w:pPr>
            <w:r>
              <w:rPr>
                <w:rFonts w:hint="eastAsia" w:ascii="仿宋" w:hAnsi="仿宋" w:eastAsia="仿宋" w:cs="仿宋"/>
                <w:sz w:val="24"/>
                <w:szCs w:val="24"/>
              </w:rPr>
              <w:t>非常科学、合理的得3-4分；</w:t>
            </w:r>
          </w:p>
          <w:p>
            <w:pPr>
              <w:rPr>
                <w:rFonts w:ascii="仿宋" w:hAnsi="仿宋" w:eastAsia="仿宋" w:cs="仿宋"/>
                <w:sz w:val="24"/>
                <w:szCs w:val="24"/>
              </w:rPr>
            </w:pPr>
            <w:r>
              <w:rPr>
                <w:rFonts w:hint="eastAsia" w:ascii="仿宋" w:hAnsi="仿宋" w:eastAsia="仿宋" w:cs="仿宋"/>
                <w:sz w:val="24"/>
                <w:szCs w:val="24"/>
              </w:rPr>
              <w:t>一般科学、合理的得1-2分；</w:t>
            </w:r>
          </w:p>
          <w:p>
            <w:pPr>
              <w:rPr>
                <w:rFonts w:ascii="仿宋" w:hAnsi="仿宋" w:eastAsia="仿宋" w:cs="仿宋"/>
                <w:sz w:val="24"/>
                <w:szCs w:val="24"/>
              </w:rPr>
            </w:pPr>
            <w:r>
              <w:rPr>
                <w:rFonts w:hint="eastAsia" w:ascii="仿宋" w:hAnsi="仿宋" w:eastAsia="仿宋" w:cs="仿宋"/>
                <w:sz w:val="24"/>
                <w:szCs w:val="24"/>
              </w:rPr>
              <w:t>无或不合理的不得分。</w:t>
            </w: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4</w:t>
            </w:r>
          </w:p>
        </w:tc>
      </w:tr>
      <w:tr>
        <w:tblPrEx>
          <w:tblCellMar>
            <w:top w:w="0" w:type="dxa"/>
            <w:left w:w="108" w:type="dxa"/>
            <w:bottom w:w="0" w:type="dxa"/>
            <w:right w:w="108" w:type="dxa"/>
          </w:tblCellMar>
        </w:tblPrEx>
        <w:trPr>
          <w:trHeight w:val="82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建筑立面设计方法</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评委根据投标人针对本项目建筑立面设计方法进行评分。</w:t>
            </w:r>
          </w:p>
          <w:p>
            <w:pPr>
              <w:rPr>
                <w:rFonts w:ascii="仿宋" w:hAnsi="仿宋" w:eastAsia="仿宋" w:cs="仿宋"/>
                <w:sz w:val="24"/>
                <w:szCs w:val="24"/>
              </w:rPr>
            </w:pPr>
            <w:r>
              <w:rPr>
                <w:rFonts w:hint="eastAsia" w:ascii="仿宋" w:hAnsi="仿宋" w:eastAsia="仿宋" w:cs="仿宋"/>
                <w:sz w:val="24"/>
                <w:szCs w:val="24"/>
              </w:rPr>
              <w:t>设计具有创意、非常合理得10-15分；</w:t>
            </w:r>
          </w:p>
          <w:p>
            <w:pPr>
              <w:rPr>
                <w:rFonts w:ascii="仿宋" w:hAnsi="仿宋" w:eastAsia="仿宋" w:cs="仿宋"/>
                <w:sz w:val="24"/>
                <w:szCs w:val="24"/>
              </w:rPr>
            </w:pPr>
            <w:r>
              <w:rPr>
                <w:rFonts w:hint="eastAsia" w:ascii="仿宋" w:hAnsi="仿宋" w:eastAsia="仿宋" w:cs="仿宋"/>
                <w:sz w:val="24"/>
                <w:szCs w:val="24"/>
              </w:rPr>
              <w:t>设计较合理的得4-9分；</w:t>
            </w:r>
          </w:p>
          <w:p>
            <w:pPr>
              <w:rPr>
                <w:rFonts w:ascii="仿宋" w:hAnsi="仿宋" w:eastAsia="仿宋" w:cs="仿宋"/>
                <w:sz w:val="24"/>
                <w:szCs w:val="24"/>
              </w:rPr>
            </w:pPr>
            <w:r>
              <w:rPr>
                <w:rFonts w:hint="eastAsia" w:ascii="仿宋" w:hAnsi="仿宋" w:eastAsia="仿宋" w:cs="仿宋"/>
                <w:sz w:val="24"/>
                <w:szCs w:val="24"/>
              </w:rPr>
              <w:t>一般的得1-3分，无或不合理的不得分。</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15</w:t>
            </w:r>
          </w:p>
        </w:tc>
      </w:tr>
      <w:tr>
        <w:tblPrEx>
          <w:tblCellMar>
            <w:top w:w="0" w:type="dxa"/>
            <w:left w:w="108" w:type="dxa"/>
            <w:bottom w:w="0" w:type="dxa"/>
            <w:right w:w="108" w:type="dxa"/>
          </w:tblCellMar>
        </w:tblPrEx>
        <w:trPr>
          <w:trHeight w:val="971"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夜景照明设计方法</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评委根据投标人针对本项目夜景照明设计方法进行评分。</w:t>
            </w:r>
          </w:p>
          <w:p>
            <w:pPr>
              <w:rPr>
                <w:rFonts w:ascii="仿宋" w:hAnsi="仿宋" w:eastAsia="仿宋" w:cs="仿宋"/>
                <w:sz w:val="24"/>
                <w:szCs w:val="24"/>
              </w:rPr>
            </w:pPr>
            <w:r>
              <w:rPr>
                <w:rFonts w:hint="eastAsia" w:ascii="仿宋" w:hAnsi="仿宋" w:eastAsia="仿宋" w:cs="仿宋"/>
                <w:sz w:val="24"/>
                <w:szCs w:val="24"/>
              </w:rPr>
              <w:t>设计具有创意、非常合理得10-15分；</w:t>
            </w:r>
          </w:p>
          <w:p>
            <w:pPr>
              <w:rPr>
                <w:rFonts w:ascii="仿宋" w:hAnsi="仿宋" w:eastAsia="仿宋" w:cs="仿宋"/>
                <w:sz w:val="24"/>
                <w:szCs w:val="24"/>
              </w:rPr>
            </w:pPr>
            <w:r>
              <w:rPr>
                <w:rFonts w:hint="eastAsia" w:ascii="仿宋" w:hAnsi="仿宋" w:eastAsia="仿宋" w:cs="仿宋"/>
                <w:sz w:val="24"/>
                <w:szCs w:val="24"/>
              </w:rPr>
              <w:t>设计较合理的得4-9分；</w:t>
            </w:r>
          </w:p>
          <w:p>
            <w:pPr>
              <w:rPr>
                <w:rFonts w:ascii="仿宋" w:hAnsi="仿宋" w:eastAsia="仿宋" w:cs="仿宋"/>
                <w:sz w:val="24"/>
                <w:szCs w:val="24"/>
              </w:rPr>
            </w:pPr>
            <w:r>
              <w:rPr>
                <w:rFonts w:hint="eastAsia" w:ascii="仿宋" w:hAnsi="仿宋" w:eastAsia="仿宋" w:cs="仿宋"/>
                <w:sz w:val="24"/>
                <w:szCs w:val="24"/>
              </w:rPr>
              <w:t>一般的得1-3分，无或不合理的不得分。</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15</w:t>
            </w:r>
          </w:p>
        </w:tc>
      </w:tr>
      <w:tr>
        <w:tblPrEx>
          <w:tblCellMar>
            <w:top w:w="0" w:type="dxa"/>
            <w:left w:w="108" w:type="dxa"/>
            <w:bottom w:w="0" w:type="dxa"/>
            <w:right w:w="108" w:type="dxa"/>
          </w:tblCellMar>
        </w:tblPrEx>
        <w:trPr>
          <w:trHeight w:val="1531"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店招店牌设计方法</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评委根据投标人针对本项目店招店牌设计方法进行评分。</w:t>
            </w:r>
          </w:p>
          <w:p>
            <w:pPr>
              <w:rPr>
                <w:rFonts w:ascii="仿宋" w:hAnsi="仿宋" w:eastAsia="仿宋" w:cs="仿宋"/>
                <w:sz w:val="24"/>
                <w:szCs w:val="24"/>
              </w:rPr>
            </w:pPr>
            <w:r>
              <w:rPr>
                <w:rFonts w:hint="eastAsia" w:ascii="仿宋" w:hAnsi="仿宋" w:eastAsia="仿宋" w:cs="仿宋"/>
                <w:sz w:val="24"/>
                <w:szCs w:val="24"/>
              </w:rPr>
              <w:t>设计具有创意、非常合理得7-10分；</w:t>
            </w:r>
          </w:p>
          <w:p>
            <w:pPr>
              <w:rPr>
                <w:rFonts w:ascii="仿宋" w:hAnsi="仿宋" w:eastAsia="仿宋" w:cs="仿宋"/>
                <w:sz w:val="24"/>
                <w:szCs w:val="24"/>
              </w:rPr>
            </w:pPr>
            <w:r>
              <w:rPr>
                <w:rFonts w:hint="eastAsia" w:ascii="仿宋" w:hAnsi="仿宋" w:eastAsia="仿宋" w:cs="仿宋"/>
                <w:sz w:val="24"/>
                <w:szCs w:val="24"/>
              </w:rPr>
              <w:t>设计较合理的得4-6分；</w:t>
            </w:r>
          </w:p>
          <w:p>
            <w:pPr>
              <w:rPr>
                <w:rFonts w:ascii="仿宋" w:hAnsi="仿宋" w:eastAsia="仿宋" w:cs="仿宋"/>
                <w:sz w:val="24"/>
                <w:szCs w:val="24"/>
              </w:rPr>
            </w:pPr>
            <w:r>
              <w:rPr>
                <w:rFonts w:hint="eastAsia" w:ascii="仿宋" w:hAnsi="仿宋" w:eastAsia="仿宋" w:cs="仿宋"/>
                <w:sz w:val="24"/>
                <w:szCs w:val="24"/>
              </w:rPr>
              <w:t>一般的得1-3分，无或不合理的不得分。</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10</w:t>
            </w:r>
          </w:p>
        </w:tc>
      </w:tr>
      <w:tr>
        <w:tblPrEx>
          <w:tblCellMar>
            <w:top w:w="0" w:type="dxa"/>
            <w:left w:w="108" w:type="dxa"/>
            <w:bottom w:w="0" w:type="dxa"/>
            <w:right w:w="108" w:type="dxa"/>
          </w:tblCellMar>
        </w:tblPrEx>
        <w:trPr>
          <w:trHeight w:val="55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后续服务及合理化建议</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根据投标人提供的进度计划、服务承诺及合理化建议进行评分。</w:t>
            </w:r>
          </w:p>
          <w:p>
            <w:pPr>
              <w:rPr>
                <w:rFonts w:ascii="仿宋" w:hAnsi="仿宋" w:eastAsia="仿宋" w:cs="仿宋"/>
                <w:sz w:val="24"/>
                <w:szCs w:val="24"/>
              </w:rPr>
            </w:pPr>
            <w:r>
              <w:rPr>
                <w:rFonts w:hint="eastAsia" w:ascii="仿宋" w:hAnsi="仿宋" w:eastAsia="仿宋" w:cs="仿宋"/>
                <w:sz w:val="24"/>
                <w:szCs w:val="24"/>
              </w:rPr>
              <w:t>满足采购人的采购需求，进度计划具有可实施性及建议具有可操作性，得5-6分；</w:t>
            </w:r>
          </w:p>
          <w:p>
            <w:pPr>
              <w:rPr>
                <w:rFonts w:ascii="仿宋" w:hAnsi="仿宋" w:eastAsia="仿宋" w:cs="仿宋"/>
                <w:sz w:val="24"/>
                <w:szCs w:val="24"/>
              </w:rPr>
            </w:pPr>
            <w:r>
              <w:rPr>
                <w:rFonts w:hint="eastAsia" w:ascii="仿宋" w:hAnsi="仿宋" w:eastAsia="仿宋" w:cs="仿宋"/>
                <w:sz w:val="24"/>
                <w:szCs w:val="24"/>
              </w:rPr>
              <w:t>较合理，具有一定可操作性性的得3-4分；</w:t>
            </w:r>
          </w:p>
          <w:p>
            <w:pPr>
              <w:rPr>
                <w:rFonts w:ascii="仿宋" w:hAnsi="仿宋" w:eastAsia="仿宋" w:cs="仿宋"/>
                <w:sz w:val="24"/>
                <w:szCs w:val="24"/>
              </w:rPr>
            </w:pPr>
            <w:r>
              <w:rPr>
                <w:rFonts w:hint="eastAsia" w:ascii="仿宋" w:hAnsi="仿宋" w:eastAsia="仿宋" w:cs="仿宋"/>
                <w:sz w:val="24"/>
                <w:szCs w:val="24"/>
              </w:rPr>
              <w:t>一般的得1-2分，无或不合理的不得分。</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6</w:t>
            </w:r>
          </w:p>
        </w:tc>
      </w:tr>
    </w:tbl>
    <w:p>
      <w:pPr>
        <w:pStyle w:val="15"/>
        <w:tabs>
          <w:tab w:val="left" w:pos="1000"/>
        </w:tabs>
        <w:snapToGrid w:val="0"/>
        <w:spacing w:line="440" w:lineRule="exact"/>
        <w:ind w:firstLine="426"/>
        <w:rPr>
          <w:rFonts w:ascii="宋体" w:hAnsi="宋体" w:cs="宋体"/>
          <w:bCs/>
          <w:color w:val="000000" w:themeColor="text1"/>
          <w:sz w:val="24"/>
          <w:szCs w:val="24"/>
          <w14:textFill>
            <w14:solidFill>
              <w14:schemeClr w14:val="tx1"/>
            </w14:solidFill>
          </w14:textFill>
        </w:rPr>
      </w:pPr>
      <w:r>
        <w:rPr>
          <w:rFonts w:hint="eastAsia" w:ascii="仿宋" w:hAnsi="仿宋" w:eastAsia="仿宋" w:cs="仿宋"/>
          <w:b/>
          <w:sz w:val="24"/>
          <w:szCs w:val="24"/>
        </w:rPr>
        <w:t>技术标为暗标，封袋内的“技术标”（包括封面及内侧页面、图纸及电子版文件）中的任何地方均不得出现或暗示反映投标人名称、设计人员、企业签章等标志。否则，作废标处理。封面统一使用无字白版封面，技术标文本为A</w:t>
      </w:r>
      <w:r>
        <w:rPr>
          <w:rFonts w:hint="eastAsia" w:ascii="仿宋" w:hAnsi="仿宋" w:eastAsia="仿宋" w:cs="仿宋"/>
          <w:b/>
          <w:sz w:val="24"/>
          <w:szCs w:val="24"/>
          <w:lang w:val="en-US" w:eastAsia="zh-CN"/>
        </w:rPr>
        <w:t>4</w:t>
      </w:r>
      <w:r>
        <w:rPr>
          <w:rFonts w:hint="eastAsia" w:ascii="仿宋" w:hAnsi="仿宋" w:eastAsia="仿宋" w:cs="仿宋"/>
          <w:b/>
          <w:sz w:val="24"/>
          <w:szCs w:val="24"/>
        </w:rPr>
        <w:t>尺寸，不宜缩小的图幅均应折成A</w:t>
      </w:r>
      <w:r>
        <w:rPr>
          <w:rFonts w:hint="eastAsia" w:ascii="仿宋" w:hAnsi="仿宋" w:eastAsia="仿宋" w:cs="仿宋"/>
          <w:b/>
          <w:sz w:val="24"/>
          <w:szCs w:val="24"/>
          <w:lang w:val="en-US" w:eastAsia="zh-CN"/>
        </w:rPr>
        <w:t>4</w:t>
      </w:r>
      <w:r>
        <w:rPr>
          <w:rFonts w:hint="eastAsia" w:ascii="仿宋" w:hAnsi="仿宋" w:eastAsia="仿宋" w:cs="仿宋"/>
          <w:b/>
          <w:sz w:val="24"/>
          <w:szCs w:val="24"/>
        </w:rPr>
        <w:t>规格，字体标题采用宋体二号、正文采用宋体小四号（图片、图表等除外）打印。</w:t>
      </w:r>
    </w:p>
    <w:p>
      <w:pPr>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由技术标评委对各投标人的技术标认真审阅后各自打分。各投标人技术标最终得分为：所有技术标评委得分的算术平均值，得分采用四舍五入法保留小数点后两位。</w:t>
      </w:r>
    </w:p>
    <w:p>
      <w:pPr>
        <w:spacing w:before="185"/>
        <w:ind w:firstLine="480" w:firstLineChars="200"/>
        <w:jc w:val="left"/>
        <w:rPr>
          <w:b/>
          <w:sz w:val="24"/>
          <w:szCs w:val="24"/>
        </w:rPr>
      </w:pPr>
      <w:r>
        <w:rPr>
          <w:rFonts w:hint="eastAsia"/>
          <w:b/>
          <w:sz w:val="24"/>
          <w:szCs w:val="24"/>
        </w:rPr>
        <w:t>七、综合标评分（40分）</w:t>
      </w:r>
    </w:p>
    <w:tbl>
      <w:tblPr>
        <w:tblStyle w:val="45"/>
        <w:tblW w:w="9398" w:type="dxa"/>
        <w:tblInd w:w="98" w:type="dxa"/>
        <w:tblLayout w:type="fixed"/>
        <w:tblCellMar>
          <w:top w:w="0" w:type="dxa"/>
          <w:left w:w="108" w:type="dxa"/>
          <w:bottom w:w="0" w:type="dxa"/>
          <w:right w:w="108" w:type="dxa"/>
        </w:tblCellMar>
      </w:tblPr>
      <w:tblGrid>
        <w:gridCol w:w="899"/>
        <w:gridCol w:w="1115"/>
        <w:gridCol w:w="6485"/>
        <w:gridCol w:w="899"/>
      </w:tblGrid>
      <w:tr>
        <w:tblPrEx>
          <w:tblCellMar>
            <w:top w:w="0" w:type="dxa"/>
            <w:left w:w="108" w:type="dxa"/>
            <w:bottom w:w="0" w:type="dxa"/>
            <w:right w:w="108" w:type="dxa"/>
          </w:tblCellMar>
        </w:tblPrEx>
        <w:trPr>
          <w:trHeight w:val="531"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评分因素</w:t>
            </w:r>
          </w:p>
        </w:tc>
        <w:tc>
          <w:tcPr>
            <w:tcW w:w="6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评分标准</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分值</w:t>
            </w:r>
          </w:p>
        </w:tc>
      </w:tr>
      <w:tr>
        <w:tblPrEx>
          <w:tblCellMar>
            <w:top w:w="0" w:type="dxa"/>
            <w:left w:w="108" w:type="dxa"/>
            <w:bottom w:w="0" w:type="dxa"/>
            <w:right w:w="108" w:type="dxa"/>
          </w:tblCellMar>
        </w:tblPrEx>
        <w:trPr>
          <w:trHeight w:val="103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4"/>
                <w:szCs w:val="24"/>
              </w:rPr>
            </w:pPr>
            <w:r>
              <w:rPr>
                <w:rFonts w:hint="eastAsia" w:ascii="宋体" w:hAnsi="宋体" w:cs="宋体"/>
                <w:szCs w:val="21"/>
              </w:rPr>
              <w:t>企业业绩</w:t>
            </w:r>
          </w:p>
        </w:tc>
        <w:tc>
          <w:tcPr>
            <w:tcW w:w="6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360" w:lineRule="auto"/>
              <w:jc w:val="left"/>
              <w:rPr>
                <w:rFonts w:ascii="宋体" w:hAnsi="宋体" w:cs="宋体"/>
                <w:color w:val="000000"/>
                <w:sz w:val="24"/>
                <w:szCs w:val="24"/>
                <w:highlight w:val="none"/>
              </w:rPr>
            </w:pPr>
            <w:r>
              <w:rPr>
                <w:rFonts w:hint="eastAsia" w:ascii="宋体" w:hAnsi="宋体" w:cs="宋体"/>
                <w:szCs w:val="21"/>
                <w:highlight w:val="none"/>
              </w:rPr>
              <w:t>企业近三年</w:t>
            </w:r>
            <w:r>
              <w:rPr>
                <w:rFonts w:hint="eastAsia" w:ascii="宋体" w:hAnsi="宋体" w:cs="宋体"/>
                <w:kern w:val="0"/>
                <w:szCs w:val="21"/>
                <w:highlight w:val="none"/>
              </w:rPr>
              <w:t>（自20</w:t>
            </w:r>
            <w:r>
              <w:rPr>
                <w:rFonts w:ascii="宋体" w:hAnsi="宋体" w:cs="宋体"/>
                <w:kern w:val="0"/>
                <w:szCs w:val="21"/>
                <w:highlight w:val="none"/>
              </w:rPr>
              <w:t>20</w:t>
            </w:r>
            <w:r>
              <w:rPr>
                <w:rFonts w:hint="eastAsia" w:ascii="宋体" w:hAnsi="宋体" w:cs="宋体"/>
                <w:kern w:val="0"/>
                <w:szCs w:val="21"/>
                <w:highlight w:val="none"/>
              </w:rPr>
              <w:t>年</w:t>
            </w:r>
            <w:r>
              <w:rPr>
                <w:rFonts w:ascii="宋体" w:hAnsi="宋体" w:cs="宋体"/>
                <w:kern w:val="0"/>
                <w:szCs w:val="21"/>
                <w:highlight w:val="none"/>
              </w:rPr>
              <w:t>1</w:t>
            </w:r>
            <w:r>
              <w:rPr>
                <w:rFonts w:hint="eastAsia" w:ascii="宋体" w:hAnsi="宋体" w:cs="宋体"/>
                <w:kern w:val="0"/>
                <w:szCs w:val="21"/>
                <w:highlight w:val="none"/>
              </w:rPr>
              <w:t>月起）</w:t>
            </w:r>
            <w:r>
              <w:rPr>
                <w:rFonts w:hint="eastAsia" w:ascii="宋体" w:hAnsi="宋体" w:cs="宋体"/>
                <w:szCs w:val="21"/>
                <w:highlight w:val="none"/>
              </w:rPr>
              <w:t>承担过类似项目，包含建筑立面或夜景照明或店招店牌等相关内容的业绩，获得国家级荣誉有一个得9分，获得省级荣誉有一个得5分，未获得荣誉的普通项目有一个得</w:t>
            </w:r>
            <w:r>
              <w:rPr>
                <w:rFonts w:ascii="宋体" w:hAnsi="宋体" w:cs="宋体"/>
                <w:szCs w:val="21"/>
                <w:highlight w:val="none"/>
              </w:rPr>
              <w:t>3分，</w:t>
            </w:r>
            <w:r>
              <w:rPr>
                <w:rFonts w:hint="eastAsia" w:ascii="宋体" w:hAnsi="宋体" w:cs="宋体"/>
                <w:szCs w:val="21"/>
                <w:highlight w:val="none"/>
                <w:lang w:eastAsia="zh-CN"/>
              </w:rPr>
              <w:t>本项</w:t>
            </w:r>
            <w:r>
              <w:rPr>
                <w:rFonts w:ascii="宋体" w:hAnsi="宋体" w:cs="宋体"/>
                <w:szCs w:val="21"/>
                <w:highlight w:val="none"/>
              </w:rPr>
              <w:t>最高得30分。</w:t>
            </w:r>
            <w:r>
              <w:rPr>
                <w:rFonts w:hint="eastAsia" w:ascii="宋体" w:hAnsi="宋体" w:cs="宋体"/>
                <w:szCs w:val="21"/>
                <w:highlight w:val="none"/>
              </w:rPr>
              <w:t>提供合同复印件加盖公章及相关获奖佐证材料（如有），如合同无法反映设计内容，必须另外提供业主单位出具的证明材料。</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r>
      <w:tr>
        <w:tblPrEx>
          <w:tblCellMar>
            <w:top w:w="0" w:type="dxa"/>
            <w:left w:w="108" w:type="dxa"/>
            <w:bottom w:w="0" w:type="dxa"/>
            <w:right w:w="108" w:type="dxa"/>
          </w:tblCellMar>
        </w:tblPrEx>
        <w:trPr>
          <w:trHeight w:val="7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4"/>
                <w:szCs w:val="24"/>
              </w:rPr>
            </w:pPr>
            <w:r>
              <w:rPr>
                <w:rFonts w:hint="eastAsia" w:ascii="宋体" w:hAnsi="宋体" w:cs="宋体"/>
                <w:szCs w:val="21"/>
              </w:rPr>
              <w:t>人员配备</w:t>
            </w:r>
          </w:p>
        </w:tc>
        <w:tc>
          <w:tcPr>
            <w:tcW w:w="6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360" w:lineRule="auto"/>
              <w:jc w:val="left"/>
            </w:pPr>
            <w:r>
              <w:rPr>
                <w:rFonts w:hint="eastAsia" w:ascii="宋体" w:hAnsi="宋体" w:cs="宋体"/>
                <w:kern w:val="0"/>
                <w:szCs w:val="21"/>
              </w:rPr>
              <w:t>拟派项目团队具有建筑、照明、电气、工艺美术专业、园林等相关专业中级及以上技术职称的，每一人得</w:t>
            </w:r>
            <w:r>
              <w:rPr>
                <w:rFonts w:ascii="宋体" w:hAnsi="宋体" w:cs="宋体"/>
                <w:kern w:val="0"/>
                <w:szCs w:val="21"/>
              </w:rPr>
              <w:t>1分，最高得</w:t>
            </w:r>
            <w:r>
              <w:rPr>
                <w:rFonts w:hint="eastAsia" w:ascii="宋体" w:hAnsi="宋体" w:cs="宋体"/>
                <w:kern w:val="0"/>
                <w:szCs w:val="21"/>
              </w:rPr>
              <w:t>4</w:t>
            </w:r>
            <w:r>
              <w:rPr>
                <w:rFonts w:ascii="宋体" w:hAnsi="宋体" w:cs="宋体"/>
                <w:kern w:val="0"/>
                <w:szCs w:val="21"/>
              </w:rPr>
              <w:t>分</w:t>
            </w:r>
            <w:r>
              <w:rPr>
                <w:rFonts w:hint="eastAsia" w:ascii="宋体" w:hAnsi="宋体" w:cs="宋体"/>
                <w:kern w:val="0"/>
                <w:szCs w:val="21"/>
              </w:rPr>
              <w:t>，提供职称证书及学历证复印件加盖公章，否则不得分</w:t>
            </w:r>
            <w:r>
              <w:rPr>
                <w:rFonts w:ascii="宋体" w:hAnsi="宋体" w:cs="宋体"/>
                <w:kern w:val="0"/>
                <w:szCs w:val="21"/>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CellMar>
            <w:top w:w="0" w:type="dxa"/>
            <w:left w:w="108" w:type="dxa"/>
            <w:bottom w:w="0" w:type="dxa"/>
            <w:right w:w="108" w:type="dxa"/>
          </w:tblCellMar>
        </w:tblPrEx>
        <w:trPr>
          <w:trHeight w:val="966"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cs="宋体"/>
                <w:color w:val="000000"/>
                <w:sz w:val="24"/>
                <w:szCs w:val="24"/>
              </w:rPr>
            </w:pPr>
            <w:r>
              <w:rPr>
                <w:rFonts w:hint="eastAsia" w:ascii="宋体" w:hAnsi="宋体" w:cs="宋体"/>
                <w:kern w:val="0"/>
                <w:szCs w:val="21"/>
              </w:rPr>
              <w:t>管理体系</w:t>
            </w:r>
          </w:p>
        </w:tc>
        <w:tc>
          <w:tcPr>
            <w:tcW w:w="6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right="126" w:rightChars="60"/>
              <w:rPr>
                <w:rFonts w:ascii="宋体" w:hAnsi="宋体" w:cs="宋体"/>
                <w:kern w:val="0"/>
                <w:szCs w:val="21"/>
              </w:rPr>
            </w:pPr>
            <w:r>
              <w:rPr>
                <w:rFonts w:ascii="宋体" w:hAnsi="宋体" w:cs="宋体"/>
                <w:kern w:val="0"/>
                <w:szCs w:val="21"/>
              </w:rPr>
              <w:t>1．</w:t>
            </w:r>
            <w:r>
              <w:rPr>
                <w:rFonts w:hint="eastAsia" w:ascii="宋体" w:hAnsi="宋体" w:cs="宋体"/>
                <w:kern w:val="0"/>
                <w:szCs w:val="21"/>
              </w:rPr>
              <w:t>投标人</w:t>
            </w:r>
            <w:r>
              <w:rPr>
                <w:rFonts w:ascii="宋体" w:hAnsi="宋体" w:cs="宋体"/>
                <w:kern w:val="0"/>
                <w:szCs w:val="21"/>
              </w:rPr>
              <w:t>有质量管理体系认证证书，得2分；</w:t>
            </w:r>
          </w:p>
          <w:p>
            <w:pPr>
              <w:spacing w:line="360" w:lineRule="auto"/>
              <w:ind w:right="126" w:rightChars="60"/>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投标人</w:t>
            </w:r>
            <w:r>
              <w:rPr>
                <w:rFonts w:ascii="宋体" w:hAnsi="宋体" w:cs="宋体"/>
                <w:kern w:val="0"/>
                <w:szCs w:val="21"/>
              </w:rPr>
              <w:t>有环境管理体系认证证书，得2分；</w:t>
            </w:r>
          </w:p>
          <w:p>
            <w:pPr>
              <w:spacing w:line="360" w:lineRule="auto"/>
              <w:ind w:right="126" w:rightChars="60"/>
            </w:pPr>
            <w:r>
              <w:rPr>
                <w:rFonts w:ascii="宋体" w:hAnsi="宋体" w:cs="宋体"/>
                <w:kern w:val="0"/>
                <w:szCs w:val="21"/>
              </w:rPr>
              <w:t>3．</w:t>
            </w:r>
            <w:r>
              <w:rPr>
                <w:rFonts w:hint="eastAsia" w:ascii="宋体" w:hAnsi="宋体" w:cs="宋体"/>
                <w:kern w:val="0"/>
                <w:szCs w:val="21"/>
              </w:rPr>
              <w:t>投标人</w:t>
            </w:r>
            <w:r>
              <w:rPr>
                <w:rFonts w:ascii="宋体" w:hAnsi="宋体" w:cs="宋体"/>
                <w:kern w:val="0"/>
                <w:szCs w:val="21"/>
              </w:rPr>
              <w:t>有职业健康安全管理体系认证证书，得2分；</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bl>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注：</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以上人员配备为最低限度要求，设计单位必须按招标人要求适时增加配备相应设计人员，并确保人员到位。所有设计人员食宿自理。一旦中标，所有人员配置不得随意更换，确需更换须经招标人书面认可后，方可变更，并承担相应的违约责任。</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八、商务标评审（10分） </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本次投标报价采用设计费固定总价报价。</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（一）本工程招标人设定最高限价为40万元。</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（二）确定有效投标报</w:t>
      </w:r>
      <w:r>
        <w:rPr>
          <w:rFonts w:hint="eastAsia" w:ascii="宋体" w:hAnsi="宋体" w:cs="宋体"/>
          <w:bCs/>
          <w:color w:val="000000" w:themeColor="text1"/>
          <w:sz w:val="24"/>
          <w:szCs w:val="24"/>
          <w:highlight w:val="none"/>
          <w14:textFill>
            <w14:solidFill>
              <w14:schemeClr w14:val="tx1"/>
            </w14:solidFill>
          </w14:textFill>
        </w:rPr>
        <w:t>价：低于或等于最高投标限价的投标报价为有效报价，</w:t>
      </w:r>
      <w:r>
        <w:rPr>
          <w:rFonts w:hint="eastAsia" w:ascii="宋体" w:hAnsi="宋体" w:cs="宋体"/>
          <w:bCs/>
          <w:color w:val="000000" w:themeColor="text1"/>
          <w:sz w:val="24"/>
          <w:szCs w:val="24"/>
          <w14:textFill>
            <w14:solidFill>
              <w14:schemeClr w14:val="tx1"/>
            </w14:solidFill>
          </w14:textFill>
        </w:rPr>
        <w:t>超过最高投标限价的投标报价为无效报价，作否决投标处理。评标委员会认为投标人的报价明显低于其他通过符合性审查投标人的报价，有可能影响设计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（三）确定评标基准价：评标基准价﹦所有有效投标文件的评标价（总价）算术平均值。</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无效报价、被否决投标的投标报价均不参与评标基准价的计算。</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评标结束后，除确认存在计算错误外，评标基准价不因招投标当事人质疑、投诉、复议以及其它任何情形而改变。</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（四）计算投标报价得分：</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bookmarkStart w:id="154" w:name="_Toc7552"/>
      <w:r>
        <w:rPr>
          <w:rFonts w:hint="eastAsia" w:ascii="宋体" w:hAnsi="宋体" w:cs="宋体"/>
          <w:bCs/>
          <w:color w:val="000000" w:themeColor="text1"/>
          <w:sz w:val="24"/>
          <w:szCs w:val="24"/>
          <w14:textFill>
            <w14:solidFill>
              <w14:schemeClr w14:val="tx1"/>
            </w14:solidFill>
          </w14:textFill>
        </w:rPr>
        <w:t>a、投标人的投标报价与评标基准价相等的得 40分；</w:t>
      </w:r>
    </w:p>
    <w:p>
      <w:pPr>
        <w:spacing w:line="44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b、各投标人的投标报价与评标基准价相比较，每上浮 1%扣 0.2 分；每下浮 1%扣 0.1 分。不足1%的，采用插入法计算得分，评分计算过程中的偏离率和分值计算结果均保留两位小数，第三位四舍五入。 备注：评标委员会在评标报告上签字后，上述方法的评标基准价不因招投标当事人 质疑、投诉、复议以及其它任何情形而改变(评标过程中的计算错误可作调整)。</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九、确定中标人</w:t>
      </w:r>
      <w:bookmarkEnd w:id="154"/>
      <w:r>
        <w:rPr>
          <w:rFonts w:hint="eastAsia" w:ascii="宋体" w:hAnsi="宋体" w:cs="宋体"/>
          <w:bCs/>
          <w:color w:val="000000" w:themeColor="text1"/>
          <w:sz w:val="24"/>
          <w:szCs w:val="24"/>
          <w14:textFill>
            <w14:solidFill>
              <w14:schemeClr w14:val="tx1"/>
            </w14:solidFill>
          </w14:textFill>
        </w:rPr>
        <w:t>候选人</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由评标委员会按照总得分（技术标得分+综合标得分+商务标得分）从高至低进行的顺序排序，依次推荐前三名为第一、第二、第三中标候选人；如得分有相同的，则以报价低者排名在前；若报价也相同的，则由招标人通过抽签方式确定排序。</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十、注意事项</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各投标人提供的投标文件必须是真实、有效。若在评标过程中发现提供虚假材料的，则作废标处理；若定标后、签订委托设计合同前，被他人举报并经查实弄虚作假的，则取消其中标资格，并没收投标保证金；若签订委托设计合同后，被他人举报并经查实弄虚作假的，招标人有权解除合同，由此造成的一切责任与后果，均由该投标人承担。</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十一、评标过程中出现本评标办法未尽事宜，由评标委员会根据有关法律、法规讨论并作出最终解释。</w:t>
      </w:r>
    </w:p>
    <w:p>
      <w:pPr>
        <w:rPr>
          <w:rFonts w:ascii="宋体" w:hAnsi="宋体" w:cs="宋体"/>
          <w:color w:val="000000" w:themeColor="text1"/>
          <w:sz w:val="36"/>
          <w:szCs w:val="36"/>
          <w14:textFill>
            <w14:solidFill>
              <w14:schemeClr w14:val="tx1"/>
            </w14:solidFill>
          </w14:textFill>
        </w:rPr>
      </w:pPr>
    </w:p>
    <w:sectPr>
      <w:headerReference r:id="rId5" w:type="default"/>
      <w:footerReference r:id="rId6" w:type="default"/>
      <w:type w:val="continuous"/>
      <w:pgSz w:w="11906" w:h="16838"/>
      <w:pgMar w:top="1440" w:right="1276" w:bottom="140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lotter">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pStyle w:val="32"/>
                            <w:rPr>
                              <w:rStyle w:val="50"/>
                            </w:rPr>
                          </w:pPr>
                          <w:r>
                            <w:rPr>
                              <w:rStyle w:val="50"/>
                            </w:rPr>
                            <w:fldChar w:fldCharType="begin"/>
                          </w:r>
                          <w:r>
                            <w:rPr>
                              <w:rStyle w:val="50"/>
                            </w:rPr>
                            <w:instrText xml:space="preserve">PAGE  </w:instrText>
                          </w:r>
                          <w:r>
                            <w:rPr>
                              <w:rStyle w:val="50"/>
                            </w:rPr>
                            <w:fldChar w:fldCharType="separate"/>
                          </w:r>
                          <w:r>
                            <w:rPr>
                              <w:rStyle w:val="50"/>
                            </w:rPr>
                            <w:t>2</w:t>
                          </w:r>
                          <w:r>
                            <w:rPr>
                              <w:rStyle w:val="50"/>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i91E0AAAAAIBAAAPAAAAAAAAAAEA&#10;IAAAACIAAABkcnMvZG93bnJldi54bWxQSwECFAAUAAAACACHTuJAMMy+Rt4BAACwAwAADgAAAAAA&#10;AAABACAAAAAfAQAAZHJzL2Uyb0RvYy54bWxQSwUGAAAAAAYABgBZAQAAbwUAAAAA&#10;">
              <v:fill on="f" focussize="0,0"/>
              <v:stroke on="f"/>
              <v:imagedata o:title=""/>
              <o:lock v:ext="edit" aspectratio="f"/>
              <v:textbox inset="0mm,0mm,0mm,0mm" style="mso-fit-shape-to-text:t;">
                <w:txbxContent>
                  <w:p>
                    <w:pPr>
                      <w:pStyle w:val="32"/>
                      <w:rPr>
                        <w:rStyle w:val="50"/>
                      </w:rPr>
                    </w:pPr>
                    <w:r>
                      <w:rPr>
                        <w:rStyle w:val="50"/>
                      </w:rPr>
                      <w:fldChar w:fldCharType="begin"/>
                    </w:r>
                    <w:r>
                      <w:rPr>
                        <w:rStyle w:val="50"/>
                      </w:rPr>
                      <w:instrText xml:space="preserve">PAGE  </w:instrText>
                    </w:r>
                    <w:r>
                      <w:rPr>
                        <w:rStyle w:val="50"/>
                      </w:rPr>
                      <w:fldChar w:fldCharType="separate"/>
                    </w:r>
                    <w:r>
                      <w:rPr>
                        <w:rStyle w:val="50"/>
                      </w:rPr>
                      <w:t>2</w:t>
                    </w:r>
                    <w:r>
                      <w:rPr>
                        <w:rStyle w:val="5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x8LMJ94BAACxAwAADgAAAAAA&#10;AAABACAAAAAfAQAAZHJzL2Uyb0RvYy54bWxQSwUGAAAAAAYABgBZAQAAbw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jc w:val="right"/>
      <w:rPr>
        <w:sz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pStyle w:val="32"/>
                            <w:rPr>
                              <w:rStyle w:val="50"/>
                            </w:rPr>
                          </w:pPr>
                          <w:r>
                            <w:rPr>
                              <w:rStyle w:val="50"/>
                            </w:rPr>
                            <w:fldChar w:fldCharType="begin"/>
                          </w:r>
                          <w:r>
                            <w:rPr>
                              <w:rStyle w:val="50"/>
                            </w:rPr>
                            <w:instrText xml:space="preserve">PAGE  </w:instrText>
                          </w:r>
                          <w:r>
                            <w:rPr>
                              <w:rStyle w:val="50"/>
                            </w:rPr>
                            <w:fldChar w:fldCharType="separate"/>
                          </w:r>
                          <w:r>
                            <w:rPr>
                              <w:rStyle w:val="50"/>
                            </w:rPr>
                            <w:t>60</w:t>
                          </w:r>
                          <w:r>
                            <w:rPr>
                              <w:rStyle w:val="50"/>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V+SdAAAAADAQAADwAAAAAAAAAB&#10;ACAAAAAiAAAAZHJzL2Rvd25yZXYueG1sUEsBAhQAFAAAAAgAh07iQAmoZqnfAQAAsQMAAA4AAAAA&#10;AAAAAQAgAAAAHwEAAGRycy9lMm9Eb2MueG1sUEsFBgAAAAAGAAYAWQEAAHAFAAAAAA==&#10;">
              <v:fill on="f" focussize="0,0"/>
              <v:stroke on="f"/>
              <v:imagedata o:title=""/>
              <o:lock v:ext="edit" aspectratio="f"/>
              <v:textbox inset="0mm,0mm,0mm,0mm" style="mso-fit-shape-to-text:t;">
                <w:txbxContent>
                  <w:p>
                    <w:pPr>
                      <w:pStyle w:val="32"/>
                      <w:rPr>
                        <w:rStyle w:val="50"/>
                      </w:rPr>
                    </w:pPr>
                    <w:r>
                      <w:rPr>
                        <w:rStyle w:val="50"/>
                      </w:rPr>
                      <w:fldChar w:fldCharType="begin"/>
                    </w:r>
                    <w:r>
                      <w:rPr>
                        <w:rStyle w:val="50"/>
                      </w:rPr>
                      <w:instrText xml:space="preserve">PAGE  </w:instrText>
                    </w:r>
                    <w:r>
                      <w:rPr>
                        <w:rStyle w:val="50"/>
                      </w:rPr>
                      <w:fldChar w:fldCharType="separate"/>
                    </w:r>
                    <w:r>
                      <w:rPr>
                        <w:rStyle w:val="50"/>
                      </w:rPr>
                      <w:t>60</w:t>
                    </w:r>
                    <w:r>
                      <w:rPr>
                        <w:rStyle w:val="5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C1615"/>
    <w:multiLevelType w:val="multilevel"/>
    <w:tmpl w:val="54FC161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FAA2D3F"/>
    <w:multiLevelType w:val="multilevel"/>
    <w:tmpl w:val="6FAA2D3F"/>
    <w:lvl w:ilvl="0" w:tentative="0">
      <w:start w:val="2"/>
      <w:numFmt w:val="japaneseCounting"/>
      <w:lvlText w:val="%1、"/>
      <w:lvlJc w:val="left"/>
      <w:pPr>
        <w:ind w:left="794" w:hanging="510"/>
      </w:pPr>
      <w:rPr>
        <w:rFonts w:hint="default"/>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203"/>
  <w:drawingGridVerticalSpacing w:val="14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zYWMwMmVlMTFmMjk2MDZhZmQyZTU1NGU3NDhjZWEifQ=="/>
    <w:docVar w:name="KSO_WPS_MARK_KEY" w:val="775f8eaf-6902-4414-86a4-c41486571adf"/>
  </w:docVars>
  <w:rsids>
    <w:rsidRoot w:val="00172A27"/>
    <w:rsid w:val="0000018E"/>
    <w:rsid w:val="00002649"/>
    <w:rsid w:val="00002F32"/>
    <w:rsid w:val="000039B5"/>
    <w:rsid w:val="00004A46"/>
    <w:rsid w:val="00004B8D"/>
    <w:rsid w:val="00004EBC"/>
    <w:rsid w:val="00005E93"/>
    <w:rsid w:val="00006ED0"/>
    <w:rsid w:val="0000795F"/>
    <w:rsid w:val="00012DA4"/>
    <w:rsid w:val="00014CBA"/>
    <w:rsid w:val="00014D1B"/>
    <w:rsid w:val="000157C5"/>
    <w:rsid w:val="0001585A"/>
    <w:rsid w:val="00016B2A"/>
    <w:rsid w:val="00017C2C"/>
    <w:rsid w:val="00017CD6"/>
    <w:rsid w:val="0002043F"/>
    <w:rsid w:val="00022034"/>
    <w:rsid w:val="000229DE"/>
    <w:rsid w:val="00022A97"/>
    <w:rsid w:val="00023EFE"/>
    <w:rsid w:val="0002479B"/>
    <w:rsid w:val="00024CB4"/>
    <w:rsid w:val="00026ACB"/>
    <w:rsid w:val="0002736D"/>
    <w:rsid w:val="00027AD3"/>
    <w:rsid w:val="000375A0"/>
    <w:rsid w:val="0004079F"/>
    <w:rsid w:val="00040BEB"/>
    <w:rsid w:val="0004281A"/>
    <w:rsid w:val="000447E0"/>
    <w:rsid w:val="0004556F"/>
    <w:rsid w:val="00045B6A"/>
    <w:rsid w:val="000464E3"/>
    <w:rsid w:val="00046AD9"/>
    <w:rsid w:val="00060885"/>
    <w:rsid w:val="000619DC"/>
    <w:rsid w:val="00063B74"/>
    <w:rsid w:val="000657FC"/>
    <w:rsid w:val="00066E6C"/>
    <w:rsid w:val="00066F56"/>
    <w:rsid w:val="00071E6B"/>
    <w:rsid w:val="00083810"/>
    <w:rsid w:val="000847B2"/>
    <w:rsid w:val="000860D0"/>
    <w:rsid w:val="0008724C"/>
    <w:rsid w:val="000933BD"/>
    <w:rsid w:val="000940BC"/>
    <w:rsid w:val="00095FBB"/>
    <w:rsid w:val="000A1FE3"/>
    <w:rsid w:val="000A48AE"/>
    <w:rsid w:val="000A590F"/>
    <w:rsid w:val="000A652F"/>
    <w:rsid w:val="000B4FA2"/>
    <w:rsid w:val="000B67F9"/>
    <w:rsid w:val="000C3331"/>
    <w:rsid w:val="000C33AE"/>
    <w:rsid w:val="000C3F24"/>
    <w:rsid w:val="000C40A6"/>
    <w:rsid w:val="000C4BC6"/>
    <w:rsid w:val="000C67D5"/>
    <w:rsid w:val="000C716E"/>
    <w:rsid w:val="000C7BD6"/>
    <w:rsid w:val="000D0EB5"/>
    <w:rsid w:val="000D799A"/>
    <w:rsid w:val="000D7B96"/>
    <w:rsid w:val="000E050A"/>
    <w:rsid w:val="000E07E7"/>
    <w:rsid w:val="000E1C25"/>
    <w:rsid w:val="000E3120"/>
    <w:rsid w:val="000E4388"/>
    <w:rsid w:val="000E46D3"/>
    <w:rsid w:val="000F24F6"/>
    <w:rsid w:val="000F27F6"/>
    <w:rsid w:val="000F3895"/>
    <w:rsid w:val="000F4FB6"/>
    <w:rsid w:val="000F524B"/>
    <w:rsid w:val="00102892"/>
    <w:rsid w:val="00103543"/>
    <w:rsid w:val="001035E0"/>
    <w:rsid w:val="00104E90"/>
    <w:rsid w:val="00105AFD"/>
    <w:rsid w:val="001065B2"/>
    <w:rsid w:val="001072B5"/>
    <w:rsid w:val="001106ED"/>
    <w:rsid w:val="0011289E"/>
    <w:rsid w:val="00117C60"/>
    <w:rsid w:val="00120E34"/>
    <w:rsid w:val="00121A4B"/>
    <w:rsid w:val="001231A1"/>
    <w:rsid w:val="00124663"/>
    <w:rsid w:val="001247A8"/>
    <w:rsid w:val="0012589F"/>
    <w:rsid w:val="00125FD7"/>
    <w:rsid w:val="00126B80"/>
    <w:rsid w:val="00127BF0"/>
    <w:rsid w:val="001304FF"/>
    <w:rsid w:val="00130F6A"/>
    <w:rsid w:val="00132059"/>
    <w:rsid w:val="001322A3"/>
    <w:rsid w:val="00132C5E"/>
    <w:rsid w:val="00133682"/>
    <w:rsid w:val="00133AA8"/>
    <w:rsid w:val="0013755B"/>
    <w:rsid w:val="00137775"/>
    <w:rsid w:val="00140950"/>
    <w:rsid w:val="00140B8B"/>
    <w:rsid w:val="00141BCE"/>
    <w:rsid w:val="00142844"/>
    <w:rsid w:val="001458D8"/>
    <w:rsid w:val="0014597C"/>
    <w:rsid w:val="00146D37"/>
    <w:rsid w:val="001540B4"/>
    <w:rsid w:val="00160A3E"/>
    <w:rsid w:val="00160F06"/>
    <w:rsid w:val="001624E4"/>
    <w:rsid w:val="00165937"/>
    <w:rsid w:val="00171352"/>
    <w:rsid w:val="001718D6"/>
    <w:rsid w:val="001723D0"/>
    <w:rsid w:val="001725D1"/>
    <w:rsid w:val="00172A27"/>
    <w:rsid w:val="00172DCC"/>
    <w:rsid w:val="00173627"/>
    <w:rsid w:val="00174B74"/>
    <w:rsid w:val="00176EBB"/>
    <w:rsid w:val="00180011"/>
    <w:rsid w:val="00180F95"/>
    <w:rsid w:val="00181275"/>
    <w:rsid w:val="001819EA"/>
    <w:rsid w:val="0018217C"/>
    <w:rsid w:val="00182AD2"/>
    <w:rsid w:val="00182F2C"/>
    <w:rsid w:val="00184BB6"/>
    <w:rsid w:val="001850C5"/>
    <w:rsid w:val="001858F2"/>
    <w:rsid w:val="00186452"/>
    <w:rsid w:val="00187FE8"/>
    <w:rsid w:val="00190BEB"/>
    <w:rsid w:val="00190E48"/>
    <w:rsid w:val="00192410"/>
    <w:rsid w:val="001929CF"/>
    <w:rsid w:val="00192C95"/>
    <w:rsid w:val="00195C6C"/>
    <w:rsid w:val="00196F13"/>
    <w:rsid w:val="00197AC0"/>
    <w:rsid w:val="001A060E"/>
    <w:rsid w:val="001A1103"/>
    <w:rsid w:val="001A19C9"/>
    <w:rsid w:val="001A1E29"/>
    <w:rsid w:val="001A1EB2"/>
    <w:rsid w:val="001A1F19"/>
    <w:rsid w:val="001A7890"/>
    <w:rsid w:val="001B1394"/>
    <w:rsid w:val="001B2603"/>
    <w:rsid w:val="001B341A"/>
    <w:rsid w:val="001B34B9"/>
    <w:rsid w:val="001B5C82"/>
    <w:rsid w:val="001B6C82"/>
    <w:rsid w:val="001B7083"/>
    <w:rsid w:val="001C1813"/>
    <w:rsid w:val="001C33B2"/>
    <w:rsid w:val="001C34C2"/>
    <w:rsid w:val="001C40B2"/>
    <w:rsid w:val="001C4971"/>
    <w:rsid w:val="001C49ED"/>
    <w:rsid w:val="001C5E40"/>
    <w:rsid w:val="001D227E"/>
    <w:rsid w:val="001D242D"/>
    <w:rsid w:val="001D36E7"/>
    <w:rsid w:val="001D3748"/>
    <w:rsid w:val="001D5FDA"/>
    <w:rsid w:val="001D634D"/>
    <w:rsid w:val="001D6C01"/>
    <w:rsid w:val="001D7AD0"/>
    <w:rsid w:val="001E0E71"/>
    <w:rsid w:val="001E0E9E"/>
    <w:rsid w:val="001E1AA8"/>
    <w:rsid w:val="001E2156"/>
    <w:rsid w:val="001E2C80"/>
    <w:rsid w:val="001F0933"/>
    <w:rsid w:val="001F09AF"/>
    <w:rsid w:val="001F0BF9"/>
    <w:rsid w:val="001F59B7"/>
    <w:rsid w:val="001F5FA3"/>
    <w:rsid w:val="0020070A"/>
    <w:rsid w:val="002035D7"/>
    <w:rsid w:val="002130C6"/>
    <w:rsid w:val="002157F6"/>
    <w:rsid w:val="0022309C"/>
    <w:rsid w:val="00225205"/>
    <w:rsid w:val="002254A3"/>
    <w:rsid w:val="002264FE"/>
    <w:rsid w:val="00232F13"/>
    <w:rsid w:val="00233541"/>
    <w:rsid w:val="00235D22"/>
    <w:rsid w:val="00236935"/>
    <w:rsid w:val="00237FFD"/>
    <w:rsid w:val="00240C80"/>
    <w:rsid w:val="002456BD"/>
    <w:rsid w:val="00246D32"/>
    <w:rsid w:val="002503E7"/>
    <w:rsid w:val="00250B74"/>
    <w:rsid w:val="00250DE4"/>
    <w:rsid w:val="00251C97"/>
    <w:rsid w:val="00252251"/>
    <w:rsid w:val="00254585"/>
    <w:rsid w:val="002547AB"/>
    <w:rsid w:val="0025576E"/>
    <w:rsid w:val="00255878"/>
    <w:rsid w:val="00262099"/>
    <w:rsid w:val="002628D3"/>
    <w:rsid w:val="00263169"/>
    <w:rsid w:val="0026476B"/>
    <w:rsid w:val="00266BB1"/>
    <w:rsid w:val="002671A7"/>
    <w:rsid w:val="00270755"/>
    <w:rsid w:val="00270850"/>
    <w:rsid w:val="002708C5"/>
    <w:rsid w:val="0027385D"/>
    <w:rsid w:val="00275FA0"/>
    <w:rsid w:val="00276736"/>
    <w:rsid w:val="00281AA7"/>
    <w:rsid w:val="002838FC"/>
    <w:rsid w:val="002848AF"/>
    <w:rsid w:val="00284F85"/>
    <w:rsid w:val="002868C2"/>
    <w:rsid w:val="00286BB5"/>
    <w:rsid w:val="0029152A"/>
    <w:rsid w:val="00293C58"/>
    <w:rsid w:val="002946B6"/>
    <w:rsid w:val="002963C2"/>
    <w:rsid w:val="002A091A"/>
    <w:rsid w:val="002A0A1F"/>
    <w:rsid w:val="002A1407"/>
    <w:rsid w:val="002A2D14"/>
    <w:rsid w:val="002A3086"/>
    <w:rsid w:val="002A4A14"/>
    <w:rsid w:val="002A7FAA"/>
    <w:rsid w:val="002B29E6"/>
    <w:rsid w:val="002B2F7C"/>
    <w:rsid w:val="002C1D2A"/>
    <w:rsid w:val="002C2F97"/>
    <w:rsid w:val="002C48AE"/>
    <w:rsid w:val="002C4941"/>
    <w:rsid w:val="002C67F7"/>
    <w:rsid w:val="002C6BA3"/>
    <w:rsid w:val="002C731A"/>
    <w:rsid w:val="002C7B26"/>
    <w:rsid w:val="002D1AE1"/>
    <w:rsid w:val="002D2DE1"/>
    <w:rsid w:val="002D4EEF"/>
    <w:rsid w:val="002D4FD0"/>
    <w:rsid w:val="002D6E5B"/>
    <w:rsid w:val="002D739D"/>
    <w:rsid w:val="002D777F"/>
    <w:rsid w:val="002E0377"/>
    <w:rsid w:val="002E0560"/>
    <w:rsid w:val="002E133F"/>
    <w:rsid w:val="002E1D04"/>
    <w:rsid w:val="002E47DE"/>
    <w:rsid w:val="002E4F6A"/>
    <w:rsid w:val="002F2AA1"/>
    <w:rsid w:val="002F4408"/>
    <w:rsid w:val="002F449A"/>
    <w:rsid w:val="002F56EA"/>
    <w:rsid w:val="003001B6"/>
    <w:rsid w:val="003008B4"/>
    <w:rsid w:val="0030097A"/>
    <w:rsid w:val="003018A0"/>
    <w:rsid w:val="00303152"/>
    <w:rsid w:val="00303927"/>
    <w:rsid w:val="0030410F"/>
    <w:rsid w:val="003047F8"/>
    <w:rsid w:val="00306D77"/>
    <w:rsid w:val="0031148E"/>
    <w:rsid w:val="00311CC1"/>
    <w:rsid w:val="00311D7A"/>
    <w:rsid w:val="00311E23"/>
    <w:rsid w:val="0031329D"/>
    <w:rsid w:val="00313B52"/>
    <w:rsid w:val="00313E37"/>
    <w:rsid w:val="00314C2B"/>
    <w:rsid w:val="0031502B"/>
    <w:rsid w:val="00316086"/>
    <w:rsid w:val="0031727B"/>
    <w:rsid w:val="00322B60"/>
    <w:rsid w:val="00323C80"/>
    <w:rsid w:val="00323EBA"/>
    <w:rsid w:val="00324013"/>
    <w:rsid w:val="00324F1A"/>
    <w:rsid w:val="003276E6"/>
    <w:rsid w:val="003317D8"/>
    <w:rsid w:val="00331B22"/>
    <w:rsid w:val="00334E9C"/>
    <w:rsid w:val="0033721A"/>
    <w:rsid w:val="0033797C"/>
    <w:rsid w:val="00337A07"/>
    <w:rsid w:val="0034003A"/>
    <w:rsid w:val="003411BB"/>
    <w:rsid w:val="003423E1"/>
    <w:rsid w:val="00343239"/>
    <w:rsid w:val="00347635"/>
    <w:rsid w:val="003522E7"/>
    <w:rsid w:val="00354060"/>
    <w:rsid w:val="003555A7"/>
    <w:rsid w:val="003616E7"/>
    <w:rsid w:val="003617C0"/>
    <w:rsid w:val="00363663"/>
    <w:rsid w:val="00363739"/>
    <w:rsid w:val="0036398A"/>
    <w:rsid w:val="00363EB3"/>
    <w:rsid w:val="003640E6"/>
    <w:rsid w:val="00364204"/>
    <w:rsid w:val="00364F7E"/>
    <w:rsid w:val="00365C1F"/>
    <w:rsid w:val="003673C8"/>
    <w:rsid w:val="00367B1E"/>
    <w:rsid w:val="00373ECE"/>
    <w:rsid w:val="003775B5"/>
    <w:rsid w:val="00381D88"/>
    <w:rsid w:val="00382982"/>
    <w:rsid w:val="003833B0"/>
    <w:rsid w:val="00384CC7"/>
    <w:rsid w:val="00386973"/>
    <w:rsid w:val="00391AAD"/>
    <w:rsid w:val="0039379C"/>
    <w:rsid w:val="00396B28"/>
    <w:rsid w:val="003A269C"/>
    <w:rsid w:val="003A3A26"/>
    <w:rsid w:val="003A3E70"/>
    <w:rsid w:val="003A4F32"/>
    <w:rsid w:val="003A604E"/>
    <w:rsid w:val="003A6C42"/>
    <w:rsid w:val="003A6D46"/>
    <w:rsid w:val="003A6D81"/>
    <w:rsid w:val="003A6F42"/>
    <w:rsid w:val="003B0188"/>
    <w:rsid w:val="003B0CC4"/>
    <w:rsid w:val="003B7D37"/>
    <w:rsid w:val="003C049A"/>
    <w:rsid w:val="003C0961"/>
    <w:rsid w:val="003C1CA9"/>
    <w:rsid w:val="003C3C84"/>
    <w:rsid w:val="003C63D1"/>
    <w:rsid w:val="003C6B8D"/>
    <w:rsid w:val="003C6C03"/>
    <w:rsid w:val="003C7291"/>
    <w:rsid w:val="003D289B"/>
    <w:rsid w:val="003D525B"/>
    <w:rsid w:val="003D54F3"/>
    <w:rsid w:val="003E0911"/>
    <w:rsid w:val="003E20E3"/>
    <w:rsid w:val="003E22ED"/>
    <w:rsid w:val="003E3C5A"/>
    <w:rsid w:val="003E3DCE"/>
    <w:rsid w:val="003E417C"/>
    <w:rsid w:val="003E47D2"/>
    <w:rsid w:val="003E65FA"/>
    <w:rsid w:val="003E6B5D"/>
    <w:rsid w:val="003F209C"/>
    <w:rsid w:val="003F22B7"/>
    <w:rsid w:val="003F3745"/>
    <w:rsid w:val="003F60A6"/>
    <w:rsid w:val="003F61F8"/>
    <w:rsid w:val="003F6234"/>
    <w:rsid w:val="003F6A11"/>
    <w:rsid w:val="003F7AF0"/>
    <w:rsid w:val="003F7F7B"/>
    <w:rsid w:val="0040337B"/>
    <w:rsid w:val="004041DB"/>
    <w:rsid w:val="00405607"/>
    <w:rsid w:val="00407E55"/>
    <w:rsid w:val="0041259A"/>
    <w:rsid w:val="00416B72"/>
    <w:rsid w:val="00417233"/>
    <w:rsid w:val="00422EC7"/>
    <w:rsid w:val="00426018"/>
    <w:rsid w:val="004310C8"/>
    <w:rsid w:val="00434E1A"/>
    <w:rsid w:val="004402FC"/>
    <w:rsid w:val="00444AAA"/>
    <w:rsid w:val="004455EC"/>
    <w:rsid w:val="00445DBA"/>
    <w:rsid w:val="0044674C"/>
    <w:rsid w:val="00447875"/>
    <w:rsid w:val="00451EE3"/>
    <w:rsid w:val="00456A3C"/>
    <w:rsid w:val="00456A7A"/>
    <w:rsid w:val="00462DCF"/>
    <w:rsid w:val="0046362E"/>
    <w:rsid w:val="004655B9"/>
    <w:rsid w:val="00466D7E"/>
    <w:rsid w:val="00466DA5"/>
    <w:rsid w:val="00467EF8"/>
    <w:rsid w:val="00470909"/>
    <w:rsid w:val="004710E2"/>
    <w:rsid w:val="00472052"/>
    <w:rsid w:val="004733B6"/>
    <w:rsid w:val="00473B22"/>
    <w:rsid w:val="00473B7A"/>
    <w:rsid w:val="0047660F"/>
    <w:rsid w:val="0047789F"/>
    <w:rsid w:val="00481D13"/>
    <w:rsid w:val="00484100"/>
    <w:rsid w:val="00484D8D"/>
    <w:rsid w:val="00486511"/>
    <w:rsid w:val="00490025"/>
    <w:rsid w:val="004929AD"/>
    <w:rsid w:val="004951BC"/>
    <w:rsid w:val="004957D2"/>
    <w:rsid w:val="00495AFC"/>
    <w:rsid w:val="004A04DF"/>
    <w:rsid w:val="004A0D1A"/>
    <w:rsid w:val="004A466C"/>
    <w:rsid w:val="004A6562"/>
    <w:rsid w:val="004B1D9E"/>
    <w:rsid w:val="004B292C"/>
    <w:rsid w:val="004B2AC5"/>
    <w:rsid w:val="004C0604"/>
    <w:rsid w:val="004C1445"/>
    <w:rsid w:val="004C3B4A"/>
    <w:rsid w:val="004C5601"/>
    <w:rsid w:val="004C57DC"/>
    <w:rsid w:val="004D00BE"/>
    <w:rsid w:val="004D20F5"/>
    <w:rsid w:val="004D3ECA"/>
    <w:rsid w:val="004D4DF4"/>
    <w:rsid w:val="004D5231"/>
    <w:rsid w:val="004D599A"/>
    <w:rsid w:val="004D5C41"/>
    <w:rsid w:val="004E2088"/>
    <w:rsid w:val="004E2B09"/>
    <w:rsid w:val="004E30FA"/>
    <w:rsid w:val="004E4C13"/>
    <w:rsid w:val="004E558F"/>
    <w:rsid w:val="004E631C"/>
    <w:rsid w:val="004E703E"/>
    <w:rsid w:val="004F4343"/>
    <w:rsid w:val="005008D6"/>
    <w:rsid w:val="00500EF6"/>
    <w:rsid w:val="00502012"/>
    <w:rsid w:val="00502729"/>
    <w:rsid w:val="00502EF7"/>
    <w:rsid w:val="00503C80"/>
    <w:rsid w:val="00506734"/>
    <w:rsid w:val="00512203"/>
    <w:rsid w:val="00512300"/>
    <w:rsid w:val="00513BBF"/>
    <w:rsid w:val="00515A66"/>
    <w:rsid w:val="005166DE"/>
    <w:rsid w:val="005168C5"/>
    <w:rsid w:val="00517524"/>
    <w:rsid w:val="00520E8F"/>
    <w:rsid w:val="0052280D"/>
    <w:rsid w:val="005257DD"/>
    <w:rsid w:val="00525B9D"/>
    <w:rsid w:val="00525BEE"/>
    <w:rsid w:val="00526E0B"/>
    <w:rsid w:val="00526EFA"/>
    <w:rsid w:val="00531C20"/>
    <w:rsid w:val="0053414C"/>
    <w:rsid w:val="00534185"/>
    <w:rsid w:val="00534186"/>
    <w:rsid w:val="00534374"/>
    <w:rsid w:val="00534B05"/>
    <w:rsid w:val="005403C3"/>
    <w:rsid w:val="00541030"/>
    <w:rsid w:val="00542F18"/>
    <w:rsid w:val="005466E2"/>
    <w:rsid w:val="00547F88"/>
    <w:rsid w:val="00553B08"/>
    <w:rsid w:val="00555D0C"/>
    <w:rsid w:val="0056043F"/>
    <w:rsid w:val="005617FA"/>
    <w:rsid w:val="00561DB2"/>
    <w:rsid w:val="0056231F"/>
    <w:rsid w:val="005636E0"/>
    <w:rsid w:val="00563C86"/>
    <w:rsid w:val="00566D85"/>
    <w:rsid w:val="00566FC3"/>
    <w:rsid w:val="0056717E"/>
    <w:rsid w:val="00567A5A"/>
    <w:rsid w:val="00571732"/>
    <w:rsid w:val="0057272C"/>
    <w:rsid w:val="005764A2"/>
    <w:rsid w:val="00583D86"/>
    <w:rsid w:val="00584A8A"/>
    <w:rsid w:val="00584D1F"/>
    <w:rsid w:val="00584F6F"/>
    <w:rsid w:val="00587190"/>
    <w:rsid w:val="00590AB7"/>
    <w:rsid w:val="0059163E"/>
    <w:rsid w:val="00591685"/>
    <w:rsid w:val="00591E32"/>
    <w:rsid w:val="005927E4"/>
    <w:rsid w:val="00594BA3"/>
    <w:rsid w:val="005961B3"/>
    <w:rsid w:val="005A16B9"/>
    <w:rsid w:val="005A2D85"/>
    <w:rsid w:val="005A302E"/>
    <w:rsid w:val="005A34D9"/>
    <w:rsid w:val="005A53AB"/>
    <w:rsid w:val="005A5A6B"/>
    <w:rsid w:val="005A5BF1"/>
    <w:rsid w:val="005A628C"/>
    <w:rsid w:val="005A640A"/>
    <w:rsid w:val="005B4B73"/>
    <w:rsid w:val="005B5F95"/>
    <w:rsid w:val="005C02AB"/>
    <w:rsid w:val="005C47BF"/>
    <w:rsid w:val="005C47D4"/>
    <w:rsid w:val="005C6B75"/>
    <w:rsid w:val="005C6E45"/>
    <w:rsid w:val="005C7032"/>
    <w:rsid w:val="005C77D4"/>
    <w:rsid w:val="005D2ED9"/>
    <w:rsid w:val="005D3104"/>
    <w:rsid w:val="005D678C"/>
    <w:rsid w:val="005D6CFF"/>
    <w:rsid w:val="005D7024"/>
    <w:rsid w:val="005D7367"/>
    <w:rsid w:val="005E037B"/>
    <w:rsid w:val="005E0678"/>
    <w:rsid w:val="005E1956"/>
    <w:rsid w:val="005E1A7F"/>
    <w:rsid w:val="005E28EB"/>
    <w:rsid w:val="005E5F0D"/>
    <w:rsid w:val="005E7770"/>
    <w:rsid w:val="005F01EB"/>
    <w:rsid w:val="005F18A0"/>
    <w:rsid w:val="005F2154"/>
    <w:rsid w:val="005F33C6"/>
    <w:rsid w:val="005F3D61"/>
    <w:rsid w:val="005F3EC0"/>
    <w:rsid w:val="005F522A"/>
    <w:rsid w:val="005F5F1D"/>
    <w:rsid w:val="005F64B4"/>
    <w:rsid w:val="005F65AD"/>
    <w:rsid w:val="006002D8"/>
    <w:rsid w:val="006009FB"/>
    <w:rsid w:val="0060123F"/>
    <w:rsid w:val="00604CA8"/>
    <w:rsid w:val="00607E06"/>
    <w:rsid w:val="00610C50"/>
    <w:rsid w:val="00611870"/>
    <w:rsid w:val="00614441"/>
    <w:rsid w:val="006153AF"/>
    <w:rsid w:val="00616892"/>
    <w:rsid w:val="00617B44"/>
    <w:rsid w:val="0062249D"/>
    <w:rsid w:val="00627237"/>
    <w:rsid w:val="00627C9B"/>
    <w:rsid w:val="00630198"/>
    <w:rsid w:val="00630F6E"/>
    <w:rsid w:val="0063181E"/>
    <w:rsid w:val="00634A0A"/>
    <w:rsid w:val="006374AF"/>
    <w:rsid w:val="00640CB2"/>
    <w:rsid w:val="006428F5"/>
    <w:rsid w:val="00646B2D"/>
    <w:rsid w:val="00651C43"/>
    <w:rsid w:val="00653279"/>
    <w:rsid w:val="006578C1"/>
    <w:rsid w:val="006637D5"/>
    <w:rsid w:val="006655BD"/>
    <w:rsid w:val="00666D52"/>
    <w:rsid w:val="00666D9D"/>
    <w:rsid w:val="0067096C"/>
    <w:rsid w:val="006724FA"/>
    <w:rsid w:val="0067343D"/>
    <w:rsid w:val="006739A9"/>
    <w:rsid w:val="0067614F"/>
    <w:rsid w:val="00676F08"/>
    <w:rsid w:val="00685DDE"/>
    <w:rsid w:val="00686504"/>
    <w:rsid w:val="006867B9"/>
    <w:rsid w:val="00686B12"/>
    <w:rsid w:val="00687017"/>
    <w:rsid w:val="00687C10"/>
    <w:rsid w:val="00690FBF"/>
    <w:rsid w:val="00692D18"/>
    <w:rsid w:val="00694712"/>
    <w:rsid w:val="00694CBA"/>
    <w:rsid w:val="006964D3"/>
    <w:rsid w:val="00697436"/>
    <w:rsid w:val="006A14F0"/>
    <w:rsid w:val="006A17C5"/>
    <w:rsid w:val="006A1C63"/>
    <w:rsid w:val="006A1EE4"/>
    <w:rsid w:val="006A32BC"/>
    <w:rsid w:val="006A3B36"/>
    <w:rsid w:val="006A7D7A"/>
    <w:rsid w:val="006B12C7"/>
    <w:rsid w:val="006B1499"/>
    <w:rsid w:val="006B18E0"/>
    <w:rsid w:val="006B2315"/>
    <w:rsid w:val="006B402A"/>
    <w:rsid w:val="006B7F75"/>
    <w:rsid w:val="006C03D6"/>
    <w:rsid w:val="006C1C33"/>
    <w:rsid w:val="006C2F5F"/>
    <w:rsid w:val="006C3881"/>
    <w:rsid w:val="006C417C"/>
    <w:rsid w:val="006C501B"/>
    <w:rsid w:val="006D06AB"/>
    <w:rsid w:val="006D1E7A"/>
    <w:rsid w:val="006D2AEF"/>
    <w:rsid w:val="006D37CA"/>
    <w:rsid w:val="006D50CD"/>
    <w:rsid w:val="006D6C6F"/>
    <w:rsid w:val="006D6ED6"/>
    <w:rsid w:val="006D7817"/>
    <w:rsid w:val="006E0858"/>
    <w:rsid w:val="006E3C41"/>
    <w:rsid w:val="006E562F"/>
    <w:rsid w:val="006E64F9"/>
    <w:rsid w:val="006E6BFB"/>
    <w:rsid w:val="006E7DB6"/>
    <w:rsid w:val="006F12D4"/>
    <w:rsid w:val="006F232E"/>
    <w:rsid w:val="00700016"/>
    <w:rsid w:val="007001D7"/>
    <w:rsid w:val="00700966"/>
    <w:rsid w:val="00700B38"/>
    <w:rsid w:val="00701C7B"/>
    <w:rsid w:val="00702ABE"/>
    <w:rsid w:val="00706681"/>
    <w:rsid w:val="00707852"/>
    <w:rsid w:val="007108F2"/>
    <w:rsid w:val="00710B4A"/>
    <w:rsid w:val="00710F7D"/>
    <w:rsid w:val="007143B7"/>
    <w:rsid w:val="00714FA3"/>
    <w:rsid w:val="00723702"/>
    <w:rsid w:val="00724881"/>
    <w:rsid w:val="007252D1"/>
    <w:rsid w:val="00725798"/>
    <w:rsid w:val="0072764A"/>
    <w:rsid w:val="007326F7"/>
    <w:rsid w:val="007339A3"/>
    <w:rsid w:val="007409B2"/>
    <w:rsid w:val="007415A8"/>
    <w:rsid w:val="007415FD"/>
    <w:rsid w:val="00742117"/>
    <w:rsid w:val="0074244F"/>
    <w:rsid w:val="007425B6"/>
    <w:rsid w:val="00744AB3"/>
    <w:rsid w:val="0074593C"/>
    <w:rsid w:val="00745A06"/>
    <w:rsid w:val="00746D34"/>
    <w:rsid w:val="00752B86"/>
    <w:rsid w:val="007540C2"/>
    <w:rsid w:val="007647D4"/>
    <w:rsid w:val="007700AE"/>
    <w:rsid w:val="007710D6"/>
    <w:rsid w:val="00774C1F"/>
    <w:rsid w:val="00780162"/>
    <w:rsid w:val="007824B6"/>
    <w:rsid w:val="00782EEE"/>
    <w:rsid w:val="00784107"/>
    <w:rsid w:val="00785572"/>
    <w:rsid w:val="00785734"/>
    <w:rsid w:val="00787400"/>
    <w:rsid w:val="007902C7"/>
    <w:rsid w:val="0079277B"/>
    <w:rsid w:val="00792DCE"/>
    <w:rsid w:val="00795CEC"/>
    <w:rsid w:val="00796463"/>
    <w:rsid w:val="007A0D5D"/>
    <w:rsid w:val="007A1E8F"/>
    <w:rsid w:val="007A5FC2"/>
    <w:rsid w:val="007A7E95"/>
    <w:rsid w:val="007B011E"/>
    <w:rsid w:val="007B01C7"/>
    <w:rsid w:val="007B03E5"/>
    <w:rsid w:val="007B1884"/>
    <w:rsid w:val="007B2253"/>
    <w:rsid w:val="007B3DDD"/>
    <w:rsid w:val="007B41DF"/>
    <w:rsid w:val="007B574B"/>
    <w:rsid w:val="007B599D"/>
    <w:rsid w:val="007B5F17"/>
    <w:rsid w:val="007B69E1"/>
    <w:rsid w:val="007C04A8"/>
    <w:rsid w:val="007C0808"/>
    <w:rsid w:val="007C181F"/>
    <w:rsid w:val="007C21F2"/>
    <w:rsid w:val="007C285A"/>
    <w:rsid w:val="007C2E52"/>
    <w:rsid w:val="007C5457"/>
    <w:rsid w:val="007C57B2"/>
    <w:rsid w:val="007C639A"/>
    <w:rsid w:val="007D0456"/>
    <w:rsid w:val="007D0B76"/>
    <w:rsid w:val="007D2A83"/>
    <w:rsid w:val="007D4193"/>
    <w:rsid w:val="007D55E3"/>
    <w:rsid w:val="007D564C"/>
    <w:rsid w:val="007D604A"/>
    <w:rsid w:val="007D74A8"/>
    <w:rsid w:val="007D7FDC"/>
    <w:rsid w:val="007E08EB"/>
    <w:rsid w:val="007E1009"/>
    <w:rsid w:val="007E1490"/>
    <w:rsid w:val="007E27A0"/>
    <w:rsid w:val="007E6007"/>
    <w:rsid w:val="007E635A"/>
    <w:rsid w:val="007E6430"/>
    <w:rsid w:val="007E6807"/>
    <w:rsid w:val="007E7531"/>
    <w:rsid w:val="007E7C77"/>
    <w:rsid w:val="007E7CF2"/>
    <w:rsid w:val="007F0F0E"/>
    <w:rsid w:val="008030C8"/>
    <w:rsid w:val="0080441F"/>
    <w:rsid w:val="00804C26"/>
    <w:rsid w:val="00805583"/>
    <w:rsid w:val="008075E1"/>
    <w:rsid w:val="0081041F"/>
    <w:rsid w:val="00810D1F"/>
    <w:rsid w:val="00811B89"/>
    <w:rsid w:val="00813B0F"/>
    <w:rsid w:val="00813D18"/>
    <w:rsid w:val="008145A6"/>
    <w:rsid w:val="00814820"/>
    <w:rsid w:val="0081487C"/>
    <w:rsid w:val="00814D23"/>
    <w:rsid w:val="0081552C"/>
    <w:rsid w:val="00815785"/>
    <w:rsid w:val="00815D91"/>
    <w:rsid w:val="00816A2E"/>
    <w:rsid w:val="0082093A"/>
    <w:rsid w:val="00820D98"/>
    <w:rsid w:val="008216C5"/>
    <w:rsid w:val="008220E8"/>
    <w:rsid w:val="00823788"/>
    <w:rsid w:val="00823846"/>
    <w:rsid w:val="00824CB6"/>
    <w:rsid w:val="008316E8"/>
    <w:rsid w:val="00831C7C"/>
    <w:rsid w:val="00832B36"/>
    <w:rsid w:val="00832E3C"/>
    <w:rsid w:val="00834DCB"/>
    <w:rsid w:val="00834F67"/>
    <w:rsid w:val="00835AA9"/>
    <w:rsid w:val="00836A44"/>
    <w:rsid w:val="00836D13"/>
    <w:rsid w:val="0083797D"/>
    <w:rsid w:val="00841DA2"/>
    <w:rsid w:val="00844ACC"/>
    <w:rsid w:val="008451EA"/>
    <w:rsid w:val="00845211"/>
    <w:rsid w:val="00847AD2"/>
    <w:rsid w:val="00851168"/>
    <w:rsid w:val="00851181"/>
    <w:rsid w:val="00851207"/>
    <w:rsid w:val="00853C15"/>
    <w:rsid w:val="0085465E"/>
    <w:rsid w:val="00854E87"/>
    <w:rsid w:val="00856E55"/>
    <w:rsid w:val="0086026F"/>
    <w:rsid w:val="00860BF5"/>
    <w:rsid w:val="0086216F"/>
    <w:rsid w:val="00863DCF"/>
    <w:rsid w:val="008649C4"/>
    <w:rsid w:val="008651C5"/>
    <w:rsid w:val="008656B8"/>
    <w:rsid w:val="00865B5B"/>
    <w:rsid w:val="00866825"/>
    <w:rsid w:val="00867544"/>
    <w:rsid w:val="008675F0"/>
    <w:rsid w:val="00867666"/>
    <w:rsid w:val="00871058"/>
    <w:rsid w:val="008715DA"/>
    <w:rsid w:val="0087208D"/>
    <w:rsid w:val="00873E67"/>
    <w:rsid w:val="00875F1F"/>
    <w:rsid w:val="0087697D"/>
    <w:rsid w:val="008814AE"/>
    <w:rsid w:val="00881BD1"/>
    <w:rsid w:val="00883D22"/>
    <w:rsid w:val="00886198"/>
    <w:rsid w:val="00886304"/>
    <w:rsid w:val="008871CA"/>
    <w:rsid w:val="00887582"/>
    <w:rsid w:val="008876F5"/>
    <w:rsid w:val="00891A51"/>
    <w:rsid w:val="0089416A"/>
    <w:rsid w:val="00894585"/>
    <w:rsid w:val="00895830"/>
    <w:rsid w:val="00896C7C"/>
    <w:rsid w:val="00897EA1"/>
    <w:rsid w:val="008A2765"/>
    <w:rsid w:val="008A4BD0"/>
    <w:rsid w:val="008A4CA7"/>
    <w:rsid w:val="008A5DC9"/>
    <w:rsid w:val="008A632A"/>
    <w:rsid w:val="008B1727"/>
    <w:rsid w:val="008B21B8"/>
    <w:rsid w:val="008B38DB"/>
    <w:rsid w:val="008B601A"/>
    <w:rsid w:val="008C0B59"/>
    <w:rsid w:val="008C20DC"/>
    <w:rsid w:val="008C3696"/>
    <w:rsid w:val="008C492F"/>
    <w:rsid w:val="008C54C5"/>
    <w:rsid w:val="008C6796"/>
    <w:rsid w:val="008D2622"/>
    <w:rsid w:val="008D7045"/>
    <w:rsid w:val="008E21A5"/>
    <w:rsid w:val="008E4E07"/>
    <w:rsid w:val="008E78FD"/>
    <w:rsid w:val="008F1E37"/>
    <w:rsid w:val="008F1E74"/>
    <w:rsid w:val="008F259A"/>
    <w:rsid w:val="008F42DB"/>
    <w:rsid w:val="008F50F3"/>
    <w:rsid w:val="008F54AA"/>
    <w:rsid w:val="008F555C"/>
    <w:rsid w:val="008F5929"/>
    <w:rsid w:val="0090090A"/>
    <w:rsid w:val="00900C19"/>
    <w:rsid w:val="00901C19"/>
    <w:rsid w:val="0090236E"/>
    <w:rsid w:val="0090286D"/>
    <w:rsid w:val="009028F8"/>
    <w:rsid w:val="0090329B"/>
    <w:rsid w:val="00904804"/>
    <w:rsid w:val="00905D3F"/>
    <w:rsid w:val="00906051"/>
    <w:rsid w:val="009073E2"/>
    <w:rsid w:val="0091050B"/>
    <w:rsid w:val="00912832"/>
    <w:rsid w:val="009138C0"/>
    <w:rsid w:val="00913CE6"/>
    <w:rsid w:val="009165AC"/>
    <w:rsid w:val="00916C1E"/>
    <w:rsid w:val="00917215"/>
    <w:rsid w:val="00921D3D"/>
    <w:rsid w:val="00923097"/>
    <w:rsid w:val="009242AB"/>
    <w:rsid w:val="00924354"/>
    <w:rsid w:val="00924CF0"/>
    <w:rsid w:val="00927C50"/>
    <w:rsid w:val="00927DF8"/>
    <w:rsid w:val="009300FB"/>
    <w:rsid w:val="009311D0"/>
    <w:rsid w:val="00931590"/>
    <w:rsid w:val="009339C4"/>
    <w:rsid w:val="00940CC4"/>
    <w:rsid w:val="00943189"/>
    <w:rsid w:val="0095217B"/>
    <w:rsid w:val="009549DF"/>
    <w:rsid w:val="00956DCD"/>
    <w:rsid w:val="0095772C"/>
    <w:rsid w:val="00960061"/>
    <w:rsid w:val="009602CD"/>
    <w:rsid w:val="00960418"/>
    <w:rsid w:val="00970040"/>
    <w:rsid w:val="009719B7"/>
    <w:rsid w:val="009725F4"/>
    <w:rsid w:val="00972C29"/>
    <w:rsid w:val="00973B98"/>
    <w:rsid w:val="00974675"/>
    <w:rsid w:val="00974C63"/>
    <w:rsid w:val="00975B34"/>
    <w:rsid w:val="00975F35"/>
    <w:rsid w:val="00976A10"/>
    <w:rsid w:val="00976C5E"/>
    <w:rsid w:val="00977EA3"/>
    <w:rsid w:val="00980D7C"/>
    <w:rsid w:val="00983BA6"/>
    <w:rsid w:val="00986178"/>
    <w:rsid w:val="009871F5"/>
    <w:rsid w:val="00990919"/>
    <w:rsid w:val="009928CC"/>
    <w:rsid w:val="00993F06"/>
    <w:rsid w:val="00994FD3"/>
    <w:rsid w:val="00995930"/>
    <w:rsid w:val="009967F2"/>
    <w:rsid w:val="009A0E7A"/>
    <w:rsid w:val="009A172A"/>
    <w:rsid w:val="009A1760"/>
    <w:rsid w:val="009A1858"/>
    <w:rsid w:val="009A1940"/>
    <w:rsid w:val="009A4719"/>
    <w:rsid w:val="009A4E21"/>
    <w:rsid w:val="009A55DA"/>
    <w:rsid w:val="009A62F3"/>
    <w:rsid w:val="009A659D"/>
    <w:rsid w:val="009B3658"/>
    <w:rsid w:val="009B4504"/>
    <w:rsid w:val="009B5F3E"/>
    <w:rsid w:val="009B71A3"/>
    <w:rsid w:val="009B74E3"/>
    <w:rsid w:val="009B7C2F"/>
    <w:rsid w:val="009C0B82"/>
    <w:rsid w:val="009C17EA"/>
    <w:rsid w:val="009C204A"/>
    <w:rsid w:val="009C3688"/>
    <w:rsid w:val="009C4FD6"/>
    <w:rsid w:val="009C7456"/>
    <w:rsid w:val="009D0E2E"/>
    <w:rsid w:val="009D372F"/>
    <w:rsid w:val="009D4245"/>
    <w:rsid w:val="009E0428"/>
    <w:rsid w:val="009E062E"/>
    <w:rsid w:val="009E326A"/>
    <w:rsid w:val="009E723E"/>
    <w:rsid w:val="009F17B4"/>
    <w:rsid w:val="009F1A21"/>
    <w:rsid w:val="009F236D"/>
    <w:rsid w:val="009F3C22"/>
    <w:rsid w:val="009F3CBD"/>
    <w:rsid w:val="009F3EFE"/>
    <w:rsid w:val="009F4205"/>
    <w:rsid w:val="009F502A"/>
    <w:rsid w:val="009F6352"/>
    <w:rsid w:val="00A00C5A"/>
    <w:rsid w:val="00A01C85"/>
    <w:rsid w:val="00A04B0D"/>
    <w:rsid w:val="00A05865"/>
    <w:rsid w:val="00A06A38"/>
    <w:rsid w:val="00A06A4E"/>
    <w:rsid w:val="00A06B3A"/>
    <w:rsid w:val="00A07498"/>
    <w:rsid w:val="00A108B2"/>
    <w:rsid w:val="00A10941"/>
    <w:rsid w:val="00A1119C"/>
    <w:rsid w:val="00A1765F"/>
    <w:rsid w:val="00A17730"/>
    <w:rsid w:val="00A20B17"/>
    <w:rsid w:val="00A23A4B"/>
    <w:rsid w:val="00A24380"/>
    <w:rsid w:val="00A30414"/>
    <w:rsid w:val="00A31C14"/>
    <w:rsid w:val="00A35565"/>
    <w:rsid w:val="00A40C2F"/>
    <w:rsid w:val="00A422B6"/>
    <w:rsid w:val="00A42DC3"/>
    <w:rsid w:val="00A42FC5"/>
    <w:rsid w:val="00A43747"/>
    <w:rsid w:val="00A46DB6"/>
    <w:rsid w:val="00A51075"/>
    <w:rsid w:val="00A5300B"/>
    <w:rsid w:val="00A53F33"/>
    <w:rsid w:val="00A55904"/>
    <w:rsid w:val="00A55C05"/>
    <w:rsid w:val="00A57658"/>
    <w:rsid w:val="00A605A9"/>
    <w:rsid w:val="00A6107A"/>
    <w:rsid w:val="00A6128E"/>
    <w:rsid w:val="00A61521"/>
    <w:rsid w:val="00A62F3A"/>
    <w:rsid w:val="00A65638"/>
    <w:rsid w:val="00A6684E"/>
    <w:rsid w:val="00A66F89"/>
    <w:rsid w:val="00A67ADE"/>
    <w:rsid w:val="00A67D0E"/>
    <w:rsid w:val="00A71030"/>
    <w:rsid w:val="00A749F3"/>
    <w:rsid w:val="00A75D79"/>
    <w:rsid w:val="00A76209"/>
    <w:rsid w:val="00A76BA8"/>
    <w:rsid w:val="00A77598"/>
    <w:rsid w:val="00A77C4D"/>
    <w:rsid w:val="00A83116"/>
    <w:rsid w:val="00A847DE"/>
    <w:rsid w:val="00A84E22"/>
    <w:rsid w:val="00A85AFD"/>
    <w:rsid w:val="00A86740"/>
    <w:rsid w:val="00A86B2B"/>
    <w:rsid w:val="00A8709E"/>
    <w:rsid w:val="00A914E4"/>
    <w:rsid w:val="00A93837"/>
    <w:rsid w:val="00A95882"/>
    <w:rsid w:val="00AA1384"/>
    <w:rsid w:val="00AA1886"/>
    <w:rsid w:val="00AA18F3"/>
    <w:rsid w:val="00AA1D06"/>
    <w:rsid w:val="00AA311B"/>
    <w:rsid w:val="00AA3A5F"/>
    <w:rsid w:val="00AA4FE6"/>
    <w:rsid w:val="00AA6761"/>
    <w:rsid w:val="00AA7448"/>
    <w:rsid w:val="00AA7A1E"/>
    <w:rsid w:val="00AB043E"/>
    <w:rsid w:val="00AB0702"/>
    <w:rsid w:val="00AB0984"/>
    <w:rsid w:val="00AB2BA0"/>
    <w:rsid w:val="00AB336E"/>
    <w:rsid w:val="00AB3C65"/>
    <w:rsid w:val="00AB461A"/>
    <w:rsid w:val="00AB5116"/>
    <w:rsid w:val="00AB6DF1"/>
    <w:rsid w:val="00AB7481"/>
    <w:rsid w:val="00AC1A7E"/>
    <w:rsid w:val="00AC2979"/>
    <w:rsid w:val="00AC31B7"/>
    <w:rsid w:val="00AC5614"/>
    <w:rsid w:val="00AC5D91"/>
    <w:rsid w:val="00AC63FD"/>
    <w:rsid w:val="00AD0E79"/>
    <w:rsid w:val="00AD0FE3"/>
    <w:rsid w:val="00AD128B"/>
    <w:rsid w:val="00AD12E9"/>
    <w:rsid w:val="00AD1638"/>
    <w:rsid w:val="00AD1D8E"/>
    <w:rsid w:val="00AD45A7"/>
    <w:rsid w:val="00AD6B75"/>
    <w:rsid w:val="00AD7BB9"/>
    <w:rsid w:val="00AD7D98"/>
    <w:rsid w:val="00AD7F5F"/>
    <w:rsid w:val="00AE52A5"/>
    <w:rsid w:val="00AE5764"/>
    <w:rsid w:val="00AE5EB9"/>
    <w:rsid w:val="00AE626E"/>
    <w:rsid w:val="00AF4E07"/>
    <w:rsid w:val="00AF5D91"/>
    <w:rsid w:val="00AF7CC7"/>
    <w:rsid w:val="00B03308"/>
    <w:rsid w:val="00B03A71"/>
    <w:rsid w:val="00B04969"/>
    <w:rsid w:val="00B0696D"/>
    <w:rsid w:val="00B1080A"/>
    <w:rsid w:val="00B10AD0"/>
    <w:rsid w:val="00B13022"/>
    <w:rsid w:val="00B1524F"/>
    <w:rsid w:val="00B174F9"/>
    <w:rsid w:val="00B21687"/>
    <w:rsid w:val="00B21AEA"/>
    <w:rsid w:val="00B24B67"/>
    <w:rsid w:val="00B24C71"/>
    <w:rsid w:val="00B2552D"/>
    <w:rsid w:val="00B303C4"/>
    <w:rsid w:val="00B30938"/>
    <w:rsid w:val="00B31A2E"/>
    <w:rsid w:val="00B3288F"/>
    <w:rsid w:val="00B32A40"/>
    <w:rsid w:val="00B3424E"/>
    <w:rsid w:val="00B34562"/>
    <w:rsid w:val="00B3464C"/>
    <w:rsid w:val="00B35ABC"/>
    <w:rsid w:val="00B36BB2"/>
    <w:rsid w:val="00B370F6"/>
    <w:rsid w:val="00B37621"/>
    <w:rsid w:val="00B376D6"/>
    <w:rsid w:val="00B37E91"/>
    <w:rsid w:val="00B4171F"/>
    <w:rsid w:val="00B41C60"/>
    <w:rsid w:val="00B421AF"/>
    <w:rsid w:val="00B42CE2"/>
    <w:rsid w:val="00B44505"/>
    <w:rsid w:val="00B456F7"/>
    <w:rsid w:val="00B53C58"/>
    <w:rsid w:val="00B54470"/>
    <w:rsid w:val="00B55841"/>
    <w:rsid w:val="00B56DD0"/>
    <w:rsid w:val="00B601A7"/>
    <w:rsid w:val="00B66DAB"/>
    <w:rsid w:val="00B71983"/>
    <w:rsid w:val="00B7370E"/>
    <w:rsid w:val="00B737FD"/>
    <w:rsid w:val="00B75355"/>
    <w:rsid w:val="00B77590"/>
    <w:rsid w:val="00B77B4D"/>
    <w:rsid w:val="00B813F0"/>
    <w:rsid w:val="00B838C7"/>
    <w:rsid w:val="00B83AC8"/>
    <w:rsid w:val="00B83BF6"/>
    <w:rsid w:val="00B84CDC"/>
    <w:rsid w:val="00B86183"/>
    <w:rsid w:val="00B93A84"/>
    <w:rsid w:val="00B95316"/>
    <w:rsid w:val="00B96A42"/>
    <w:rsid w:val="00BA0030"/>
    <w:rsid w:val="00BA1CF4"/>
    <w:rsid w:val="00BA1E7B"/>
    <w:rsid w:val="00BA2D88"/>
    <w:rsid w:val="00BA4F23"/>
    <w:rsid w:val="00BA73E0"/>
    <w:rsid w:val="00BB1CF0"/>
    <w:rsid w:val="00BB2BED"/>
    <w:rsid w:val="00BB3767"/>
    <w:rsid w:val="00BB3D68"/>
    <w:rsid w:val="00BB4731"/>
    <w:rsid w:val="00BB6425"/>
    <w:rsid w:val="00BC06FC"/>
    <w:rsid w:val="00BC4E4F"/>
    <w:rsid w:val="00BD1796"/>
    <w:rsid w:val="00BD1834"/>
    <w:rsid w:val="00BD2C89"/>
    <w:rsid w:val="00BD39E7"/>
    <w:rsid w:val="00BD4962"/>
    <w:rsid w:val="00BD5462"/>
    <w:rsid w:val="00BD6BC1"/>
    <w:rsid w:val="00BD7AA9"/>
    <w:rsid w:val="00BE22F7"/>
    <w:rsid w:val="00BE3702"/>
    <w:rsid w:val="00BE7218"/>
    <w:rsid w:val="00BF01CC"/>
    <w:rsid w:val="00BF2C7A"/>
    <w:rsid w:val="00BF2F0A"/>
    <w:rsid w:val="00BF5C48"/>
    <w:rsid w:val="00BF60B7"/>
    <w:rsid w:val="00BF7769"/>
    <w:rsid w:val="00BF7B02"/>
    <w:rsid w:val="00C0051B"/>
    <w:rsid w:val="00C0093C"/>
    <w:rsid w:val="00C01148"/>
    <w:rsid w:val="00C0377D"/>
    <w:rsid w:val="00C041A2"/>
    <w:rsid w:val="00C049BB"/>
    <w:rsid w:val="00C05F01"/>
    <w:rsid w:val="00C07D1C"/>
    <w:rsid w:val="00C10DCD"/>
    <w:rsid w:val="00C12436"/>
    <w:rsid w:val="00C12641"/>
    <w:rsid w:val="00C128E8"/>
    <w:rsid w:val="00C13946"/>
    <w:rsid w:val="00C15403"/>
    <w:rsid w:val="00C16DEC"/>
    <w:rsid w:val="00C17F0C"/>
    <w:rsid w:val="00C2187D"/>
    <w:rsid w:val="00C21C36"/>
    <w:rsid w:val="00C2224F"/>
    <w:rsid w:val="00C22D54"/>
    <w:rsid w:val="00C240A1"/>
    <w:rsid w:val="00C2410C"/>
    <w:rsid w:val="00C26BAC"/>
    <w:rsid w:val="00C2724A"/>
    <w:rsid w:val="00C276FF"/>
    <w:rsid w:val="00C30818"/>
    <w:rsid w:val="00C344AF"/>
    <w:rsid w:val="00C35787"/>
    <w:rsid w:val="00C359A7"/>
    <w:rsid w:val="00C36C37"/>
    <w:rsid w:val="00C425CF"/>
    <w:rsid w:val="00C42881"/>
    <w:rsid w:val="00C42A4D"/>
    <w:rsid w:val="00C4547B"/>
    <w:rsid w:val="00C45A53"/>
    <w:rsid w:val="00C50901"/>
    <w:rsid w:val="00C52C39"/>
    <w:rsid w:val="00C5492E"/>
    <w:rsid w:val="00C63585"/>
    <w:rsid w:val="00C670F0"/>
    <w:rsid w:val="00C70069"/>
    <w:rsid w:val="00C71C35"/>
    <w:rsid w:val="00C72A60"/>
    <w:rsid w:val="00C72C9B"/>
    <w:rsid w:val="00C7682C"/>
    <w:rsid w:val="00C85B7F"/>
    <w:rsid w:val="00C86245"/>
    <w:rsid w:val="00C86838"/>
    <w:rsid w:val="00C87D8F"/>
    <w:rsid w:val="00C9108B"/>
    <w:rsid w:val="00C9167D"/>
    <w:rsid w:val="00C91FA4"/>
    <w:rsid w:val="00C9266B"/>
    <w:rsid w:val="00C93B3B"/>
    <w:rsid w:val="00C952A1"/>
    <w:rsid w:val="00CA02A5"/>
    <w:rsid w:val="00CA1930"/>
    <w:rsid w:val="00CA2742"/>
    <w:rsid w:val="00CA2E21"/>
    <w:rsid w:val="00CA34E1"/>
    <w:rsid w:val="00CA42D8"/>
    <w:rsid w:val="00CA4346"/>
    <w:rsid w:val="00CB0E63"/>
    <w:rsid w:val="00CB1765"/>
    <w:rsid w:val="00CB2D87"/>
    <w:rsid w:val="00CB2F65"/>
    <w:rsid w:val="00CB7146"/>
    <w:rsid w:val="00CB7B99"/>
    <w:rsid w:val="00CC0BCB"/>
    <w:rsid w:val="00CC1139"/>
    <w:rsid w:val="00CC2D7D"/>
    <w:rsid w:val="00CC309D"/>
    <w:rsid w:val="00CC491B"/>
    <w:rsid w:val="00CC5446"/>
    <w:rsid w:val="00CC7F30"/>
    <w:rsid w:val="00CD0643"/>
    <w:rsid w:val="00CD0EF1"/>
    <w:rsid w:val="00CD138B"/>
    <w:rsid w:val="00CD5074"/>
    <w:rsid w:val="00CD68D8"/>
    <w:rsid w:val="00CD69B1"/>
    <w:rsid w:val="00CD6DE0"/>
    <w:rsid w:val="00CD6E31"/>
    <w:rsid w:val="00CD7332"/>
    <w:rsid w:val="00CD7F10"/>
    <w:rsid w:val="00CE45C4"/>
    <w:rsid w:val="00CE49F5"/>
    <w:rsid w:val="00CE5F2A"/>
    <w:rsid w:val="00CE640E"/>
    <w:rsid w:val="00CE6D62"/>
    <w:rsid w:val="00CF044F"/>
    <w:rsid w:val="00CF0B85"/>
    <w:rsid w:val="00CF0E9E"/>
    <w:rsid w:val="00D00209"/>
    <w:rsid w:val="00D0105B"/>
    <w:rsid w:val="00D01A87"/>
    <w:rsid w:val="00D01C6D"/>
    <w:rsid w:val="00D049E2"/>
    <w:rsid w:val="00D04BBF"/>
    <w:rsid w:val="00D06501"/>
    <w:rsid w:val="00D06B7A"/>
    <w:rsid w:val="00D07580"/>
    <w:rsid w:val="00D07EE6"/>
    <w:rsid w:val="00D1015D"/>
    <w:rsid w:val="00D1054B"/>
    <w:rsid w:val="00D10904"/>
    <w:rsid w:val="00D10F07"/>
    <w:rsid w:val="00D11264"/>
    <w:rsid w:val="00D11E46"/>
    <w:rsid w:val="00D12DE8"/>
    <w:rsid w:val="00D15193"/>
    <w:rsid w:val="00D17A96"/>
    <w:rsid w:val="00D2223D"/>
    <w:rsid w:val="00D224BC"/>
    <w:rsid w:val="00D22BA2"/>
    <w:rsid w:val="00D23920"/>
    <w:rsid w:val="00D2771C"/>
    <w:rsid w:val="00D3030A"/>
    <w:rsid w:val="00D320B0"/>
    <w:rsid w:val="00D3301D"/>
    <w:rsid w:val="00D33515"/>
    <w:rsid w:val="00D33C4A"/>
    <w:rsid w:val="00D35108"/>
    <w:rsid w:val="00D3596B"/>
    <w:rsid w:val="00D36059"/>
    <w:rsid w:val="00D37D9F"/>
    <w:rsid w:val="00D411E9"/>
    <w:rsid w:val="00D41FFD"/>
    <w:rsid w:val="00D445B8"/>
    <w:rsid w:val="00D46BEA"/>
    <w:rsid w:val="00D5237A"/>
    <w:rsid w:val="00D551AF"/>
    <w:rsid w:val="00D55784"/>
    <w:rsid w:val="00D55ADF"/>
    <w:rsid w:val="00D56963"/>
    <w:rsid w:val="00D574C6"/>
    <w:rsid w:val="00D57FF0"/>
    <w:rsid w:val="00D60A67"/>
    <w:rsid w:val="00D60C80"/>
    <w:rsid w:val="00D61613"/>
    <w:rsid w:val="00D61912"/>
    <w:rsid w:val="00D61E1B"/>
    <w:rsid w:val="00D6343C"/>
    <w:rsid w:val="00D647E4"/>
    <w:rsid w:val="00D65E23"/>
    <w:rsid w:val="00D66F24"/>
    <w:rsid w:val="00D6797D"/>
    <w:rsid w:val="00D70D04"/>
    <w:rsid w:val="00D716DA"/>
    <w:rsid w:val="00D7279E"/>
    <w:rsid w:val="00D727F7"/>
    <w:rsid w:val="00D7293C"/>
    <w:rsid w:val="00D74E12"/>
    <w:rsid w:val="00D75B8D"/>
    <w:rsid w:val="00D80DC7"/>
    <w:rsid w:val="00D8111F"/>
    <w:rsid w:val="00D82FC1"/>
    <w:rsid w:val="00D85FC6"/>
    <w:rsid w:val="00D8758A"/>
    <w:rsid w:val="00D93B30"/>
    <w:rsid w:val="00D940A6"/>
    <w:rsid w:val="00D94706"/>
    <w:rsid w:val="00D94FD3"/>
    <w:rsid w:val="00D955E8"/>
    <w:rsid w:val="00D95A6D"/>
    <w:rsid w:val="00D967BE"/>
    <w:rsid w:val="00DA31DE"/>
    <w:rsid w:val="00DA4DC8"/>
    <w:rsid w:val="00DA73E8"/>
    <w:rsid w:val="00DA7F7E"/>
    <w:rsid w:val="00DB5B73"/>
    <w:rsid w:val="00DB5D38"/>
    <w:rsid w:val="00DB63A9"/>
    <w:rsid w:val="00DC1520"/>
    <w:rsid w:val="00DC1FAA"/>
    <w:rsid w:val="00DC4493"/>
    <w:rsid w:val="00DC5CBD"/>
    <w:rsid w:val="00DC7543"/>
    <w:rsid w:val="00DD1CBC"/>
    <w:rsid w:val="00DD3F6E"/>
    <w:rsid w:val="00DD4090"/>
    <w:rsid w:val="00DD6BA5"/>
    <w:rsid w:val="00DD773C"/>
    <w:rsid w:val="00DE00FA"/>
    <w:rsid w:val="00DE1D50"/>
    <w:rsid w:val="00DE2D63"/>
    <w:rsid w:val="00DE5FFD"/>
    <w:rsid w:val="00DE6E18"/>
    <w:rsid w:val="00DF03AA"/>
    <w:rsid w:val="00DF03C7"/>
    <w:rsid w:val="00DF06A4"/>
    <w:rsid w:val="00DF1EB7"/>
    <w:rsid w:val="00DF2082"/>
    <w:rsid w:val="00DF29FA"/>
    <w:rsid w:val="00DF2C08"/>
    <w:rsid w:val="00DF2DC3"/>
    <w:rsid w:val="00DF42E6"/>
    <w:rsid w:val="00E01A27"/>
    <w:rsid w:val="00E05BC2"/>
    <w:rsid w:val="00E108F3"/>
    <w:rsid w:val="00E11621"/>
    <w:rsid w:val="00E11C2C"/>
    <w:rsid w:val="00E1225F"/>
    <w:rsid w:val="00E12743"/>
    <w:rsid w:val="00E12BDA"/>
    <w:rsid w:val="00E14023"/>
    <w:rsid w:val="00E141D0"/>
    <w:rsid w:val="00E14893"/>
    <w:rsid w:val="00E14905"/>
    <w:rsid w:val="00E15492"/>
    <w:rsid w:val="00E164AB"/>
    <w:rsid w:val="00E17A23"/>
    <w:rsid w:val="00E205EF"/>
    <w:rsid w:val="00E21448"/>
    <w:rsid w:val="00E245D3"/>
    <w:rsid w:val="00E2593E"/>
    <w:rsid w:val="00E25FC8"/>
    <w:rsid w:val="00E27C38"/>
    <w:rsid w:val="00E27E25"/>
    <w:rsid w:val="00E303DB"/>
    <w:rsid w:val="00E30DC2"/>
    <w:rsid w:val="00E3275B"/>
    <w:rsid w:val="00E32DD0"/>
    <w:rsid w:val="00E332F0"/>
    <w:rsid w:val="00E3580D"/>
    <w:rsid w:val="00E36FA0"/>
    <w:rsid w:val="00E37376"/>
    <w:rsid w:val="00E37B5C"/>
    <w:rsid w:val="00E4344E"/>
    <w:rsid w:val="00E44F16"/>
    <w:rsid w:val="00E47031"/>
    <w:rsid w:val="00E5161F"/>
    <w:rsid w:val="00E521AA"/>
    <w:rsid w:val="00E52EAC"/>
    <w:rsid w:val="00E541B8"/>
    <w:rsid w:val="00E554F7"/>
    <w:rsid w:val="00E56A6A"/>
    <w:rsid w:val="00E57522"/>
    <w:rsid w:val="00E5770E"/>
    <w:rsid w:val="00E57C08"/>
    <w:rsid w:val="00E600E2"/>
    <w:rsid w:val="00E61639"/>
    <w:rsid w:val="00E618BF"/>
    <w:rsid w:val="00E64F9E"/>
    <w:rsid w:val="00E65AA8"/>
    <w:rsid w:val="00E66D6B"/>
    <w:rsid w:val="00E7020E"/>
    <w:rsid w:val="00E71F3F"/>
    <w:rsid w:val="00E73038"/>
    <w:rsid w:val="00E74558"/>
    <w:rsid w:val="00E74998"/>
    <w:rsid w:val="00E7685A"/>
    <w:rsid w:val="00E802DA"/>
    <w:rsid w:val="00E80F14"/>
    <w:rsid w:val="00E817A1"/>
    <w:rsid w:val="00E81BD8"/>
    <w:rsid w:val="00E82B9B"/>
    <w:rsid w:val="00E84BD4"/>
    <w:rsid w:val="00E86F7D"/>
    <w:rsid w:val="00E87C96"/>
    <w:rsid w:val="00E904FF"/>
    <w:rsid w:val="00E92265"/>
    <w:rsid w:val="00E93D48"/>
    <w:rsid w:val="00E956DB"/>
    <w:rsid w:val="00E965F1"/>
    <w:rsid w:val="00E970B4"/>
    <w:rsid w:val="00EA2605"/>
    <w:rsid w:val="00EA42FE"/>
    <w:rsid w:val="00EA4B6B"/>
    <w:rsid w:val="00EA4C3C"/>
    <w:rsid w:val="00EA53A2"/>
    <w:rsid w:val="00EA7B0A"/>
    <w:rsid w:val="00EB323F"/>
    <w:rsid w:val="00EB38FC"/>
    <w:rsid w:val="00EB3D93"/>
    <w:rsid w:val="00EB471F"/>
    <w:rsid w:val="00EB7420"/>
    <w:rsid w:val="00EB7BDA"/>
    <w:rsid w:val="00EC017D"/>
    <w:rsid w:val="00EC0766"/>
    <w:rsid w:val="00EC1157"/>
    <w:rsid w:val="00EC1E8D"/>
    <w:rsid w:val="00EC2132"/>
    <w:rsid w:val="00EC22B9"/>
    <w:rsid w:val="00EC2F6F"/>
    <w:rsid w:val="00EC388C"/>
    <w:rsid w:val="00ED02DB"/>
    <w:rsid w:val="00ED04EE"/>
    <w:rsid w:val="00ED231B"/>
    <w:rsid w:val="00ED3C7D"/>
    <w:rsid w:val="00ED715D"/>
    <w:rsid w:val="00ED77D3"/>
    <w:rsid w:val="00EE1E73"/>
    <w:rsid w:val="00EE3F19"/>
    <w:rsid w:val="00EE5C17"/>
    <w:rsid w:val="00EE652A"/>
    <w:rsid w:val="00EE7B18"/>
    <w:rsid w:val="00EF107D"/>
    <w:rsid w:val="00EF1AF8"/>
    <w:rsid w:val="00EF2D78"/>
    <w:rsid w:val="00EF3F23"/>
    <w:rsid w:val="00EF4404"/>
    <w:rsid w:val="00EF47A9"/>
    <w:rsid w:val="00EF704C"/>
    <w:rsid w:val="00EF7D83"/>
    <w:rsid w:val="00F01A1C"/>
    <w:rsid w:val="00F01D91"/>
    <w:rsid w:val="00F025F4"/>
    <w:rsid w:val="00F05C63"/>
    <w:rsid w:val="00F07393"/>
    <w:rsid w:val="00F1029A"/>
    <w:rsid w:val="00F13EDA"/>
    <w:rsid w:val="00F15332"/>
    <w:rsid w:val="00F2060B"/>
    <w:rsid w:val="00F20800"/>
    <w:rsid w:val="00F20B68"/>
    <w:rsid w:val="00F20C22"/>
    <w:rsid w:val="00F22E90"/>
    <w:rsid w:val="00F2384A"/>
    <w:rsid w:val="00F24F29"/>
    <w:rsid w:val="00F25824"/>
    <w:rsid w:val="00F261D6"/>
    <w:rsid w:val="00F27828"/>
    <w:rsid w:val="00F3005A"/>
    <w:rsid w:val="00F32C49"/>
    <w:rsid w:val="00F34EC6"/>
    <w:rsid w:val="00F40C91"/>
    <w:rsid w:val="00F427E6"/>
    <w:rsid w:val="00F42C0F"/>
    <w:rsid w:val="00F43A90"/>
    <w:rsid w:val="00F43EBA"/>
    <w:rsid w:val="00F46D81"/>
    <w:rsid w:val="00F471F5"/>
    <w:rsid w:val="00F51323"/>
    <w:rsid w:val="00F51B5E"/>
    <w:rsid w:val="00F5687C"/>
    <w:rsid w:val="00F6051E"/>
    <w:rsid w:val="00F60B02"/>
    <w:rsid w:val="00F60EE4"/>
    <w:rsid w:val="00F6162E"/>
    <w:rsid w:val="00F61A96"/>
    <w:rsid w:val="00F67A9B"/>
    <w:rsid w:val="00F70032"/>
    <w:rsid w:val="00F70D9A"/>
    <w:rsid w:val="00F70E07"/>
    <w:rsid w:val="00F7220F"/>
    <w:rsid w:val="00F73512"/>
    <w:rsid w:val="00F73B0C"/>
    <w:rsid w:val="00F75821"/>
    <w:rsid w:val="00F77D60"/>
    <w:rsid w:val="00F803AA"/>
    <w:rsid w:val="00F820C3"/>
    <w:rsid w:val="00F82AE5"/>
    <w:rsid w:val="00F83B93"/>
    <w:rsid w:val="00F84256"/>
    <w:rsid w:val="00F84936"/>
    <w:rsid w:val="00F84F7C"/>
    <w:rsid w:val="00F91F7A"/>
    <w:rsid w:val="00F92BFC"/>
    <w:rsid w:val="00F93C9E"/>
    <w:rsid w:val="00F94D55"/>
    <w:rsid w:val="00F96410"/>
    <w:rsid w:val="00F9721B"/>
    <w:rsid w:val="00FA1322"/>
    <w:rsid w:val="00FA642D"/>
    <w:rsid w:val="00FA7670"/>
    <w:rsid w:val="00FA7E08"/>
    <w:rsid w:val="00FB0931"/>
    <w:rsid w:val="00FB22A3"/>
    <w:rsid w:val="00FB24F3"/>
    <w:rsid w:val="00FB2687"/>
    <w:rsid w:val="00FB4A44"/>
    <w:rsid w:val="00FB69BB"/>
    <w:rsid w:val="00FC091D"/>
    <w:rsid w:val="00FC258A"/>
    <w:rsid w:val="00FC37A0"/>
    <w:rsid w:val="00FC3914"/>
    <w:rsid w:val="00FC3D0A"/>
    <w:rsid w:val="00FC45AA"/>
    <w:rsid w:val="00FC4651"/>
    <w:rsid w:val="00FC6851"/>
    <w:rsid w:val="00FC7A0E"/>
    <w:rsid w:val="00FD0E7F"/>
    <w:rsid w:val="00FD1E76"/>
    <w:rsid w:val="00FD55C4"/>
    <w:rsid w:val="00FD581F"/>
    <w:rsid w:val="00FE16B7"/>
    <w:rsid w:val="00FE1CBE"/>
    <w:rsid w:val="00FE210B"/>
    <w:rsid w:val="00FE2E64"/>
    <w:rsid w:val="00FE56D5"/>
    <w:rsid w:val="00FF1603"/>
    <w:rsid w:val="00FF73E5"/>
    <w:rsid w:val="01544A2F"/>
    <w:rsid w:val="01AE5460"/>
    <w:rsid w:val="02C208B2"/>
    <w:rsid w:val="03161703"/>
    <w:rsid w:val="032C0830"/>
    <w:rsid w:val="03CF74A1"/>
    <w:rsid w:val="042215BD"/>
    <w:rsid w:val="05192D87"/>
    <w:rsid w:val="059675F3"/>
    <w:rsid w:val="06066129"/>
    <w:rsid w:val="06625634"/>
    <w:rsid w:val="07770721"/>
    <w:rsid w:val="07E2297D"/>
    <w:rsid w:val="07FD421F"/>
    <w:rsid w:val="086D02B5"/>
    <w:rsid w:val="08CA57EB"/>
    <w:rsid w:val="0936345E"/>
    <w:rsid w:val="098C683F"/>
    <w:rsid w:val="0A062D2A"/>
    <w:rsid w:val="0B644223"/>
    <w:rsid w:val="0C2A5CE1"/>
    <w:rsid w:val="0DE4385E"/>
    <w:rsid w:val="0E364A89"/>
    <w:rsid w:val="0E914FA1"/>
    <w:rsid w:val="0F17217D"/>
    <w:rsid w:val="0F48231A"/>
    <w:rsid w:val="0F8F26F6"/>
    <w:rsid w:val="0F9F74A8"/>
    <w:rsid w:val="100B759F"/>
    <w:rsid w:val="11EF576C"/>
    <w:rsid w:val="12AD544A"/>
    <w:rsid w:val="136D7981"/>
    <w:rsid w:val="13E34D4F"/>
    <w:rsid w:val="141011C7"/>
    <w:rsid w:val="14103817"/>
    <w:rsid w:val="14F56A8D"/>
    <w:rsid w:val="154C6CC8"/>
    <w:rsid w:val="15A27973"/>
    <w:rsid w:val="16072CE0"/>
    <w:rsid w:val="162E3960"/>
    <w:rsid w:val="163514F4"/>
    <w:rsid w:val="166B7621"/>
    <w:rsid w:val="170939E7"/>
    <w:rsid w:val="17381D92"/>
    <w:rsid w:val="17425389"/>
    <w:rsid w:val="175E0894"/>
    <w:rsid w:val="17886A82"/>
    <w:rsid w:val="17916A77"/>
    <w:rsid w:val="17AD19E0"/>
    <w:rsid w:val="1808380A"/>
    <w:rsid w:val="181E41F7"/>
    <w:rsid w:val="182940B2"/>
    <w:rsid w:val="18F54704"/>
    <w:rsid w:val="1990490E"/>
    <w:rsid w:val="1A106BBB"/>
    <w:rsid w:val="1A25488F"/>
    <w:rsid w:val="1A83322F"/>
    <w:rsid w:val="1ADF6EC8"/>
    <w:rsid w:val="1AFD07B4"/>
    <w:rsid w:val="1B7A5541"/>
    <w:rsid w:val="1C191FBE"/>
    <w:rsid w:val="1C8E0926"/>
    <w:rsid w:val="1D076BD2"/>
    <w:rsid w:val="1D0D37E2"/>
    <w:rsid w:val="1DE14652"/>
    <w:rsid w:val="1DE216BD"/>
    <w:rsid w:val="1E4D4A68"/>
    <w:rsid w:val="1E62490E"/>
    <w:rsid w:val="1ECE54AF"/>
    <w:rsid w:val="1F7F019F"/>
    <w:rsid w:val="1FF97D0F"/>
    <w:rsid w:val="20104B53"/>
    <w:rsid w:val="20E675D9"/>
    <w:rsid w:val="212126AE"/>
    <w:rsid w:val="213D7E0C"/>
    <w:rsid w:val="21EF3B34"/>
    <w:rsid w:val="225A539D"/>
    <w:rsid w:val="228E79B6"/>
    <w:rsid w:val="242F7CBC"/>
    <w:rsid w:val="245D281A"/>
    <w:rsid w:val="246926A0"/>
    <w:rsid w:val="262B2C7A"/>
    <w:rsid w:val="26B52C84"/>
    <w:rsid w:val="27C173AC"/>
    <w:rsid w:val="27C87C2A"/>
    <w:rsid w:val="27D535F2"/>
    <w:rsid w:val="285C3AA0"/>
    <w:rsid w:val="2A046A5E"/>
    <w:rsid w:val="2A1665ED"/>
    <w:rsid w:val="2AB041F2"/>
    <w:rsid w:val="2B125A34"/>
    <w:rsid w:val="2B6752A3"/>
    <w:rsid w:val="2BA34B95"/>
    <w:rsid w:val="2BE97714"/>
    <w:rsid w:val="2C632DDB"/>
    <w:rsid w:val="2CB8582F"/>
    <w:rsid w:val="2D6A0AB7"/>
    <w:rsid w:val="2E90719E"/>
    <w:rsid w:val="2EFF4999"/>
    <w:rsid w:val="2FE321F3"/>
    <w:rsid w:val="2FEB52BF"/>
    <w:rsid w:val="30D36C21"/>
    <w:rsid w:val="30FB4F33"/>
    <w:rsid w:val="3136240B"/>
    <w:rsid w:val="31774259"/>
    <w:rsid w:val="31D70965"/>
    <w:rsid w:val="3272149E"/>
    <w:rsid w:val="32910680"/>
    <w:rsid w:val="334C6BF4"/>
    <w:rsid w:val="33757BDA"/>
    <w:rsid w:val="337E022B"/>
    <w:rsid w:val="340B0C8D"/>
    <w:rsid w:val="34954BDD"/>
    <w:rsid w:val="34971F79"/>
    <w:rsid w:val="352039C1"/>
    <w:rsid w:val="353C51E5"/>
    <w:rsid w:val="36016B8E"/>
    <w:rsid w:val="36330748"/>
    <w:rsid w:val="36615C95"/>
    <w:rsid w:val="370B4E58"/>
    <w:rsid w:val="37B5458B"/>
    <w:rsid w:val="37BE4129"/>
    <w:rsid w:val="38433845"/>
    <w:rsid w:val="38606296"/>
    <w:rsid w:val="38C27ACE"/>
    <w:rsid w:val="393F2E14"/>
    <w:rsid w:val="3B522DB8"/>
    <w:rsid w:val="3C506424"/>
    <w:rsid w:val="3C532445"/>
    <w:rsid w:val="3C6E04D6"/>
    <w:rsid w:val="3D22067F"/>
    <w:rsid w:val="3D713D6F"/>
    <w:rsid w:val="3E060D92"/>
    <w:rsid w:val="3E6F49AB"/>
    <w:rsid w:val="3E9A6446"/>
    <w:rsid w:val="3EC05D63"/>
    <w:rsid w:val="3F1052E8"/>
    <w:rsid w:val="3F9263FF"/>
    <w:rsid w:val="40427BFA"/>
    <w:rsid w:val="40594DCD"/>
    <w:rsid w:val="41597EF3"/>
    <w:rsid w:val="415C1229"/>
    <w:rsid w:val="41E07CB7"/>
    <w:rsid w:val="42111DFE"/>
    <w:rsid w:val="42F0156D"/>
    <w:rsid w:val="43EB5413"/>
    <w:rsid w:val="441B4B57"/>
    <w:rsid w:val="450256AF"/>
    <w:rsid w:val="450A0B7E"/>
    <w:rsid w:val="456904E4"/>
    <w:rsid w:val="45CD16B3"/>
    <w:rsid w:val="46505A96"/>
    <w:rsid w:val="467B6A98"/>
    <w:rsid w:val="46D2159A"/>
    <w:rsid w:val="46EE0DF6"/>
    <w:rsid w:val="47205307"/>
    <w:rsid w:val="48A23D68"/>
    <w:rsid w:val="4A7C1382"/>
    <w:rsid w:val="4AF17ACA"/>
    <w:rsid w:val="4B9D1EC4"/>
    <w:rsid w:val="4C7E4E65"/>
    <w:rsid w:val="4CC00374"/>
    <w:rsid w:val="4CD51A03"/>
    <w:rsid w:val="4CDA633B"/>
    <w:rsid w:val="4D1343A9"/>
    <w:rsid w:val="4D827E67"/>
    <w:rsid w:val="4DB357B2"/>
    <w:rsid w:val="4DC90E55"/>
    <w:rsid w:val="4E675A27"/>
    <w:rsid w:val="4EEE2B3B"/>
    <w:rsid w:val="4F346534"/>
    <w:rsid w:val="50666784"/>
    <w:rsid w:val="50CC234A"/>
    <w:rsid w:val="512A2490"/>
    <w:rsid w:val="51E0773F"/>
    <w:rsid w:val="51EA31D6"/>
    <w:rsid w:val="522D04F8"/>
    <w:rsid w:val="53020135"/>
    <w:rsid w:val="53273232"/>
    <w:rsid w:val="532E1F3D"/>
    <w:rsid w:val="53E0427B"/>
    <w:rsid w:val="548373BD"/>
    <w:rsid w:val="55256244"/>
    <w:rsid w:val="55337E5A"/>
    <w:rsid w:val="558D62D6"/>
    <w:rsid w:val="55C25D1B"/>
    <w:rsid w:val="55D17E94"/>
    <w:rsid w:val="55EF4899"/>
    <w:rsid w:val="56B912DD"/>
    <w:rsid w:val="580E34D5"/>
    <w:rsid w:val="58560F19"/>
    <w:rsid w:val="5A2F7306"/>
    <w:rsid w:val="5A4231AF"/>
    <w:rsid w:val="5A72626B"/>
    <w:rsid w:val="5A7E0214"/>
    <w:rsid w:val="5AB8368C"/>
    <w:rsid w:val="5B8B1A22"/>
    <w:rsid w:val="5B8C6F56"/>
    <w:rsid w:val="5C42550D"/>
    <w:rsid w:val="5CC025F9"/>
    <w:rsid w:val="5CF45900"/>
    <w:rsid w:val="5CFE637C"/>
    <w:rsid w:val="5D6800F8"/>
    <w:rsid w:val="5F6346D4"/>
    <w:rsid w:val="5FFF2C7C"/>
    <w:rsid w:val="60455802"/>
    <w:rsid w:val="61015725"/>
    <w:rsid w:val="6131633F"/>
    <w:rsid w:val="619A7175"/>
    <w:rsid w:val="61C5517D"/>
    <w:rsid w:val="62806E1B"/>
    <w:rsid w:val="62E37AB4"/>
    <w:rsid w:val="63021D41"/>
    <w:rsid w:val="64B10090"/>
    <w:rsid w:val="64C93BBC"/>
    <w:rsid w:val="65780822"/>
    <w:rsid w:val="66B74185"/>
    <w:rsid w:val="67122EF0"/>
    <w:rsid w:val="6796339F"/>
    <w:rsid w:val="684F2A91"/>
    <w:rsid w:val="687D3A05"/>
    <w:rsid w:val="6A9E130D"/>
    <w:rsid w:val="6AA84F9B"/>
    <w:rsid w:val="6ADC1606"/>
    <w:rsid w:val="6B5F4D5A"/>
    <w:rsid w:val="6BC21CC9"/>
    <w:rsid w:val="6C056AC4"/>
    <w:rsid w:val="6C7817C0"/>
    <w:rsid w:val="6CF21312"/>
    <w:rsid w:val="6D165B9D"/>
    <w:rsid w:val="6D3C1165"/>
    <w:rsid w:val="6D48537F"/>
    <w:rsid w:val="6D6E47EE"/>
    <w:rsid w:val="6DE34D18"/>
    <w:rsid w:val="6DE948B7"/>
    <w:rsid w:val="6DFE70FB"/>
    <w:rsid w:val="6E241705"/>
    <w:rsid w:val="6FEA4B8C"/>
    <w:rsid w:val="705F7BE5"/>
    <w:rsid w:val="70974707"/>
    <w:rsid w:val="70AF6BFC"/>
    <w:rsid w:val="71281978"/>
    <w:rsid w:val="714B746B"/>
    <w:rsid w:val="718C35E7"/>
    <w:rsid w:val="72375B57"/>
    <w:rsid w:val="723B7024"/>
    <w:rsid w:val="731742B0"/>
    <w:rsid w:val="7318110C"/>
    <w:rsid w:val="73DB19BD"/>
    <w:rsid w:val="74006DA9"/>
    <w:rsid w:val="74350360"/>
    <w:rsid w:val="75127B7A"/>
    <w:rsid w:val="75DC28C5"/>
    <w:rsid w:val="760E006A"/>
    <w:rsid w:val="766F54E7"/>
    <w:rsid w:val="76B27B18"/>
    <w:rsid w:val="779B61C0"/>
    <w:rsid w:val="7821340B"/>
    <w:rsid w:val="78AF59B2"/>
    <w:rsid w:val="792B45FD"/>
    <w:rsid w:val="79AF5259"/>
    <w:rsid w:val="7C3721EF"/>
    <w:rsid w:val="7C630559"/>
    <w:rsid w:val="7C6B6A11"/>
    <w:rsid w:val="7C803C72"/>
    <w:rsid w:val="7D5964AC"/>
    <w:rsid w:val="7F212DD5"/>
    <w:rsid w:val="7FF32C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qFormat="1"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name="FollowedHyperlink" w:locked="1"/>
    <w:lsdException w:qFormat="1" w:unhideWhenUsed="0" w:uiPriority="0" w:semiHidden="0" w:name="Strong"/>
    <w:lsdException w:qFormat="1" w:unhideWhenUsed="0" w:uiPriority="99"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sdException w:qFormat="1" w:unhideWhenUsed="0" w:uiPriority="99" w:name="HTML Sample" w:locked="1"/>
    <w:lsdException w:qFormat="1" w:uiPriority="99" w:name="HTML Typewriter"/>
    <w:lsdException w:qFormat="1" w:unhideWhenUsed="0" w:uiPriority="99" w:name="HTML Variable" w:locked="1"/>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5"/>
    <w:qFormat/>
    <w:uiPriority w:val="99"/>
    <w:pPr>
      <w:keepNext/>
      <w:widowControl/>
      <w:tabs>
        <w:tab w:val="left" w:pos="432"/>
      </w:tabs>
      <w:ind w:left="432" w:hanging="432"/>
      <w:jc w:val="center"/>
      <w:outlineLvl w:val="0"/>
    </w:pPr>
    <w:rPr>
      <w:rFonts w:ascii="黑体" w:eastAsia="黑体"/>
      <w:kern w:val="0"/>
      <w:sz w:val="52"/>
    </w:rPr>
  </w:style>
  <w:style w:type="paragraph" w:styleId="6">
    <w:name w:val="heading 2"/>
    <w:basedOn w:val="1"/>
    <w:next w:val="1"/>
    <w:link w:val="66"/>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1"/>
    <w:link w:val="67"/>
    <w:qFormat/>
    <w:uiPriority w:val="99"/>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1"/>
    <w:link w:val="68"/>
    <w:qFormat/>
    <w:uiPriority w:val="99"/>
    <w:pPr>
      <w:keepNext/>
      <w:keepLines/>
      <w:widowControl/>
      <w:spacing w:before="120" w:after="120" w:line="360" w:lineRule="auto"/>
      <w:jc w:val="center"/>
      <w:outlineLvl w:val="3"/>
    </w:pPr>
    <w:rPr>
      <w:rFonts w:ascii="Arial" w:hAnsi="Arial" w:eastAsia="黑体"/>
      <w:kern w:val="0"/>
      <w:sz w:val="28"/>
    </w:rPr>
  </w:style>
  <w:style w:type="paragraph" w:styleId="9">
    <w:name w:val="heading 5"/>
    <w:basedOn w:val="1"/>
    <w:next w:val="1"/>
    <w:link w:val="69"/>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10">
    <w:name w:val="heading 6"/>
    <w:basedOn w:val="1"/>
    <w:next w:val="1"/>
    <w:link w:val="70"/>
    <w:qFormat/>
    <w:uiPriority w:val="99"/>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71"/>
    <w:qFormat/>
    <w:uiPriority w:val="99"/>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72"/>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73"/>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3"/>
    <w:qFormat/>
    <w:uiPriority w:val="0"/>
    <w:pPr>
      <w:spacing w:line="312" w:lineRule="atLeast"/>
      <w:ind w:firstLine="420"/>
    </w:pPr>
    <w:rPr>
      <w:rFonts w:ascii="Plotter" w:hAnsi="宋体" w:cs="宋体"/>
      <w:kern w:val="0"/>
      <w:szCs w:val="20"/>
    </w:rPr>
  </w:style>
  <w:style w:type="paragraph" w:customStyle="1" w:styleId="3">
    <w:name w:val="List Paragraph1"/>
    <w:basedOn w:val="1"/>
    <w:next w:val="4"/>
    <w:qFormat/>
    <w:uiPriority w:val="0"/>
    <w:pPr>
      <w:ind w:firstLine="420"/>
    </w:pPr>
    <w:rPr>
      <w:rFonts w:hAnsi="宋体" w:cs="宋体"/>
      <w:kern w:val="0"/>
      <w:szCs w:val="20"/>
    </w:rPr>
  </w:style>
  <w:style w:type="paragraph" w:customStyle="1" w:styleId="4">
    <w:name w:val="Char Char Char Char"/>
    <w:basedOn w:val="1"/>
    <w:qFormat/>
    <w:uiPriority w:val="99"/>
    <w:rPr>
      <w:szCs w:val="24"/>
    </w:rPr>
  </w:style>
  <w:style w:type="paragraph" w:styleId="14">
    <w:name w:val="toc 7"/>
    <w:basedOn w:val="1"/>
    <w:next w:val="1"/>
    <w:unhideWhenUsed/>
    <w:qFormat/>
    <w:uiPriority w:val="39"/>
    <w:pPr>
      <w:ind w:left="1260"/>
      <w:jc w:val="left"/>
    </w:pPr>
    <w:rPr>
      <w:rFonts w:ascii="Calibri" w:hAnsi="Calibri" w:cs="Calibri"/>
      <w:sz w:val="18"/>
      <w:szCs w:val="18"/>
    </w:rPr>
  </w:style>
  <w:style w:type="paragraph" w:styleId="15">
    <w:name w:val="Normal Indent"/>
    <w:basedOn w:val="1"/>
    <w:link w:val="85"/>
    <w:qFormat/>
    <w:uiPriority w:val="0"/>
    <w:pPr>
      <w:ind w:firstLine="420"/>
    </w:pPr>
  </w:style>
  <w:style w:type="paragraph" w:styleId="16">
    <w:name w:val="Document Map"/>
    <w:basedOn w:val="1"/>
    <w:link w:val="96"/>
    <w:semiHidden/>
    <w:unhideWhenUsed/>
    <w:qFormat/>
    <w:uiPriority w:val="99"/>
    <w:rPr>
      <w:rFonts w:ascii="宋体"/>
      <w:sz w:val="18"/>
      <w:szCs w:val="18"/>
    </w:rPr>
  </w:style>
  <w:style w:type="paragraph" w:styleId="17">
    <w:name w:val="toa heading"/>
    <w:basedOn w:val="1"/>
    <w:next w:val="1"/>
    <w:qFormat/>
    <w:uiPriority w:val="99"/>
    <w:pPr>
      <w:adjustRightInd w:val="0"/>
      <w:spacing w:line="360" w:lineRule="atLeast"/>
      <w:jc w:val="center"/>
      <w:textAlignment w:val="baseline"/>
    </w:pPr>
    <w:rPr>
      <w:rFonts w:ascii="Arial" w:hAnsi="Arial" w:eastAsia="黑体"/>
      <w:kern w:val="0"/>
      <w:sz w:val="36"/>
    </w:rPr>
  </w:style>
  <w:style w:type="paragraph" w:styleId="18">
    <w:name w:val="annotation text"/>
    <w:basedOn w:val="1"/>
    <w:link w:val="74"/>
    <w:qFormat/>
    <w:uiPriority w:val="99"/>
    <w:pPr>
      <w:adjustRightInd w:val="0"/>
      <w:spacing w:line="360" w:lineRule="atLeast"/>
      <w:jc w:val="left"/>
      <w:textAlignment w:val="baseline"/>
    </w:pPr>
    <w:rPr>
      <w:kern w:val="0"/>
      <w:sz w:val="24"/>
    </w:rPr>
  </w:style>
  <w:style w:type="paragraph" w:styleId="19">
    <w:name w:val="Body Text"/>
    <w:basedOn w:val="1"/>
    <w:next w:val="20"/>
    <w:link w:val="75"/>
    <w:qFormat/>
    <w:uiPriority w:val="99"/>
    <w:rPr>
      <w:rFonts w:ascii="仿宋_GB2312" w:eastAsia="仿宋_GB2312"/>
      <w:sz w:val="28"/>
      <w:szCs w:val="24"/>
    </w:rPr>
  </w:style>
  <w:style w:type="paragraph" w:customStyle="1" w:styleId="2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21">
    <w:name w:val="Body Text Indent"/>
    <w:basedOn w:val="1"/>
    <w:next w:val="22"/>
    <w:link w:val="76"/>
    <w:qFormat/>
    <w:uiPriority w:val="99"/>
    <w:pPr>
      <w:spacing w:line="360" w:lineRule="auto"/>
      <w:ind w:firstLine="425"/>
    </w:pPr>
  </w:style>
  <w:style w:type="paragraph" w:styleId="22">
    <w:name w:val="envelope return"/>
    <w:basedOn w:val="1"/>
    <w:unhideWhenUsed/>
    <w:qFormat/>
    <w:uiPriority w:val="99"/>
    <w:pPr>
      <w:snapToGrid w:val="0"/>
    </w:pPr>
    <w:rPr>
      <w:rFonts w:ascii="Arial" w:hAnsi="Arial"/>
    </w:rPr>
  </w:style>
  <w:style w:type="paragraph" w:styleId="23">
    <w:name w:val="index 4"/>
    <w:basedOn w:val="1"/>
    <w:next w:val="1"/>
    <w:qFormat/>
    <w:uiPriority w:val="0"/>
    <w:pPr>
      <w:ind w:left="600" w:leftChars="600"/>
    </w:pPr>
  </w:style>
  <w:style w:type="paragraph" w:styleId="24">
    <w:name w:val="toc 5"/>
    <w:basedOn w:val="1"/>
    <w:next w:val="1"/>
    <w:unhideWhenUsed/>
    <w:qFormat/>
    <w:uiPriority w:val="39"/>
    <w:pPr>
      <w:ind w:left="840"/>
      <w:jc w:val="left"/>
    </w:pPr>
    <w:rPr>
      <w:rFonts w:ascii="Calibri" w:hAnsi="Calibri" w:cs="Calibri"/>
      <w:sz w:val="18"/>
      <w:szCs w:val="18"/>
    </w:rPr>
  </w:style>
  <w:style w:type="paragraph" w:styleId="25">
    <w:name w:val="toc 3"/>
    <w:basedOn w:val="1"/>
    <w:next w:val="1"/>
    <w:unhideWhenUsed/>
    <w:qFormat/>
    <w:uiPriority w:val="39"/>
    <w:pPr>
      <w:ind w:left="420"/>
      <w:jc w:val="left"/>
    </w:pPr>
    <w:rPr>
      <w:rFonts w:ascii="Calibri" w:hAnsi="Calibri" w:cs="Calibri"/>
      <w:i/>
      <w:iCs/>
      <w:sz w:val="20"/>
    </w:rPr>
  </w:style>
  <w:style w:type="paragraph" w:styleId="26">
    <w:name w:val="Plain Text"/>
    <w:basedOn w:val="1"/>
    <w:link w:val="77"/>
    <w:qFormat/>
    <w:uiPriority w:val="99"/>
    <w:rPr>
      <w:rFonts w:ascii="宋体" w:hAnsi="Courier New"/>
      <w:sz w:val="24"/>
      <w:szCs w:val="24"/>
    </w:rPr>
  </w:style>
  <w:style w:type="paragraph" w:styleId="27">
    <w:name w:val="toc 8"/>
    <w:basedOn w:val="1"/>
    <w:next w:val="1"/>
    <w:unhideWhenUsed/>
    <w:qFormat/>
    <w:uiPriority w:val="39"/>
    <w:pPr>
      <w:ind w:left="1470"/>
      <w:jc w:val="left"/>
    </w:pPr>
    <w:rPr>
      <w:rFonts w:ascii="Calibri" w:hAnsi="Calibri" w:cs="Calibri"/>
      <w:sz w:val="18"/>
      <w:szCs w:val="18"/>
    </w:rPr>
  </w:style>
  <w:style w:type="paragraph" w:styleId="28">
    <w:name w:val="Date"/>
    <w:basedOn w:val="1"/>
    <w:next w:val="1"/>
    <w:link w:val="78"/>
    <w:qFormat/>
    <w:uiPriority w:val="0"/>
    <w:rPr>
      <w:sz w:val="24"/>
    </w:rPr>
  </w:style>
  <w:style w:type="paragraph" w:styleId="29">
    <w:name w:val="Body Text Indent 2"/>
    <w:basedOn w:val="1"/>
    <w:link w:val="79"/>
    <w:qFormat/>
    <w:uiPriority w:val="99"/>
    <w:pPr>
      <w:spacing w:line="420" w:lineRule="exact"/>
      <w:ind w:firstLine="525"/>
    </w:pPr>
    <w:rPr>
      <w:rFonts w:ascii="仿宋_GB2312" w:eastAsia="仿宋_GB2312"/>
      <w:sz w:val="24"/>
    </w:rPr>
  </w:style>
  <w:style w:type="paragraph" w:styleId="30">
    <w:name w:val="endnote text"/>
    <w:basedOn w:val="1"/>
    <w:link w:val="98"/>
    <w:semiHidden/>
    <w:unhideWhenUsed/>
    <w:qFormat/>
    <w:uiPriority w:val="99"/>
    <w:pPr>
      <w:snapToGrid w:val="0"/>
      <w:jc w:val="left"/>
    </w:pPr>
  </w:style>
  <w:style w:type="paragraph" w:styleId="31">
    <w:name w:val="Balloon Text"/>
    <w:basedOn w:val="1"/>
    <w:link w:val="80"/>
    <w:qFormat/>
    <w:uiPriority w:val="99"/>
    <w:rPr>
      <w:sz w:val="18"/>
      <w:szCs w:val="18"/>
    </w:rPr>
  </w:style>
  <w:style w:type="paragraph" w:styleId="32">
    <w:name w:val="footer"/>
    <w:basedOn w:val="1"/>
    <w:link w:val="81"/>
    <w:qFormat/>
    <w:uiPriority w:val="99"/>
    <w:pPr>
      <w:tabs>
        <w:tab w:val="center" w:pos="4153"/>
        <w:tab w:val="right" w:pos="8306"/>
      </w:tabs>
      <w:snapToGrid w:val="0"/>
      <w:jc w:val="left"/>
    </w:pPr>
    <w:rPr>
      <w:sz w:val="18"/>
    </w:rPr>
  </w:style>
  <w:style w:type="paragraph" w:styleId="33">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cs="Calibri"/>
      <w:b/>
      <w:bCs/>
      <w:caps/>
      <w:sz w:val="20"/>
    </w:rPr>
  </w:style>
  <w:style w:type="paragraph" w:styleId="35">
    <w:name w:val="toc 4"/>
    <w:basedOn w:val="1"/>
    <w:next w:val="1"/>
    <w:unhideWhenUsed/>
    <w:qFormat/>
    <w:uiPriority w:val="39"/>
    <w:pPr>
      <w:ind w:left="630"/>
      <w:jc w:val="left"/>
    </w:pPr>
    <w:rPr>
      <w:rFonts w:ascii="Calibri" w:hAnsi="Calibri" w:cs="Calibri"/>
      <w:sz w:val="18"/>
      <w:szCs w:val="18"/>
    </w:rPr>
  </w:style>
  <w:style w:type="paragraph" w:styleId="36">
    <w:name w:val="footnote text"/>
    <w:basedOn w:val="1"/>
    <w:link w:val="99"/>
    <w:semiHidden/>
    <w:unhideWhenUsed/>
    <w:qFormat/>
    <w:uiPriority w:val="99"/>
    <w:pPr>
      <w:snapToGrid w:val="0"/>
      <w:jc w:val="left"/>
    </w:pPr>
    <w:rPr>
      <w:sz w:val="18"/>
      <w:szCs w:val="18"/>
    </w:rPr>
  </w:style>
  <w:style w:type="paragraph" w:styleId="37">
    <w:name w:val="toc 6"/>
    <w:basedOn w:val="1"/>
    <w:next w:val="1"/>
    <w:unhideWhenUsed/>
    <w:qFormat/>
    <w:uiPriority w:val="39"/>
    <w:pPr>
      <w:ind w:left="1050"/>
      <w:jc w:val="left"/>
    </w:pPr>
    <w:rPr>
      <w:rFonts w:ascii="Calibri" w:hAnsi="Calibri" w:cs="Calibri"/>
      <w:sz w:val="18"/>
      <w:szCs w:val="18"/>
    </w:rPr>
  </w:style>
  <w:style w:type="paragraph" w:styleId="38">
    <w:name w:val="Body Text Indent 3"/>
    <w:basedOn w:val="1"/>
    <w:link w:val="83"/>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9">
    <w:name w:val="toc 2"/>
    <w:basedOn w:val="1"/>
    <w:next w:val="1"/>
    <w:unhideWhenUsed/>
    <w:qFormat/>
    <w:uiPriority w:val="39"/>
    <w:pPr>
      <w:ind w:left="210"/>
      <w:jc w:val="left"/>
    </w:pPr>
    <w:rPr>
      <w:rFonts w:ascii="Calibri" w:hAnsi="Calibri" w:cs="Calibri"/>
      <w:smallCaps/>
      <w:sz w:val="20"/>
    </w:rPr>
  </w:style>
  <w:style w:type="paragraph" w:styleId="40">
    <w:name w:val="toc 9"/>
    <w:basedOn w:val="1"/>
    <w:next w:val="1"/>
    <w:unhideWhenUsed/>
    <w:qFormat/>
    <w:uiPriority w:val="39"/>
    <w:pPr>
      <w:ind w:left="1680"/>
      <w:jc w:val="left"/>
    </w:pPr>
    <w:rPr>
      <w:rFonts w:ascii="Calibri" w:hAnsi="Calibri" w:cs="Calibri"/>
      <w:sz w:val="18"/>
      <w:szCs w:val="18"/>
    </w:rPr>
  </w:style>
  <w:style w:type="paragraph" w:styleId="41">
    <w:name w:val="Body Text 2"/>
    <w:basedOn w:val="1"/>
    <w:link w:val="84"/>
    <w:qFormat/>
    <w:uiPriority w:val="99"/>
    <w:pPr>
      <w:spacing w:after="120" w:line="480" w:lineRule="auto"/>
    </w:p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annotation subject"/>
    <w:basedOn w:val="18"/>
    <w:next w:val="18"/>
    <w:link w:val="100"/>
    <w:semiHidden/>
    <w:unhideWhenUsed/>
    <w:qFormat/>
    <w:uiPriority w:val="99"/>
    <w:pPr>
      <w:adjustRightInd/>
      <w:spacing w:line="240" w:lineRule="auto"/>
      <w:textAlignment w:val="auto"/>
    </w:pPr>
    <w:rPr>
      <w:b/>
      <w:bCs/>
      <w:kern w:val="2"/>
      <w:sz w:val="21"/>
    </w:rPr>
  </w:style>
  <w:style w:type="paragraph" w:styleId="44">
    <w:name w:val="Body Text First Indent 2"/>
    <w:basedOn w:val="21"/>
    <w:unhideWhenUsed/>
    <w:qFormat/>
    <w:uiPriority w:val="99"/>
    <w:pPr>
      <w:ind w:firstLine="420" w:firstLineChars="200"/>
    </w:pPr>
  </w:style>
  <w:style w:type="table" w:styleId="46">
    <w:name w:val="Table Grid"/>
    <w:basedOn w:val="45"/>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basedOn w:val="47"/>
    <w:qFormat/>
    <w:uiPriority w:val="99"/>
    <w:rPr>
      <w:rFonts w:cs="Times New Roman"/>
    </w:rPr>
  </w:style>
  <w:style w:type="character" w:styleId="51">
    <w:name w:val="FollowedHyperlink"/>
    <w:basedOn w:val="47"/>
    <w:semiHidden/>
    <w:qFormat/>
    <w:locked/>
    <w:uiPriority w:val="99"/>
    <w:rPr>
      <w:rFonts w:cs="Times New Roman"/>
      <w:color w:val="000000"/>
      <w:u w:val="none"/>
    </w:rPr>
  </w:style>
  <w:style w:type="character" w:styleId="52">
    <w:name w:val="Emphasis"/>
    <w:basedOn w:val="47"/>
    <w:qFormat/>
    <w:uiPriority w:val="99"/>
    <w:rPr>
      <w:rFonts w:cs="Times New Roman"/>
    </w:rPr>
  </w:style>
  <w:style w:type="character" w:styleId="53">
    <w:name w:val="HTML Definition"/>
    <w:basedOn w:val="47"/>
    <w:semiHidden/>
    <w:qFormat/>
    <w:locked/>
    <w:uiPriority w:val="99"/>
    <w:rPr>
      <w:rFonts w:cs="Times New Roman"/>
    </w:rPr>
  </w:style>
  <w:style w:type="character" w:styleId="54">
    <w:name w:val="HTML Typewriter"/>
    <w:basedOn w:val="47"/>
    <w:semiHidden/>
    <w:unhideWhenUsed/>
    <w:qFormat/>
    <w:uiPriority w:val="99"/>
    <w:rPr>
      <w:rFonts w:hint="default" w:ascii="monospace" w:hAnsi="monospace" w:eastAsia="monospace" w:cs="monospace"/>
      <w:sz w:val="20"/>
    </w:rPr>
  </w:style>
  <w:style w:type="character" w:styleId="55">
    <w:name w:val="HTML Acronym"/>
    <w:basedOn w:val="47"/>
    <w:semiHidden/>
    <w:unhideWhenUsed/>
    <w:qFormat/>
    <w:uiPriority w:val="99"/>
  </w:style>
  <w:style w:type="character" w:styleId="56">
    <w:name w:val="HTML Variable"/>
    <w:basedOn w:val="47"/>
    <w:semiHidden/>
    <w:qFormat/>
    <w:locked/>
    <w:uiPriority w:val="99"/>
    <w:rPr>
      <w:rFonts w:cs="Times New Roman"/>
    </w:rPr>
  </w:style>
  <w:style w:type="character" w:styleId="57">
    <w:name w:val="Hyperlink"/>
    <w:basedOn w:val="47"/>
    <w:qFormat/>
    <w:uiPriority w:val="99"/>
    <w:rPr>
      <w:rFonts w:cs="Times New Roman"/>
      <w:color w:val="0000FF"/>
      <w:u w:val="single"/>
    </w:rPr>
  </w:style>
  <w:style w:type="character" w:styleId="58">
    <w:name w:val="HTML Code"/>
    <w:basedOn w:val="47"/>
    <w:semiHidden/>
    <w:qFormat/>
    <w:locked/>
    <w:uiPriority w:val="99"/>
    <w:rPr>
      <w:rFonts w:ascii="Courier New" w:hAnsi="Courier New" w:cs="Courier New"/>
      <w:sz w:val="20"/>
    </w:rPr>
  </w:style>
  <w:style w:type="character" w:styleId="59">
    <w:name w:val="annotation reference"/>
    <w:basedOn w:val="47"/>
    <w:semiHidden/>
    <w:unhideWhenUsed/>
    <w:qFormat/>
    <w:uiPriority w:val="99"/>
    <w:rPr>
      <w:sz w:val="21"/>
      <w:szCs w:val="21"/>
    </w:rPr>
  </w:style>
  <w:style w:type="character" w:styleId="60">
    <w:name w:val="HTML Cite"/>
    <w:basedOn w:val="47"/>
    <w:semiHidden/>
    <w:qFormat/>
    <w:locked/>
    <w:uiPriority w:val="99"/>
    <w:rPr>
      <w:rFonts w:cs="Times New Roman"/>
    </w:rPr>
  </w:style>
  <w:style w:type="character" w:styleId="61">
    <w:name w:val="footnote reference"/>
    <w:basedOn w:val="47"/>
    <w:semiHidden/>
    <w:unhideWhenUsed/>
    <w:qFormat/>
    <w:uiPriority w:val="99"/>
    <w:rPr>
      <w:vertAlign w:val="superscript"/>
    </w:rPr>
  </w:style>
  <w:style w:type="character" w:styleId="62">
    <w:name w:val="HTML Keyboard"/>
    <w:basedOn w:val="47"/>
    <w:semiHidden/>
    <w:qFormat/>
    <w:locked/>
    <w:uiPriority w:val="99"/>
    <w:rPr>
      <w:rFonts w:ascii="Courier New" w:hAnsi="Courier New" w:cs="Courier New"/>
      <w:sz w:val="20"/>
    </w:rPr>
  </w:style>
  <w:style w:type="character" w:styleId="63">
    <w:name w:val="HTML Sample"/>
    <w:basedOn w:val="47"/>
    <w:semiHidden/>
    <w:qFormat/>
    <w:locked/>
    <w:uiPriority w:val="99"/>
    <w:rPr>
      <w:rFonts w:ascii="Courier New" w:hAnsi="Courier New" w:cs="Courier New"/>
    </w:rPr>
  </w:style>
  <w:style w:type="paragraph" w:customStyle="1" w:styleId="64">
    <w:name w:val="正文1"/>
    <w:next w:val="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character" w:customStyle="1" w:styleId="65">
    <w:name w:val="标题 1 字符"/>
    <w:basedOn w:val="47"/>
    <w:link w:val="5"/>
    <w:qFormat/>
    <w:locked/>
    <w:uiPriority w:val="99"/>
    <w:rPr>
      <w:rFonts w:cs="Times New Roman"/>
      <w:b/>
      <w:bCs/>
      <w:kern w:val="44"/>
      <w:sz w:val="44"/>
      <w:szCs w:val="44"/>
    </w:rPr>
  </w:style>
  <w:style w:type="character" w:customStyle="1" w:styleId="66">
    <w:name w:val="标题 2 字符"/>
    <w:basedOn w:val="47"/>
    <w:link w:val="6"/>
    <w:semiHidden/>
    <w:qFormat/>
    <w:locked/>
    <w:uiPriority w:val="99"/>
    <w:rPr>
      <w:rFonts w:ascii="Cambria" w:hAnsi="Cambria" w:eastAsia="宋体" w:cs="Times New Roman"/>
      <w:b/>
      <w:bCs/>
      <w:kern w:val="2"/>
      <w:sz w:val="32"/>
      <w:szCs w:val="32"/>
    </w:rPr>
  </w:style>
  <w:style w:type="character" w:customStyle="1" w:styleId="67">
    <w:name w:val="标题 3 字符"/>
    <w:basedOn w:val="47"/>
    <w:link w:val="7"/>
    <w:semiHidden/>
    <w:qFormat/>
    <w:locked/>
    <w:uiPriority w:val="99"/>
    <w:rPr>
      <w:rFonts w:cs="Times New Roman"/>
      <w:b/>
      <w:bCs/>
      <w:sz w:val="32"/>
      <w:szCs w:val="32"/>
    </w:rPr>
  </w:style>
  <w:style w:type="character" w:customStyle="1" w:styleId="68">
    <w:name w:val="标题 4 字符"/>
    <w:basedOn w:val="47"/>
    <w:link w:val="8"/>
    <w:semiHidden/>
    <w:qFormat/>
    <w:locked/>
    <w:uiPriority w:val="99"/>
    <w:rPr>
      <w:rFonts w:ascii="Cambria" w:hAnsi="Cambria" w:eastAsia="宋体" w:cs="Times New Roman"/>
      <w:b/>
      <w:bCs/>
      <w:sz w:val="28"/>
      <w:szCs w:val="28"/>
    </w:rPr>
  </w:style>
  <w:style w:type="character" w:customStyle="1" w:styleId="69">
    <w:name w:val="标题 5 字符"/>
    <w:basedOn w:val="47"/>
    <w:link w:val="9"/>
    <w:semiHidden/>
    <w:qFormat/>
    <w:locked/>
    <w:uiPriority w:val="99"/>
    <w:rPr>
      <w:rFonts w:cs="Times New Roman"/>
      <w:b/>
      <w:bCs/>
      <w:sz w:val="28"/>
      <w:szCs w:val="28"/>
    </w:rPr>
  </w:style>
  <w:style w:type="character" w:customStyle="1" w:styleId="70">
    <w:name w:val="标题 6 字符"/>
    <w:basedOn w:val="47"/>
    <w:link w:val="10"/>
    <w:semiHidden/>
    <w:qFormat/>
    <w:locked/>
    <w:uiPriority w:val="99"/>
    <w:rPr>
      <w:rFonts w:ascii="Cambria" w:hAnsi="Cambria" w:eastAsia="宋体" w:cs="Times New Roman"/>
      <w:b/>
      <w:bCs/>
      <w:sz w:val="24"/>
      <w:szCs w:val="24"/>
    </w:rPr>
  </w:style>
  <w:style w:type="character" w:customStyle="1" w:styleId="71">
    <w:name w:val="标题 7 字符"/>
    <w:basedOn w:val="47"/>
    <w:link w:val="11"/>
    <w:semiHidden/>
    <w:qFormat/>
    <w:locked/>
    <w:uiPriority w:val="99"/>
    <w:rPr>
      <w:rFonts w:cs="Times New Roman"/>
      <w:b/>
      <w:bCs/>
      <w:sz w:val="24"/>
      <w:szCs w:val="24"/>
    </w:rPr>
  </w:style>
  <w:style w:type="character" w:customStyle="1" w:styleId="72">
    <w:name w:val="标题 8 字符"/>
    <w:basedOn w:val="47"/>
    <w:link w:val="12"/>
    <w:semiHidden/>
    <w:qFormat/>
    <w:locked/>
    <w:uiPriority w:val="99"/>
    <w:rPr>
      <w:rFonts w:ascii="Cambria" w:hAnsi="Cambria" w:eastAsia="宋体" w:cs="Times New Roman"/>
      <w:sz w:val="24"/>
      <w:szCs w:val="24"/>
    </w:rPr>
  </w:style>
  <w:style w:type="character" w:customStyle="1" w:styleId="73">
    <w:name w:val="标题 9 字符"/>
    <w:basedOn w:val="47"/>
    <w:link w:val="13"/>
    <w:semiHidden/>
    <w:qFormat/>
    <w:locked/>
    <w:uiPriority w:val="99"/>
    <w:rPr>
      <w:rFonts w:ascii="Cambria" w:hAnsi="Cambria" w:eastAsia="宋体" w:cs="Times New Roman"/>
      <w:sz w:val="21"/>
      <w:szCs w:val="21"/>
    </w:rPr>
  </w:style>
  <w:style w:type="character" w:customStyle="1" w:styleId="74">
    <w:name w:val="批注文字 字符"/>
    <w:basedOn w:val="47"/>
    <w:link w:val="18"/>
    <w:semiHidden/>
    <w:qFormat/>
    <w:locked/>
    <w:uiPriority w:val="99"/>
    <w:rPr>
      <w:rFonts w:cs="Times New Roman"/>
      <w:sz w:val="20"/>
      <w:szCs w:val="20"/>
    </w:rPr>
  </w:style>
  <w:style w:type="character" w:customStyle="1" w:styleId="75">
    <w:name w:val="正文文本 字符"/>
    <w:basedOn w:val="47"/>
    <w:link w:val="19"/>
    <w:semiHidden/>
    <w:qFormat/>
    <w:locked/>
    <w:uiPriority w:val="99"/>
    <w:rPr>
      <w:rFonts w:cs="Times New Roman"/>
      <w:sz w:val="20"/>
      <w:szCs w:val="20"/>
    </w:rPr>
  </w:style>
  <w:style w:type="character" w:customStyle="1" w:styleId="76">
    <w:name w:val="正文文本缩进 字符"/>
    <w:basedOn w:val="47"/>
    <w:link w:val="21"/>
    <w:semiHidden/>
    <w:qFormat/>
    <w:locked/>
    <w:uiPriority w:val="99"/>
    <w:rPr>
      <w:rFonts w:cs="Times New Roman"/>
      <w:sz w:val="20"/>
      <w:szCs w:val="20"/>
    </w:rPr>
  </w:style>
  <w:style w:type="character" w:customStyle="1" w:styleId="77">
    <w:name w:val="纯文本 字符"/>
    <w:basedOn w:val="47"/>
    <w:link w:val="26"/>
    <w:qFormat/>
    <w:locked/>
    <w:uiPriority w:val="99"/>
    <w:rPr>
      <w:rFonts w:ascii="宋体" w:hAnsi="Courier New" w:cs="Times New Roman"/>
      <w:kern w:val="2"/>
      <w:sz w:val="24"/>
      <w:szCs w:val="24"/>
    </w:rPr>
  </w:style>
  <w:style w:type="character" w:customStyle="1" w:styleId="78">
    <w:name w:val="日期 字符"/>
    <w:basedOn w:val="47"/>
    <w:link w:val="28"/>
    <w:qFormat/>
    <w:locked/>
    <w:uiPriority w:val="99"/>
    <w:rPr>
      <w:rFonts w:cs="Times New Roman"/>
      <w:sz w:val="20"/>
      <w:szCs w:val="20"/>
    </w:rPr>
  </w:style>
  <w:style w:type="character" w:customStyle="1" w:styleId="79">
    <w:name w:val="正文文本缩进 2 字符"/>
    <w:basedOn w:val="47"/>
    <w:link w:val="29"/>
    <w:semiHidden/>
    <w:qFormat/>
    <w:locked/>
    <w:uiPriority w:val="99"/>
    <w:rPr>
      <w:rFonts w:cs="Times New Roman"/>
      <w:sz w:val="20"/>
      <w:szCs w:val="20"/>
    </w:rPr>
  </w:style>
  <w:style w:type="character" w:customStyle="1" w:styleId="80">
    <w:name w:val="批注框文本 字符"/>
    <w:basedOn w:val="47"/>
    <w:link w:val="31"/>
    <w:semiHidden/>
    <w:qFormat/>
    <w:locked/>
    <w:uiPriority w:val="99"/>
    <w:rPr>
      <w:rFonts w:cs="Times New Roman"/>
      <w:sz w:val="2"/>
    </w:rPr>
  </w:style>
  <w:style w:type="character" w:customStyle="1" w:styleId="81">
    <w:name w:val="页脚 字符"/>
    <w:basedOn w:val="47"/>
    <w:link w:val="32"/>
    <w:qFormat/>
    <w:locked/>
    <w:uiPriority w:val="99"/>
    <w:rPr>
      <w:rFonts w:cs="Times New Roman"/>
      <w:kern w:val="2"/>
      <w:sz w:val="18"/>
    </w:rPr>
  </w:style>
  <w:style w:type="character" w:customStyle="1" w:styleId="82">
    <w:name w:val="页眉 字符"/>
    <w:basedOn w:val="47"/>
    <w:link w:val="33"/>
    <w:semiHidden/>
    <w:qFormat/>
    <w:locked/>
    <w:uiPriority w:val="99"/>
    <w:rPr>
      <w:rFonts w:cs="Times New Roman"/>
      <w:sz w:val="18"/>
      <w:szCs w:val="18"/>
    </w:rPr>
  </w:style>
  <w:style w:type="character" w:customStyle="1" w:styleId="83">
    <w:name w:val="正文文本缩进 3 字符"/>
    <w:basedOn w:val="47"/>
    <w:link w:val="38"/>
    <w:semiHidden/>
    <w:qFormat/>
    <w:locked/>
    <w:uiPriority w:val="99"/>
    <w:rPr>
      <w:rFonts w:cs="Times New Roman"/>
      <w:sz w:val="16"/>
      <w:szCs w:val="16"/>
    </w:rPr>
  </w:style>
  <w:style w:type="character" w:customStyle="1" w:styleId="84">
    <w:name w:val="正文文本 2 字符"/>
    <w:basedOn w:val="47"/>
    <w:link w:val="41"/>
    <w:semiHidden/>
    <w:qFormat/>
    <w:locked/>
    <w:uiPriority w:val="99"/>
    <w:rPr>
      <w:rFonts w:cs="Times New Roman"/>
      <w:kern w:val="2"/>
      <w:sz w:val="21"/>
    </w:rPr>
  </w:style>
  <w:style w:type="character" w:customStyle="1" w:styleId="85">
    <w:name w:val="正文缩进 字符"/>
    <w:basedOn w:val="47"/>
    <w:link w:val="15"/>
    <w:qFormat/>
    <w:locked/>
    <w:uiPriority w:val="0"/>
    <w:rPr>
      <w:rFonts w:cs="Times New Roman"/>
      <w:kern w:val="2"/>
      <w:sz w:val="21"/>
    </w:rPr>
  </w:style>
  <w:style w:type="character" w:customStyle="1" w:styleId="86">
    <w:name w:val="纯文本 Char1"/>
    <w:basedOn w:val="47"/>
    <w:semiHidden/>
    <w:qFormat/>
    <w:uiPriority w:val="99"/>
    <w:rPr>
      <w:rFonts w:ascii="宋体" w:hAnsi="Courier New" w:cs="Courier New"/>
      <w:kern w:val="2"/>
      <w:sz w:val="21"/>
      <w:szCs w:val="21"/>
    </w:rPr>
  </w:style>
  <w:style w:type="character" w:customStyle="1" w:styleId="87">
    <w:name w:val="Variable"/>
    <w:qFormat/>
    <w:uiPriority w:val="99"/>
    <w:rPr>
      <w:i/>
    </w:rPr>
  </w:style>
  <w:style w:type="paragraph" w:customStyle="1" w:styleId="88">
    <w:name w:val="flType"/>
    <w:basedOn w:val="1"/>
    <w:qFormat/>
    <w:uiPriority w:val="99"/>
    <w:pPr>
      <w:adjustRightInd w:val="0"/>
      <w:spacing w:after="284" w:line="113" w:lineRule="atLeast"/>
      <w:jc w:val="center"/>
      <w:textAlignment w:val="baseline"/>
    </w:pPr>
    <w:rPr>
      <w:kern w:val="0"/>
      <w:sz w:val="24"/>
    </w:rPr>
  </w:style>
  <w:style w:type="paragraph" w:customStyle="1" w:styleId="89">
    <w:name w:val="样式 标题 1 + 宋体 居中 段前: 48 磅 段后: 12 磅 行距: 1.5 倍行距"/>
    <w:basedOn w:val="5"/>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paragraph" w:customStyle="1" w:styleId="90">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1">
    <w:name w:val="默认段落字体 Para Char Char Char Char"/>
    <w:basedOn w:val="1"/>
    <w:qFormat/>
    <w:uiPriority w:val="99"/>
    <w:rPr>
      <w:szCs w:val="24"/>
    </w:rPr>
  </w:style>
  <w:style w:type="paragraph" w:customStyle="1" w:styleId="92">
    <w:name w:val="F正文"/>
    <w:basedOn w:val="1"/>
    <w:qFormat/>
    <w:uiPriority w:val="99"/>
    <w:pPr>
      <w:spacing w:line="360" w:lineRule="auto"/>
      <w:ind w:firstLine="200" w:firstLineChars="200"/>
    </w:pPr>
    <w:rPr>
      <w:rFonts w:eastAsia="仿宋_GB2312"/>
      <w:sz w:val="28"/>
    </w:rPr>
  </w:style>
  <w:style w:type="paragraph" w:customStyle="1" w:styleId="93">
    <w:name w:val="WPSOffice手动目录 1"/>
    <w:qFormat/>
    <w:uiPriority w:val="99"/>
    <w:rPr>
      <w:rFonts w:ascii="Times New Roman" w:hAnsi="Times New Roman" w:eastAsia="宋体" w:cs="Times New Roman"/>
      <w:lang w:val="en-US" w:eastAsia="zh-CN" w:bidi="ar-SA"/>
    </w:rPr>
  </w:style>
  <w:style w:type="paragraph" w:customStyle="1" w:styleId="9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95">
    <w:name w:val="TOC 标题1"/>
    <w:basedOn w:val="5"/>
    <w:next w:val="1"/>
    <w:semiHidden/>
    <w:unhideWhenUsed/>
    <w:qFormat/>
    <w:uiPriority w:val="39"/>
    <w:pPr>
      <w:keepLines/>
      <w:tabs>
        <w:tab w:val="clear" w:pos="432"/>
      </w:tabs>
      <w:spacing w:before="480" w:line="276" w:lineRule="auto"/>
      <w:ind w:left="0" w:firstLine="0"/>
      <w:jc w:val="left"/>
      <w:outlineLvl w:val="9"/>
    </w:pPr>
    <w:rPr>
      <w:rFonts w:ascii="Cambria" w:hAnsi="Cambria" w:eastAsia="宋体"/>
      <w:b/>
      <w:bCs/>
      <w:color w:val="365F91"/>
      <w:sz w:val="28"/>
      <w:szCs w:val="28"/>
    </w:rPr>
  </w:style>
  <w:style w:type="character" w:customStyle="1" w:styleId="96">
    <w:name w:val="文档结构图 字符"/>
    <w:basedOn w:val="47"/>
    <w:link w:val="16"/>
    <w:semiHidden/>
    <w:qFormat/>
    <w:uiPriority w:val="99"/>
    <w:rPr>
      <w:rFonts w:ascii="宋体"/>
      <w:kern w:val="2"/>
      <w:sz w:val="18"/>
      <w:szCs w:val="18"/>
    </w:rPr>
  </w:style>
  <w:style w:type="paragraph" w:customStyle="1" w:styleId="97">
    <w:name w:val="列出段落1"/>
    <w:basedOn w:val="1"/>
    <w:qFormat/>
    <w:uiPriority w:val="34"/>
    <w:pPr>
      <w:ind w:firstLine="420" w:firstLineChars="200"/>
    </w:pPr>
    <w:rPr>
      <w:rFonts w:ascii="Calibri" w:hAnsi="Calibri"/>
      <w:szCs w:val="22"/>
    </w:rPr>
  </w:style>
  <w:style w:type="character" w:customStyle="1" w:styleId="98">
    <w:name w:val="尾注文本 字符"/>
    <w:basedOn w:val="47"/>
    <w:link w:val="30"/>
    <w:semiHidden/>
    <w:qFormat/>
    <w:uiPriority w:val="99"/>
    <w:rPr>
      <w:kern w:val="2"/>
      <w:sz w:val="21"/>
    </w:rPr>
  </w:style>
  <w:style w:type="character" w:customStyle="1" w:styleId="99">
    <w:name w:val="脚注文本 字符"/>
    <w:basedOn w:val="47"/>
    <w:link w:val="36"/>
    <w:semiHidden/>
    <w:qFormat/>
    <w:uiPriority w:val="99"/>
    <w:rPr>
      <w:kern w:val="2"/>
      <w:sz w:val="18"/>
      <w:szCs w:val="18"/>
    </w:rPr>
  </w:style>
  <w:style w:type="character" w:customStyle="1" w:styleId="100">
    <w:name w:val="批注主题 字符"/>
    <w:basedOn w:val="74"/>
    <w:link w:val="43"/>
    <w:semiHidden/>
    <w:qFormat/>
    <w:uiPriority w:val="99"/>
    <w:rPr>
      <w:rFonts w:cs="Times New Roman"/>
      <w:b/>
      <w:bCs/>
      <w:kern w:val="2"/>
      <w:sz w:val="21"/>
      <w:szCs w:val="20"/>
    </w:rPr>
  </w:style>
  <w:style w:type="character" w:customStyle="1" w:styleId="101">
    <w:name w:val="c-icon29"/>
    <w:basedOn w:val="47"/>
    <w:qFormat/>
    <w:uiPriority w:val="0"/>
  </w:style>
  <w:style w:type="character" w:customStyle="1" w:styleId="102">
    <w:name w:val="hover26"/>
    <w:basedOn w:val="47"/>
    <w:qFormat/>
    <w:uiPriority w:val="0"/>
  </w:style>
  <w:style w:type="character" w:customStyle="1" w:styleId="103">
    <w:name w:val="hover27"/>
    <w:basedOn w:val="47"/>
    <w:qFormat/>
    <w:uiPriority w:val="0"/>
    <w:rPr>
      <w:color w:val="315EFB"/>
    </w:rPr>
  </w:style>
  <w:style w:type="character" w:customStyle="1" w:styleId="104">
    <w:name w:val="hover28"/>
    <w:basedOn w:val="47"/>
    <w:qFormat/>
    <w:uiPriority w:val="0"/>
    <w:rPr>
      <w:color w:val="315EFB"/>
      <w:shd w:val="clear" w:color="auto" w:fill="F0F3FD"/>
    </w:rPr>
  </w:style>
  <w:style w:type="character" w:customStyle="1" w:styleId="105">
    <w:name w:val="hover29"/>
    <w:basedOn w:val="47"/>
    <w:qFormat/>
    <w:uiPriority w:val="0"/>
    <w:rPr>
      <w:color w:val="315EFB"/>
    </w:rPr>
  </w:style>
  <w:style w:type="character" w:customStyle="1" w:styleId="106">
    <w:name w:val="layui-this"/>
    <w:basedOn w:val="47"/>
    <w:qFormat/>
    <w:uiPriority w:val="0"/>
    <w:rPr>
      <w:bdr w:val="single" w:color="EEEEEE" w:sz="6" w:space="0"/>
      <w:shd w:val="clear" w:color="auto" w:fill="FFFFFF"/>
    </w:rPr>
  </w:style>
  <w:style w:type="character" w:customStyle="1" w:styleId="107">
    <w:name w:val="first-child"/>
    <w:basedOn w:val="47"/>
    <w:qFormat/>
    <w:uiPriority w:val="0"/>
  </w:style>
  <w:style w:type="character" w:customStyle="1" w:styleId="108">
    <w:name w:val="hover"/>
    <w:basedOn w:val="47"/>
    <w:qFormat/>
    <w:uiPriority w:val="0"/>
    <w:rPr>
      <w:color w:val="5FB878"/>
    </w:rPr>
  </w:style>
  <w:style w:type="character" w:customStyle="1" w:styleId="109">
    <w:name w:val="hover1"/>
    <w:basedOn w:val="47"/>
    <w:qFormat/>
    <w:uiPriority w:val="0"/>
    <w:rPr>
      <w:color w:val="FFFFFF"/>
    </w:rPr>
  </w:style>
  <w:style w:type="character" w:customStyle="1" w:styleId="110">
    <w:name w:val="hover2"/>
    <w:basedOn w:val="47"/>
    <w:qFormat/>
    <w:uiPriority w:val="0"/>
    <w:rPr>
      <w:color w:val="5FB878"/>
    </w:rPr>
  </w:style>
  <w:style w:type="paragraph" w:customStyle="1" w:styleId="111">
    <w:name w:val="Table Paragraph"/>
    <w:basedOn w:val="1"/>
    <w:qFormat/>
    <w:uiPriority w:val="1"/>
    <w:rPr>
      <w:rFonts w:ascii="宋体" w:hAnsi="宋体" w:cs="宋体"/>
    </w:rPr>
  </w:style>
  <w:style w:type="paragraph" w:styleId="112">
    <w:name w:val="List Paragraph"/>
    <w:basedOn w:val="1"/>
    <w:qFormat/>
    <w:uiPriority w:val="34"/>
    <w:pPr>
      <w:ind w:firstLine="420" w:firstLineChars="200"/>
    </w:pPr>
  </w:style>
  <w:style w:type="paragraph" w:customStyle="1" w:styleId="113">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A03FD-00A5-4632-A7A3-D603D17A347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22981</Words>
  <Characters>24135</Characters>
  <Lines>34</Lines>
  <Paragraphs>53</Paragraphs>
  <TotalTime>3</TotalTime>
  <ScaleCrop>false</ScaleCrop>
  <LinksUpToDate>false</LinksUpToDate>
  <CharactersWithSpaces>24630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2023-03-03T06:46:00Z</dcterms:created>
  <dc:creator>a</dc:creator>
  <cp:lastModifiedBy>Administrator</cp:lastModifiedBy>
  <cp:lastPrinted>2023-02-22T07:18:00Z</cp:lastPrinted>
  <dcterms:modified xsi:type="dcterms:W3CDTF">2023-04-03T07:56:08Z</dcterms:modified>
  <dc:title>二、投标须知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6DD87AC6AEF0437AB20ED7D43A91E0DF</vt:lpwstr>
  </property>
</Properties>
</file>