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341AE">
      <w:pPr>
        <w:adjustRightInd w:val="0"/>
        <w:snapToGrid w:val="0"/>
        <w:ind w:left="-158" w:leftChars="-75" w:right="-601" w:rightChars="-286"/>
        <w:rPr>
          <w:rFonts w:ascii="宋体" w:hAnsi="宋体"/>
          <w:snapToGrid w:val="0"/>
          <w:color w:val="auto"/>
          <w:sz w:val="26"/>
          <w:szCs w:val="28"/>
          <w:highlight w:val="none"/>
        </w:rPr>
      </w:pPr>
    </w:p>
    <w:p w14:paraId="292603A4">
      <w:pPr>
        <w:spacing w:line="500" w:lineRule="exact"/>
        <w:jc w:val="center"/>
        <w:rPr>
          <w:rFonts w:ascii="宋体" w:hAnsi="宋体"/>
          <w:b/>
          <w:color w:val="auto"/>
          <w:spacing w:val="20"/>
          <w:sz w:val="40"/>
          <w:szCs w:val="22"/>
          <w:highlight w:val="none"/>
        </w:rPr>
      </w:pPr>
    </w:p>
    <w:p w14:paraId="40386885">
      <w:pPr>
        <w:spacing w:line="500" w:lineRule="exact"/>
        <w:jc w:val="center"/>
        <w:rPr>
          <w:rFonts w:ascii="宋体" w:hAnsi="宋体"/>
          <w:b/>
          <w:color w:val="auto"/>
          <w:spacing w:val="20"/>
          <w:sz w:val="40"/>
          <w:szCs w:val="22"/>
          <w:highlight w:val="none"/>
        </w:rPr>
      </w:pPr>
    </w:p>
    <w:p w14:paraId="61F28957">
      <w:pPr>
        <w:spacing w:line="360" w:lineRule="auto"/>
        <w:jc w:val="center"/>
        <w:rPr>
          <w:rFonts w:hint="eastAsia" w:ascii="宋体" w:hAnsi="宋体" w:eastAsia="宋体"/>
          <w:b/>
          <w:color w:val="auto"/>
          <w:spacing w:val="20"/>
          <w:sz w:val="48"/>
          <w:szCs w:val="28"/>
          <w:highlight w:val="none"/>
          <w:u w:val="single"/>
          <w:lang w:eastAsia="zh-CN"/>
        </w:rPr>
      </w:pPr>
      <w:r>
        <w:rPr>
          <w:rFonts w:hint="eastAsia" w:ascii="宋体" w:hAnsi="宋体"/>
          <w:b/>
          <w:color w:val="auto"/>
          <w:spacing w:val="20"/>
          <w:sz w:val="40"/>
          <w:szCs w:val="22"/>
          <w:highlight w:val="none"/>
          <w:lang w:eastAsia="zh-CN"/>
        </w:rPr>
        <w:t xml:space="preserve"> R24009（崇川区通京大道东、紫荷路南）地块道路指示蓝牌制作安装项目（</w:t>
      </w:r>
      <w:r>
        <w:rPr>
          <w:rFonts w:hint="eastAsia" w:ascii="宋体" w:hAnsi="宋体"/>
          <w:b/>
          <w:color w:val="auto"/>
          <w:spacing w:val="20"/>
          <w:sz w:val="40"/>
          <w:szCs w:val="22"/>
          <w:highlight w:val="none"/>
          <w:lang w:val="en-US" w:eastAsia="zh-CN"/>
        </w:rPr>
        <w:t>二次</w:t>
      </w:r>
      <w:r>
        <w:rPr>
          <w:rFonts w:hint="eastAsia" w:ascii="宋体" w:hAnsi="宋体"/>
          <w:b/>
          <w:color w:val="auto"/>
          <w:spacing w:val="20"/>
          <w:sz w:val="40"/>
          <w:szCs w:val="22"/>
          <w:highlight w:val="none"/>
          <w:lang w:eastAsia="zh-CN"/>
        </w:rPr>
        <w:t>）</w:t>
      </w:r>
    </w:p>
    <w:p w14:paraId="6AFD1E43">
      <w:pPr>
        <w:jc w:val="center"/>
        <w:rPr>
          <w:rFonts w:ascii="华文新魏" w:eastAsia="华文新魏"/>
          <w:b/>
          <w:color w:val="auto"/>
          <w:sz w:val="100"/>
          <w:szCs w:val="100"/>
          <w:highlight w:val="none"/>
        </w:rPr>
      </w:pPr>
    </w:p>
    <w:p w14:paraId="4E686C6B">
      <w:pPr>
        <w:jc w:val="center"/>
        <w:rPr>
          <w:rFonts w:ascii="华文新魏" w:eastAsia="华文新魏"/>
          <w:b/>
          <w:color w:val="auto"/>
          <w:sz w:val="100"/>
          <w:szCs w:val="100"/>
          <w:highlight w:val="none"/>
        </w:rPr>
      </w:pPr>
    </w:p>
    <w:p w14:paraId="3A097EC8">
      <w:pPr>
        <w:snapToGrid w:val="0"/>
        <w:spacing w:line="30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公开招标文件</w:t>
      </w:r>
    </w:p>
    <w:p w14:paraId="4BD1AD81">
      <w:pPr>
        <w:spacing w:line="500" w:lineRule="exact"/>
        <w:jc w:val="center"/>
        <w:rPr>
          <w:rFonts w:ascii="仿宋_GB2312" w:eastAsia="仿宋_GB2312"/>
          <w:b/>
          <w:color w:val="auto"/>
          <w:sz w:val="36"/>
          <w:highlight w:val="none"/>
        </w:rPr>
      </w:pPr>
      <w:r>
        <w:rPr>
          <w:rFonts w:hint="eastAsia" w:ascii="宋体" w:hAnsi="宋体"/>
          <w:b/>
          <w:bCs/>
          <w:color w:val="auto"/>
          <w:sz w:val="44"/>
          <w:szCs w:val="44"/>
          <w:highlight w:val="none"/>
        </w:rPr>
        <w:t>（资格后审）</w:t>
      </w:r>
    </w:p>
    <w:p w14:paraId="4A0EA0A7">
      <w:pPr>
        <w:pStyle w:val="44"/>
        <w:ind w:firstLine="480"/>
        <w:rPr>
          <w:color w:val="auto"/>
          <w:highlight w:val="none"/>
        </w:rPr>
      </w:pPr>
    </w:p>
    <w:p w14:paraId="20BBEFDA">
      <w:pPr>
        <w:spacing w:line="360" w:lineRule="auto"/>
        <w:jc w:val="center"/>
        <w:rPr>
          <w:rFonts w:hint="default"/>
          <w:b/>
          <w:bCs/>
          <w:color w:val="auto"/>
          <w:sz w:val="44"/>
          <w:szCs w:val="44"/>
          <w:highlight w:val="none"/>
          <w:lang w:val="en-US"/>
        </w:rPr>
      </w:pPr>
    </w:p>
    <w:p w14:paraId="73B24E21">
      <w:pPr>
        <w:pStyle w:val="18"/>
        <w:rPr>
          <w:rFonts w:hint="default"/>
          <w:color w:val="auto"/>
          <w:highlight w:val="none"/>
          <w:lang w:val="en-US"/>
        </w:rPr>
      </w:pPr>
    </w:p>
    <w:p w14:paraId="1219EE9C">
      <w:pPr>
        <w:spacing w:line="500" w:lineRule="exact"/>
        <w:jc w:val="center"/>
        <w:rPr>
          <w:rFonts w:ascii="仿宋_GB2312" w:eastAsia="仿宋_GB2312"/>
          <w:b/>
          <w:color w:val="auto"/>
          <w:sz w:val="36"/>
          <w:highlight w:val="none"/>
        </w:rPr>
      </w:pPr>
    </w:p>
    <w:p w14:paraId="20D7552E">
      <w:pPr>
        <w:pStyle w:val="39"/>
        <w:rPr>
          <w:rFonts w:ascii="仿宋_GB2312" w:eastAsia="仿宋_GB2312"/>
          <w:b/>
          <w:color w:val="auto"/>
          <w:sz w:val="36"/>
          <w:highlight w:val="none"/>
        </w:rPr>
      </w:pPr>
    </w:p>
    <w:p w14:paraId="023456E9">
      <w:pPr>
        <w:pStyle w:val="39"/>
        <w:rPr>
          <w:rFonts w:ascii="仿宋_GB2312" w:eastAsia="仿宋_GB2312"/>
          <w:b/>
          <w:color w:val="auto"/>
          <w:sz w:val="36"/>
          <w:highlight w:val="none"/>
        </w:rPr>
      </w:pPr>
    </w:p>
    <w:p w14:paraId="35B79783">
      <w:pPr>
        <w:pStyle w:val="39"/>
        <w:rPr>
          <w:rFonts w:ascii="仿宋_GB2312" w:eastAsia="仿宋_GB2312"/>
          <w:b/>
          <w:color w:val="auto"/>
          <w:sz w:val="36"/>
          <w:highlight w:val="none"/>
        </w:rPr>
      </w:pPr>
    </w:p>
    <w:p w14:paraId="00914213">
      <w:pPr>
        <w:pStyle w:val="39"/>
        <w:rPr>
          <w:rFonts w:ascii="仿宋_GB2312" w:eastAsia="仿宋_GB2312"/>
          <w:b/>
          <w:color w:val="auto"/>
          <w:sz w:val="36"/>
          <w:highlight w:val="none"/>
        </w:rPr>
      </w:pPr>
    </w:p>
    <w:p w14:paraId="2EB5C9A0">
      <w:pPr>
        <w:spacing w:line="500" w:lineRule="exact"/>
        <w:rPr>
          <w:rFonts w:ascii="仿宋_GB2312" w:eastAsia="仿宋_GB2312"/>
          <w:color w:val="auto"/>
          <w:highlight w:val="none"/>
        </w:rPr>
      </w:pPr>
    </w:p>
    <w:p w14:paraId="41E67282">
      <w:pPr>
        <w:spacing w:line="500" w:lineRule="exact"/>
        <w:jc w:val="center"/>
        <w:rPr>
          <w:rFonts w:ascii="仿宋_GB2312" w:eastAsia="仿宋_GB2312"/>
          <w:color w:val="auto"/>
          <w:sz w:val="32"/>
          <w:highlight w:val="none"/>
        </w:rPr>
      </w:pPr>
    </w:p>
    <w:p w14:paraId="72A95B08">
      <w:pPr>
        <w:spacing w:line="500" w:lineRule="exact"/>
        <w:ind w:firstLine="1920" w:firstLineChars="600"/>
        <w:jc w:val="left"/>
        <w:rPr>
          <w:rFonts w:ascii="宋体" w:hAnsi="宋体"/>
          <w:color w:val="auto"/>
          <w:spacing w:val="20"/>
          <w:sz w:val="28"/>
          <w:szCs w:val="28"/>
          <w:highlight w:val="none"/>
        </w:rPr>
      </w:pPr>
    </w:p>
    <w:p w14:paraId="38EA0F56">
      <w:pPr>
        <w:spacing w:line="500" w:lineRule="exact"/>
        <w:ind w:firstLine="1280" w:firstLineChars="400"/>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采购单位：</w:t>
      </w:r>
      <w:r>
        <w:rPr>
          <w:rFonts w:hint="eastAsia"/>
          <w:color w:val="auto"/>
          <w:spacing w:val="-1"/>
          <w:sz w:val="28"/>
          <w:szCs w:val="28"/>
          <w:highlight w:val="none"/>
          <w:lang w:eastAsia="zh-CN"/>
        </w:rPr>
        <w:t>南通天玖置业有限公司</w:t>
      </w:r>
    </w:p>
    <w:p w14:paraId="5852F331">
      <w:pPr>
        <w:spacing w:line="500" w:lineRule="exact"/>
        <w:ind w:firstLine="1280" w:firstLineChars="400"/>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rPr>
        <w:t>代理单位：</w:t>
      </w:r>
      <w:r>
        <w:rPr>
          <w:rFonts w:hint="eastAsia"/>
          <w:color w:val="auto"/>
          <w:spacing w:val="-1"/>
          <w:sz w:val="28"/>
          <w:szCs w:val="28"/>
          <w:highlight w:val="none"/>
          <w:lang w:eastAsia="zh-CN"/>
        </w:rPr>
        <w:t>南通通城建设工程项目管理有限公司</w:t>
      </w:r>
    </w:p>
    <w:p w14:paraId="4429BFE9">
      <w:pPr>
        <w:spacing w:line="500" w:lineRule="exact"/>
        <w:ind w:firstLine="1280" w:firstLineChars="400"/>
        <w:jc w:val="left"/>
        <w:rPr>
          <w:rFonts w:ascii="宋体" w:hAnsi="宋体"/>
          <w:color w:val="auto"/>
          <w:spacing w:val="20"/>
          <w:sz w:val="28"/>
          <w:szCs w:val="28"/>
          <w:highlight w:val="none"/>
        </w:rPr>
      </w:pPr>
      <w:r>
        <w:rPr>
          <w:rFonts w:hint="eastAsia" w:ascii="宋体" w:hAnsi="宋体"/>
          <w:color w:val="auto"/>
          <w:spacing w:val="20"/>
          <w:sz w:val="28"/>
          <w:szCs w:val="28"/>
          <w:highlight w:val="none"/>
        </w:rPr>
        <w:t>日   期：二〇二</w:t>
      </w:r>
      <w:r>
        <w:rPr>
          <w:rFonts w:hint="eastAsia" w:ascii="宋体" w:hAnsi="宋体"/>
          <w:color w:val="auto"/>
          <w:spacing w:val="20"/>
          <w:sz w:val="28"/>
          <w:szCs w:val="28"/>
          <w:highlight w:val="none"/>
          <w:lang w:val="en-US" w:eastAsia="zh-CN"/>
        </w:rPr>
        <w:t>五</w:t>
      </w:r>
      <w:r>
        <w:rPr>
          <w:rFonts w:hint="eastAsia" w:ascii="宋体" w:hAnsi="宋体"/>
          <w:color w:val="auto"/>
          <w:spacing w:val="20"/>
          <w:sz w:val="28"/>
          <w:szCs w:val="28"/>
          <w:highlight w:val="none"/>
        </w:rPr>
        <w:t>年</w:t>
      </w:r>
      <w:r>
        <w:rPr>
          <w:rFonts w:hint="eastAsia" w:ascii="宋体" w:hAnsi="宋体"/>
          <w:color w:val="auto"/>
          <w:spacing w:val="20"/>
          <w:sz w:val="28"/>
          <w:szCs w:val="28"/>
          <w:highlight w:val="none"/>
          <w:lang w:val="en-US" w:eastAsia="zh-CN"/>
        </w:rPr>
        <w:t>十二</w:t>
      </w:r>
      <w:r>
        <w:rPr>
          <w:rFonts w:hint="eastAsia" w:ascii="宋体" w:hAnsi="宋体"/>
          <w:color w:val="auto"/>
          <w:spacing w:val="20"/>
          <w:sz w:val="28"/>
          <w:szCs w:val="28"/>
          <w:highlight w:val="none"/>
        </w:rPr>
        <w:t>月</w:t>
      </w:r>
    </w:p>
    <w:p w14:paraId="05854E25">
      <w:pPr>
        <w:adjustRightInd w:val="0"/>
        <w:snapToGrid w:val="0"/>
        <w:spacing w:line="360" w:lineRule="auto"/>
        <w:jc w:val="center"/>
        <w:rPr>
          <w:rFonts w:ascii="宋体" w:hAnsi="宋体"/>
          <w:color w:val="auto"/>
          <w:sz w:val="44"/>
          <w:szCs w:val="44"/>
          <w:highlight w:val="none"/>
        </w:rPr>
      </w:pPr>
      <w:r>
        <w:rPr>
          <w:rFonts w:hint="eastAsia" w:ascii="宋体" w:hAnsi="宋体"/>
          <w:color w:val="auto"/>
          <w:sz w:val="44"/>
          <w:szCs w:val="44"/>
          <w:highlight w:val="none"/>
        </w:rPr>
        <w:br w:type="page"/>
      </w:r>
      <w:r>
        <w:rPr>
          <w:rFonts w:hint="eastAsia" w:ascii="宋体" w:hAnsi="宋体"/>
          <w:color w:val="auto"/>
          <w:sz w:val="44"/>
          <w:szCs w:val="44"/>
          <w:highlight w:val="none"/>
        </w:rPr>
        <w:t>目      录</w:t>
      </w:r>
    </w:p>
    <w:p w14:paraId="2DB3B2CE">
      <w:pPr>
        <w:spacing w:line="500" w:lineRule="exact"/>
        <w:jc w:val="center"/>
        <w:rPr>
          <w:rFonts w:ascii="宋体" w:hAnsi="宋体"/>
          <w:color w:val="auto"/>
          <w:sz w:val="44"/>
          <w:highlight w:val="none"/>
        </w:rPr>
      </w:pPr>
    </w:p>
    <w:p w14:paraId="70C3DF4B">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"_Toc450137519" </w:instrText>
      </w:r>
      <w:r>
        <w:rPr>
          <w:color w:val="auto"/>
          <w:highlight w:val="none"/>
        </w:rPr>
        <w:fldChar w:fldCharType="separate"/>
      </w:r>
      <w:r>
        <w:rPr>
          <w:rStyle w:val="32"/>
          <w:rFonts w:hint="eastAsia" w:ascii="宋体" w:hAnsi="宋体"/>
          <w:b/>
          <w:bCs/>
          <w:color w:val="auto"/>
          <w:sz w:val="32"/>
          <w:szCs w:val="32"/>
          <w:highlight w:val="none"/>
        </w:rPr>
        <w:t>第一章 招标公告</w:t>
      </w:r>
      <w:r>
        <w:rPr>
          <w:rStyle w:val="32"/>
          <w:rFonts w:hint="eastAsia" w:ascii="宋体" w:hAnsi="宋体"/>
          <w:b/>
          <w:bCs/>
          <w:color w:val="auto"/>
          <w:sz w:val="32"/>
          <w:szCs w:val="32"/>
          <w:highlight w:val="none"/>
        </w:rPr>
        <w:fldChar w:fldCharType="end"/>
      </w:r>
    </w:p>
    <w:p w14:paraId="1F00B372">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"_Toc450137520" </w:instrText>
      </w:r>
      <w:r>
        <w:rPr>
          <w:color w:val="auto"/>
          <w:highlight w:val="none"/>
        </w:rPr>
        <w:fldChar w:fldCharType="separate"/>
      </w:r>
      <w:r>
        <w:rPr>
          <w:rStyle w:val="32"/>
          <w:rFonts w:hint="eastAsia" w:ascii="宋体" w:hAnsi="宋体"/>
          <w:b/>
          <w:bCs/>
          <w:color w:val="auto"/>
          <w:sz w:val="32"/>
          <w:szCs w:val="32"/>
          <w:highlight w:val="none"/>
        </w:rPr>
        <w:t>第二章 投标人须知</w:t>
      </w:r>
      <w:r>
        <w:rPr>
          <w:rStyle w:val="32"/>
          <w:rFonts w:hint="eastAsia" w:ascii="宋体" w:hAnsi="宋体"/>
          <w:b/>
          <w:bCs/>
          <w:color w:val="auto"/>
          <w:sz w:val="32"/>
          <w:szCs w:val="32"/>
          <w:highlight w:val="none"/>
        </w:rPr>
        <w:fldChar w:fldCharType="end"/>
      </w:r>
    </w:p>
    <w:p w14:paraId="6E222243">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"_Toc450137521" </w:instrText>
      </w:r>
      <w:r>
        <w:rPr>
          <w:color w:val="auto"/>
          <w:highlight w:val="none"/>
        </w:rPr>
        <w:fldChar w:fldCharType="separate"/>
      </w:r>
      <w:r>
        <w:rPr>
          <w:rStyle w:val="32"/>
          <w:rFonts w:hint="eastAsia" w:ascii="宋体" w:hAnsi="宋体"/>
          <w:b/>
          <w:bCs/>
          <w:color w:val="auto"/>
          <w:sz w:val="32"/>
          <w:szCs w:val="32"/>
          <w:highlight w:val="none"/>
        </w:rPr>
        <w:t>第三章 项目需求</w:t>
      </w:r>
      <w:r>
        <w:rPr>
          <w:rStyle w:val="32"/>
          <w:rFonts w:hint="eastAsia" w:ascii="宋体" w:hAnsi="宋体"/>
          <w:b/>
          <w:bCs/>
          <w:color w:val="auto"/>
          <w:sz w:val="32"/>
          <w:szCs w:val="32"/>
          <w:highlight w:val="none"/>
        </w:rPr>
        <w:fldChar w:fldCharType="end"/>
      </w:r>
    </w:p>
    <w:p w14:paraId="42E9D8CA">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"_Toc450137522" </w:instrText>
      </w:r>
      <w:r>
        <w:rPr>
          <w:color w:val="auto"/>
          <w:highlight w:val="none"/>
        </w:rPr>
        <w:fldChar w:fldCharType="separate"/>
      </w:r>
      <w:r>
        <w:rPr>
          <w:rStyle w:val="32"/>
          <w:rFonts w:hint="eastAsia" w:ascii="宋体" w:hAnsi="宋体"/>
          <w:b/>
          <w:bCs/>
          <w:color w:val="auto"/>
          <w:sz w:val="32"/>
          <w:szCs w:val="32"/>
          <w:highlight w:val="none"/>
        </w:rPr>
        <w:t>第四章 评审方法和程序</w:t>
      </w:r>
      <w:r>
        <w:rPr>
          <w:rStyle w:val="32"/>
          <w:rFonts w:hint="eastAsia" w:ascii="宋体" w:hAnsi="宋体"/>
          <w:b/>
          <w:bCs/>
          <w:color w:val="auto"/>
          <w:sz w:val="32"/>
          <w:szCs w:val="32"/>
          <w:highlight w:val="none"/>
        </w:rPr>
        <w:fldChar w:fldCharType="end"/>
      </w:r>
    </w:p>
    <w:p w14:paraId="7183875F">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"_Toc450137523" </w:instrText>
      </w:r>
      <w:r>
        <w:rPr>
          <w:color w:val="auto"/>
          <w:highlight w:val="none"/>
        </w:rPr>
        <w:fldChar w:fldCharType="separate"/>
      </w:r>
      <w:r>
        <w:rPr>
          <w:rStyle w:val="32"/>
          <w:rFonts w:hint="eastAsia" w:ascii="宋体" w:hAnsi="宋体"/>
          <w:b/>
          <w:bCs/>
          <w:color w:val="auto"/>
          <w:sz w:val="32"/>
          <w:szCs w:val="32"/>
          <w:highlight w:val="none"/>
        </w:rPr>
        <w:t>第五章 合同主要条款</w:t>
      </w:r>
      <w:r>
        <w:rPr>
          <w:rStyle w:val="32"/>
          <w:rFonts w:hint="eastAsia" w:ascii="宋体" w:hAnsi="宋体"/>
          <w:b/>
          <w:bCs/>
          <w:color w:val="auto"/>
          <w:sz w:val="32"/>
          <w:szCs w:val="32"/>
          <w:highlight w:val="none"/>
        </w:rPr>
        <w:fldChar w:fldCharType="end"/>
      </w:r>
    </w:p>
    <w:p w14:paraId="304E7254">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"_Toc450137524" </w:instrText>
      </w:r>
      <w:r>
        <w:rPr>
          <w:color w:val="auto"/>
          <w:highlight w:val="none"/>
        </w:rPr>
        <w:fldChar w:fldCharType="separate"/>
      </w:r>
      <w:r>
        <w:rPr>
          <w:rStyle w:val="32"/>
          <w:rFonts w:hint="eastAsia" w:ascii="宋体" w:hAnsi="宋体"/>
          <w:b/>
          <w:bCs/>
          <w:color w:val="auto"/>
          <w:sz w:val="32"/>
          <w:szCs w:val="32"/>
          <w:highlight w:val="none"/>
        </w:rPr>
        <w:t>第六章 合同授予</w:t>
      </w:r>
      <w:r>
        <w:rPr>
          <w:rStyle w:val="32"/>
          <w:rFonts w:hint="eastAsia" w:ascii="宋体" w:hAnsi="宋体"/>
          <w:b/>
          <w:bCs/>
          <w:color w:val="auto"/>
          <w:sz w:val="32"/>
          <w:szCs w:val="32"/>
          <w:highlight w:val="none"/>
        </w:rPr>
        <w:fldChar w:fldCharType="end"/>
      </w:r>
    </w:p>
    <w:p w14:paraId="171CB093">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"_Toc450137525" </w:instrText>
      </w:r>
      <w:r>
        <w:rPr>
          <w:color w:val="auto"/>
          <w:highlight w:val="none"/>
        </w:rPr>
        <w:fldChar w:fldCharType="separate"/>
      </w:r>
      <w:r>
        <w:rPr>
          <w:rStyle w:val="32"/>
          <w:rFonts w:hint="eastAsia" w:ascii="宋体" w:hAnsi="宋体"/>
          <w:b/>
          <w:bCs/>
          <w:color w:val="auto"/>
          <w:sz w:val="32"/>
          <w:szCs w:val="32"/>
          <w:highlight w:val="none"/>
        </w:rPr>
        <w:t xml:space="preserve">第七章 </w:t>
      </w:r>
      <w:r>
        <w:rPr>
          <w:rStyle w:val="32"/>
          <w:rFonts w:hint="eastAsia" w:ascii="宋体" w:hAnsi="宋体"/>
          <w:b/>
          <w:bCs/>
          <w:color w:val="auto"/>
          <w:sz w:val="32"/>
          <w:szCs w:val="32"/>
          <w:highlight w:val="none"/>
          <w:lang w:eastAsia="zh-CN"/>
        </w:rPr>
        <w:t>异议</w:t>
      </w:r>
      <w:r>
        <w:rPr>
          <w:rStyle w:val="32"/>
          <w:rFonts w:hint="eastAsia" w:ascii="宋体" w:hAnsi="宋体"/>
          <w:b/>
          <w:bCs/>
          <w:color w:val="auto"/>
          <w:sz w:val="32"/>
          <w:szCs w:val="32"/>
          <w:highlight w:val="none"/>
        </w:rPr>
        <w:t>与投诉</w:t>
      </w:r>
      <w:r>
        <w:rPr>
          <w:rStyle w:val="32"/>
          <w:rFonts w:hint="eastAsia" w:ascii="宋体" w:hAnsi="宋体"/>
          <w:b/>
          <w:bCs/>
          <w:color w:val="auto"/>
          <w:sz w:val="32"/>
          <w:szCs w:val="32"/>
          <w:highlight w:val="none"/>
        </w:rPr>
        <w:fldChar w:fldCharType="end"/>
      </w:r>
    </w:p>
    <w:p w14:paraId="2BB8E5F3">
      <w:pPr>
        <w:spacing w:beforeLines="50" w:afterLines="50" w:line="500" w:lineRule="exact"/>
        <w:rPr>
          <w:rFonts w:ascii="宋体" w:hAnsi="宋体"/>
          <w:b/>
          <w:bCs/>
          <w:color w:val="auto"/>
          <w:sz w:val="32"/>
          <w:szCs w:val="32"/>
          <w:highlight w:val="none"/>
        </w:rPr>
      </w:pPr>
      <w:r>
        <w:rPr>
          <w:color w:val="auto"/>
          <w:highlight w:val="none"/>
        </w:rPr>
        <w:fldChar w:fldCharType="begin"/>
      </w:r>
      <w:r>
        <w:rPr>
          <w:color w:val="auto"/>
          <w:highlight w:val="none"/>
        </w:rPr>
        <w:instrText xml:space="preserve"> HYPERLINK \l "_Toc450137526" </w:instrText>
      </w:r>
      <w:r>
        <w:rPr>
          <w:color w:val="auto"/>
          <w:highlight w:val="none"/>
        </w:rPr>
        <w:fldChar w:fldCharType="separate"/>
      </w:r>
      <w:r>
        <w:rPr>
          <w:rStyle w:val="32"/>
          <w:rFonts w:hint="eastAsia" w:ascii="宋体" w:hAnsi="宋体"/>
          <w:b/>
          <w:bCs/>
          <w:color w:val="auto"/>
          <w:sz w:val="32"/>
          <w:szCs w:val="32"/>
          <w:highlight w:val="none"/>
        </w:rPr>
        <w:t>第八章 投标文件组成及格式</w:t>
      </w:r>
      <w:r>
        <w:rPr>
          <w:rStyle w:val="32"/>
          <w:rFonts w:hint="eastAsia" w:ascii="宋体" w:hAnsi="宋体"/>
          <w:b/>
          <w:bCs/>
          <w:color w:val="auto"/>
          <w:sz w:val="32"/>
          <w:szCs w:val="32"/>
          <w:highlight w:val="none"/>
        </w:rPr>
        <w:fldChar w:fldCharType="end"/>
      </w:r>
    </w:p>
    <w:p w14:paraId="6D43C0B6">
      <w:pPr>
        <w:spacing w:beforeLines="50" w:afterLines="50" w:line="500" w:lineRule="exact"/>
        <w:rPr>
          <w:rFonts w:ascii="楷体_GB2312" w:eastAsia="楷体_GB2312"/>
          <w:b/>
          <w:color w:val="auto"/>
          <w:sz w:val="32"/>
          <w:szCs w:val="32"/>
          <w:highlight w:val="none"/>
        </w:rPr>
      </w:pPr>
    </w:p>
    <w:p w14:paraId="7E34E4E0">
      <w:pPr>
        <w:tabs>
          <w:tab w:val="left" w:pos="7740"/>
        </w:tabs>
        <w:spacing w:line="500" w:lineRule="exact"/>
        <w:rPr>
          <w:rFonts w:ascii="楷体_GB2312" w:eastAsia="楷体_GB2312"/>
          <w:b/>
          <w:color w:val="auto"/>
          <w:spacing w:val="2"/>
          <w:sz w:val="32"/>
          <w:szCs w:val="32"/>
          <w:highlight w:val="none"/>
        </w:rPr>
      </w:pPr>
    </w:p>
    <w:p w14:paraId="2FB5720B">
      <w:pPr>
        <w:tabs>
          <w:tab w:val="left" w:pos="7740"/>
        </w:tabs>
        <w:spacing w:line="500" w:lineRule="exact"/>
        <w:rPr>
          <w:rFonts w:ascii="楷体_GB2312" w:eastAsia="楷体_GB2312"/>
          <w:b/>
          <w:color w:val="auto"/>
          <w:spacing w:val="2"/>
          <w:sz w:val="32"/>
          <w:szCs w:val="32"/>
          <w:highlight w:val="none"/>
        </w:rPr>
      </w:pPr>
    </w:p>
    <w:p w14:paraId="0EE4B48B">
      <w:pPr>
        <w:tabs>
          <w:tab w:val="left" w:pos="7740"/>
        </w:tabs>
        <w:spacing w:line="500" w:lineRule="exact"/>
        <w:rPr>
          <w:rFonts w:ascii="楷体_GB2312" w:eastAsia="楷体_GB2312"/>
          <w:b/>
          <w:bCs/>
          <w:color w:val="auto"/>
          <w:sz w:val="32"/>
          <w:szCs w:val="32"/>
          <w:highlight w:val="none"/>
        </w:rPr>
      </w:pPr>
    </w:p>
    <w:p w14:paraId="12C1B531">
      <w:pPr>
        <w:spacing w:line="500" w:lineRule="exact"/>
        <w:outlineLvl w:val="0"/>
        <w:rPr>
          <w:rFonts w:ascii="楷体_GB2312" w:hAnsi="宋体" w:eastAsia="楷体_GB2312"/>
          <w:b/>
          <w:color w:val="auto"/>
          <w:sz w:val="44"/>
          <w:szCs w:val="44"/>
          <w:highlight w:val="none"/>
        </w:rPr>
      </w:pPr>
    </w:p>
    <w:p w14:paraId="49A2EA2E">
      <w:pPr>
        <w:spacing w:line="500" w:lineRule="exact"/>
        <w:outlineLvl w:val="0"/>
        <w:rPr>
          <w:rFonts w:ascii="仿宋_GB2312" w:hAnsi="宋体" w:eastAsia="仿宋_GB2312"/>
          <w:color w:val="auto"/>
          <w:sz w:val="44"/>
          <w:szCs w:val="44"/>
          <w:highlight w:val="none"/>
        </w:rPr>
      </w:pPr>
    </w:p>
    <w:p w14:paraId="47CEE999">
      <w:pPr>
        <w:spacing w:line="500" w:lineRule="exact"/>
        <w:outlineLvl w:val="0"/>
        <w:rPr>
          <w:rFonts w:ascii="仿宋_GB2312" w:hAnsi="宋体" w:eastAsia="仿宋_GB2312"/>
          <w:color w:val="auto"/>
          <w:sz w:val="44"/>
          <w:szCs w:val="44"/>
          <w:highlight w:val="none"/>
        </w:rPr>
      </w:pPr>
    </w:p>
    <w:p w14:paraId="00133BAE">
      <w:pPr>
        <w:spacing w:line="500" w:lineRule="exact"/>
        <w:outlineLvl w:val="0"/>
        <w:rPr>
          <w:rFonts w:ascii="仿宋_GB2312" w:hAnsi="宋体" w:eastAsia="仿宋_GB2312"/>
          <w:color w:val="auto"/>
          <w:sz w:val="44"/>
          <w:szCs w:val="44"/>
          <w:highlight w:val="none"/>
        </w:rPr>
      </w:pPr>
    </w:p>
    <w:p w14:paraId="511757F8">
      <w:pPr>
        <w:spacing w:line="500" w:lineRule="exact"/>
        <w:outlineLvl w:val="0"/>
        <w:rPr>
          <w:rFonts w:ascii="仿宋_GB2312" w:hAnsi="宋体" w:eastAsia="仿宋_GB2312"/>
          <w:color w:val="auto"/>
          <w:sz w:val="44"/>
          <w:szCs w:val="44"/>
          <w:highlight w:val="none"/>
        </w:rPr>
      </w:pPr>
    </w:p>
    <w:p w14:paraId="5D953402">
      <w:pPr>
        <w:spacing w:line="500" w:lineRule="exact"/>
        <w:outlineLvl w:val="0"/>
        <w:rPr>
          <w:rFonts w:ascii="仿宋_GB2312" w:hAnsi="宋体" w:eastAsia="仿宋_GB2312"/>
          <w:color w:val="auto"/>
          <w:sz w:val="44"/>
          <w:szCs w:val="44"/>
          <w:highlight w:val="none"/>
        </w:rPr>
      </w:pPr>
    </w:p>
    <w:p w14:paraId="405E7363">
      <w:pPr>
        <w:spacing w:line="500" w:lineRule="exact"/>
        <w:outlineLvl w:val="0"/>
        <w:rPr>
          <w:rFonts w:ascii="仿宋_GB2312" w:hAnsi="宋体" w:eastAsia="仿宋_GB2312"/>
          <w:color w:val="auto"/>
          <w:sz w:val="44"/>
          <w:szCs w:val="44"/>
          <w:highlight w:val="none"/>
        </w:rPr>
      </w:pPr>
    </w:p>
    <w:p w14:paraId="4A0475E0">
      <w:pPr>
        <w:snapToGrid w:val="0"/>
        <w:spacing w:line="300" w:lineRule="auto"/>
        <w:jc w:val="center"/>
        <w:outlineLvl w:val="0"/>
        <w:rPr>
          <w:rFonts w:ascii="宋体" w:hAnsi="宋体"/>
          <w:b/>
          <w:color w:val="auto"/>
          <w:sz w:val="36"/>
          <w:szCs w:val="36"/>
          <w:highlight w:val="none"/>
        </w:rPr>
        <w:sectPr>
          <w:footerReference r:id="rId3" w:type="default"/>
          <w:pgSz w:w="11900" w:h="16840"/>
          <w:pgMar w:top="1417" w:right="1569" w:bottom="1417" w:left="1570" w:header="1574" w:footer="1191" w:gutter="0"/>
          <w:pgNumType w:start="1"/>
          <w:cols w:space="720" w:num="1"/>
          <w:docGrid w:linePitch="360" w:charSpace="0"/>
        </w:sectPr>
      </w:pPr>
    </w:p>
    <w:p w14:paraId="72027FC8">
      <w:pPr>
        <w:snapToGrid w:val="0"/>
        <w:spacing w:line="300" w:lineRule="auto"/>
        <w:ind w:left="360"/>
        <w:jc w:val="center"/>
        <w:outlineLvl w:val="0"/>
        <w:rPr>
          <w:rFonts w:ascii="宋体" w:hAnsi="宋体"/>
          <w:b/>
          <w:color w:val="auto"/>
          <w:sz w:val="36"/>
          <w:szCs w:val="36"/>
          <w:highlight w:val="none"/>
        </w:rPr>
      </w:pPr>
      <w:r>
        <w:rPr>
          <w:rFonts w:hint="eastAsia" w:ascii="宋体" w:hAnsi="宋体"/>
          <w:b/>
          <w:color w:val="auto"/>
          <w:sz w:val="36"/>
          <w:szCs w:val="36"/>
          <w:highlight w:val="none"/>
        </w:rPr>
        <w:t xml:space="preserve">第一章  </w:t>
      </w:r>
      <w:bookmarkStart w:id="0" w:name="OLE_LINK7"/>
      <w:bookmarkStart w:id="1" w:name="OLE_LINK5"/>
      <w:r>
        <w:rPr>
          <w:rFonts w:hint="eastAsia" w:ascii="宋体" w:hAnsi="宋体"/>
          <w:b/>
          <w:color w:val="auto"/>
          <w:sz w:val="36"/>
          <w:szCs w:val="36"/>
          <w:highlight w:val="none"/>
        </w:rPr>
        <w:t>招标公告</w:t>
      </w:r>
    </w:p>
    <w:bookmarkEnd w:id="0"/>
    <w:bookmarkEnd w:id="1"/>
    <w:p w14:paraId="0DFAC2A2">
      <w:pPr>
        <w:pBdr>
          <w:top w:val="single" w:color="auto" w:sz="4" w:space="1"/>
          <w:left w:val="single" w:color="auto" w:sz="4" w:space="4"/>
          <w:bottom w:val="single" w:color="auto" w:sz="4" w:space="0"/>
          <w:right w:val="single" w:color="auto" w:sz="4" w:space="0"/>
        </w:pBdr>
        <w:spacing w:line="420" w:lineRule="exact"/>
        <w:ind w:firstLine="440" w:firstLineChars="200"/>
        <w:rPr>
          <w:color w:val="auto"/>
          <w:sz w:val="24"/>
          <w:highlight w:val="none"/>
        </w:rPr>
      </w:pPr>
      <w:r>
        <w:rPr>
          <w:rFonts w:hint="eastAsia" w:ascii="宋体" w:hAnsi="宋体" w:cs="宋体"/>
          <w:bCs/>
          <w:color w:val="auto"/>
          <w:sz w:val="22"/>
          <w:szCs w:val="22"/>
          <w:highlight w:val="none"/>
        </w:rPr>
        <w:t xml:space="preserve"> </w:t>
      </w:r>
      <w:r>
        <w:rPr>
          <w:rFonts w:hint="eastAsia" w:ascii="宋体" w:hAnsi="宋体" w:cs="宋体"/>
          <w:bCs/>
          <w:color w:val="auto"/>
          <w:sz w:val="24"/>
          <w:highlight w:val="none"/>
        </w:rPr>
        <w:t>项目概况：</w:t>
      </w:r>
      <w:r>
        <w:rPr>
          <w:rFonts w:hint="eastAsia" w:ascii="宋体" w:hAnsi="宋体" w:cs="宋体"/>
          <w:b/>
          <w:bCs/>
          <w:color w:val="auto"/>
          <w:sz w:val="24"/>
          <w:highlight w:val="none"/>
          <w:u w:val="single"/>
          <w:lang w:eastAsia="zh-CN"/>
        </w:rPr>
        <w:t xml:space="preserve"> R24009（崇川区通京大道东、紫荷路南）地块道路指示蓝牌制作安装项目</w:t>
      </w:r>
      <w:r>
        <w:rPr>
          <w:rFonts w:hint="eastAsia" w:ascii="宋体" w:hAnsi="宋体"/>
          <w:b/>
          <w:bCs/>
          <w:color w:val="auto"/>
          <w:sz w:val="24"/>
          <w:highlight w:val="none"/>
        </w:rPr>
        <w:t>的潜在投标人应在</w:t>
      </w:r>
      <w:r>
        <w:rPr>
          <w:rFonts w:hint="eastAsia" w:ascii="宋体" w:hAnsi="宋体"/>
          <w:b/>
          <w:bCs/>
          <w:color w:val="auto"/>
          <w:sz w:val="24"/>
          <w:highlight w:val="none"/>
          <w:u w:val="single"/>
        </w:rPr>
        <w:t>“</w:t>
      </w:r>
      <w:r>
        <w:rPr>
          <w:rFonts w:hint="eastAsia" w:ascii="宋体" w:hAnsi="宋体"/>
          <w:b/>
          <w:bCs/>
          <w:color w:val="auto"/>
          <w:sz w:val="24"/>
          <w:highlight w:val="none"/>
          <w:u w:val="single"/>
          <w:lang w:val="en-US" w:eastAsia="zh-CN"/>
        </w:rPr>
        <w:t>南通市崇川区人民政府网-公告公示</w:t>
      </w:r>
      <w:r>
        <w:rPr>
          <w:rFonts w:hint="eastAsia" w:ascii="宋体" w:hAnsi="宋体"/>
          <w:b/>
          <w:bCs/>
          <w:color w:val="auto"/>
          <w:sz w:val="24"/>
          <w:highlight w:val="none"/>
          <w:u w:val="single"/>
        </w:rPr>
        <w:t>”</w:t>
      </w:r>
      <w:r>
        <w:rPr>
          <w:rFonts w:hint="eastAsia" w:ascii="宋体" w:hAnsi="宋体"/>
          <w:b/>
          <w:bCs/>
          <w:color w:val="auto"/>
          <w:sz w:val="24"/>
          <w:highlight w:val="none"/>
          <w:u w:val="single"/>
          <w:lang w:val="en-US" w:eastAsia="zh-CN"/>
        </w:rPr>
        <w:t>栏</w:t>
      </w:r>
      <w:r>
        <w:rPr>
          <w:rFonts w:hint="eastAsia" w:ascii="宋体" w:hAnsi="宋体"/>
          <w:b/>
          <w:bCs/>
          <w:color w:val="auto"/>
          <w:sz w:val="24"/>
          <w:highlight w:val="none"/>
          <w:u w:val="single"/>
        </w:rPr>
        <w:t>获取招标文件，并于 202</w:t>
      </w:r>
      <w:r>
        <w:rPr>
          <w:rFonts w:hint="eastAsia" w:ascii="宋体" w:hAnsi="宋体"/>
          <w:b/>
          <w:bCs/>
          <w:color w:val="auto"/>
          <w:sz w:val="24"/>
          <w:highlight w:val="none"/>
          <w:u w:val="single"/>
          <w:lang w:val="en-US" w:eastAsia="zh-CN"/>
        </w:rPr>
        <w:t>5</w:t>
      </w:r>
      <w:r>
        <w:rPr>
          <w:rFonts w:hint="eastAsia" w:ascii="宋体" w:hAnsi="宋体"/>
          <w:b/>
          <w:bCs/>
          <w:color w:val="auto"/>
          <w:sz w:val="24"/>
          <w:highlight w:val="none"/>
          <w:u w:val="single"/>
        </w:rPr>
        <w:t>年</w:t>
      </w:r>
      <w:r>
        <w:rPr>
          <w:rFonts w:hint="eastAsia" w:ascii="宋体" w:hAnsi="宋体"/>
          <w:b/>
          <w:bCs/>
          <w:color w:val="auto"/>
          <w:sz w:val="24"/>
          <w:highlight w:val="none"/>
          <w:u w:val="single"/>
          <w:lang w:val="en-US" w:eastAsia="zh-CN"/>
        </w:rPr>
        <w:t>12</w:t>
      </w:r>
      <w:r>
        <w:rPr>
          <w:rFonts w:hint="eastAsia" w:ascii="宋体" w:hAnsi="宋体"/>
          <w:b/>
          <w:bCs/>
          <w:color w:val="auto"/>
          <w:sz w:val="24"/>
          <w:highlight w:val="none"/>
          <w:u w:val="single"/>
        </w:rPr>
        <w:t>月</w:t>
      </w:r>
      <w:r>
        <w:rPr>
          <w:rFonts w:hint="eastAsia" w:ascii="宋体" w:hAnsi="宋体"/>
          <w:b/>
          <w:bCs/>
          <w:color w:val="auto"/>
          <w:sz w:val="24"/>
          <w:highlight w:val="none"/>
          <w:u w:val="single"/>
          <w:lang w:val="en-US" w:eastAsia="zh-CN"/>
        </w:rPr>
        <w:t>19</w:t>
      </w:r>
      <w:r>
        <w:rPr>
          <w:rFonts w:hint="eastAsia" w:ascii="宋体" w:hAnsi="宋体"/>
          <w:b/>
          <w:bCs/>
          <w:color w:val="auto"/>
          <w:sz w:val="24"/>
          <w:highlight w:val="none"/>
          <w:u w:val="single"/>
        </w:rPr>
        <w:t>日</w:t>
      </w:r>
      <w:r>
        <w:rPr>
          <w:rFonts w:hint="eastAsia" w:ascii="宋体" w:hAnsi="宋体"/>
          <w:b/>
          <w:bCs/>
          <w:color w:val="auto"/>
          <w:sz w:val="24"/>
          <w:highlight w:val="none"/>
          <w:u w:val="single"/>
          <w:lang w:val="en-US" w:eastAsia="zh-CN"/>
        </w:rPr>
        <w:t>9</w:t>
      </w:r>
      <w:r>
        <w:rPr>
          <w:rFonts w:hint="eastAsia" w:ascii="宋体" w:hAnsi="宋体"/>
          <w:b/>
          <w:bCs/>
          <w:color w:val="auto"/>
          <w:sz w:val="24"/>
          <w:highlight w:val="none"/>
          <w:u w:val="single"/>
        </w:rPr>
        <w:t>时</w:t>
      </w:r>
      <w:r>
        <w:rPr>
          <w:rFonts w:hint="eastAsia" w:ascii="宋体" w:hAnsi="宋体"/>
          <w:b/>
          <w:bCs/>
          <w:color w:val="auto"/>
          <w:sz w:val="24"/>
          <w:highlight w:val="none"/>
          <w:u w:val="single"/>
          <w:lang w:val="en-US" w:eastAsia="zh-CN"/>
        </w:rPr>
        <w:t>30</w:t>
      </w:r>
      <w:r>
        <w:rPr>
          <w:rFonts w:hint="eastAsia" w:ascii="宋体" w:hAnsi="宋体"/>
          <w:b/>
          <w:bCs/>
          <w:color w:val="auto"/>
          <w:sz w:val="24"/>
          <w:highlight w:val="none"/>
          <w:u w:val="single"/>
        </w:rPr>
        <w:t>分</w:t>
      </w:r>
      <w:r>
        <w:rPr>
          <w:rFonts w:hint="eastAsia" w:ascii="宋体" w:hAnsi="宋体"/>
          <w:b/>
          <w:bCs/>
          <w:color w:val="auto"/>
          <w:sz w:val="24"/>
          <w:highlight w:val="none"/>
        </w:rPr>
        <w:t>（北京时间）前递交投标文件。</w:t>
      </w:r>
    </w:p>
    <w:p w14:paraId="4B51D7B2">
      <w:pPr>
        <w:spacing w:beforeLines="100"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u w:val="single"/>
          <w:lang w:eastAsia="zh-CN"/>
        </w:rPr>
        <w:t>南通通城建设工程项目管理有限公司</w:t>
      </w:r>
      <w:r>
        <w:rPr>
          <w:rFonts w:hint="eastAsia" w:asciiTheme="majorEastAsia" w:hAnsiTheme="majorEastAsia" w:eastAsiaTheme="majorEastAsia"/>
          <w:color w:val="auto"/>
          <w:sz w:val="24"/>
          <w:highlight w:val="none"/>
        </w:rPr>
        <w:t>（以下简称招标代理机构）受</w:t>
      </w:r>
      <w:r>
        <w:rPr>
          <w:rFonts w:hint="eastAsia" w:asciiTheme="majorEastAsia" w:hAnsiTheme="majorEastAsia" w:eastAsiaTheme="majorEastAsia"/>
          <w:color w:val="auto"/>
          <w:sz w:val="24"/>
          <w:highlight w:val="none"/>
          <w:u w:val="single"/>
          <w:lang w:eastAsia="zh-CN"/>
        </w:rPr>
        <w:t>南通天玖置业有限公司</w:t>
      </w:r>
      <w:r>
        <w:rPr>
          <w:rFonts w:hint="eastAsia" w:asciiTheme="majorEastAsia" w:hAnsiTheme="majorEastAsia" w:eastAsiaTheme="majorEastAsia"/>
          <w:color w:val="auto"/>
          <w:sz w:val="24"/>
          <w:highlight w:val="none"/>
        </w:rPr>
        <w:t>（以下简称采购人）的委托，就</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u w:val="single"/>
          <w:lang w:eastAsia="zh-CN"/>
        </w:rPr>
        <w:t xml:space="preserve"> R24009（崇川区通京大道东、紫荷路南）地块道路指示蓝牌制作安装项目</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拟用公开招标方式组织招标。现公告如下：</w:t>
      </w:r>
    </w:p>
    <w:p w14:paraId="6A3A2AA1">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一、项目基本情况</w:t>
      </w:r>
    </w:p>
    <w:p w14:paraId="4D497065">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项目名称：</w:t>
      </w:r>
      <w:r>
        <w:rPr>
          <w:rFonts w:hint="eastAsia" w:cs="宋体" w:asciiTheme="majorEastAsia" w:hAnsiTheme="majorEastAsia" w:eastAsiaTheme="majorEastAsia"/>
          <w:color w:val="auto"/>
          <w:sz w:val="24"/>
          <w:highlight w:val="none"/>
          <w:lang w:eastAsia="zh-CN"/>
        </w:rPr>
        <w:t xml:space="preserve"> R24009（崇川区通京大道东、紫荷路南）地块道路指示蓝牌制作安装项目</w:t>
      </w:r>
    </w:p>
    <w:p w14:paraId="1EDAD8F8">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预算金额：人民币</w:t>
      </w:r>
      <w:r>
        <w:rPr>
          <w:rFonts w:hint="eastAsia" w:cs="宋体" w:asciiTheme="majorEastAsia" w:hAnsiTheme="majorEastAsia" w:eastAsiaTheme="majorEastAsia"/>
          <w:color w:val="auto"/>
          <w:sz w:val="24"/>
          <w:highlight w:val="none"/>
          <w:lang w:val="en-US" w:eastAsia="zh-CN"/>
        </w:rPr>
        <w:t>10万</w:t>
      </w:r>
      <w:r>
        <w:rPr>
          <w:rFonts w:hint="eastAsia" w:cs="宋体" w:asciiTheme="majorEastAsia" w:hAnsiTheme="majorEastAsia" w:eastAsiaTheme="majorEastAsia"/>
          <w:color w:val="auto"/>
          <w:sz w:val="24"/>
          <w:highlight w:val="none"/>
        </w:rPr>
        <w:t>元</w:t>
      </w:r>
      <w:r>
        <w:rPr>
          <w:rFonts w:hint="eastAsia" w:cs="宋体" w:asciiTheme="majorEastAsia" w:hAnsiTheme="majorEastAsia" w:eastAsiaTheme="majorEastAsia"/>
          <w:color w:val="auto"/>
          <w:sz w:val="24"/>
          <w:highlight w:val="none"/>
          <w:lang w:eastAsia="zh-CN"/>
        </w:rPr>
        <w:t>。</w:t>
      </w:r>
      <w:bookmarkStart w:id="13" w:name="_GoBack"/>
      <w:bookmarkEnd w:id="13"/>
    </w:p>
    <w:p w14:paraId="1307CA2F">
      <w:pPr>
        <w:snapToGrid w:val="0"/>
        <w:spacing w:line="420" w:lineRule="exact"/>
        <w:ind w:firstLine="480" w:firstLineChars="20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最高限价：人民币</w:t>
      </w:r>
      <w:r>
        <w:rPr>
          <w:rFonts w:hint="eastAsia" w:cs="宋体" w:asciiTheme="majorEastAsia" w:hAnsiTheme="majorEastAsia" w:eastAsiaTheme="majorEastAsia"/>
          <w:color w:val="auto"/>
          <w:sz w:val="24"/>
          <w:highlight w:val="none"/>
          <w:lang w:val="en-US" w:eastAsia="zh-CN"/>
        </w:rPr>
        <w:t>10万元</w:t>
      </w:r>
      <w:r>
        <w:rPr>
          <w:rFonts w:hint="eastAsia" w:cs="宋体"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各投标人的投标报价不得高于最高限价，否则视为无效投标文件。</w:t>
      </w:r>
    </w:p>
    <w:p w14:paraId="2A3F0974">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采购需求：详见</w:t>
      </w:r>
      <w:r>
        <w:rPr>
          <w:rFonts w:hint="eastAsia" w:cs="宋体" w:asciiTheme="majorEastAsia" w:hAnsiTheme="majorEastAsia" w:eastAsiaTheme="majorEastAsia"/>
          <w:color w:val="auto"/>
          <w:spacing w:val="7"/>
          <w:kern w:val="0"/>
          <w:sz w:val="24"/>
          <w:highlight w:val="none"/>
        </w:rPr>
        <w:t>第三部分</w:t>
      </w:r>
      <w:r>
        <w:rPr>
          <w:rFonts w:hint="eastAsia" w:cs="宋体" w:asciiTheme="majorEastAsia" w:hAnsiTheme="majorEastAsia" w:eastAsiaTheme="majorEastAsia"/>
          <w:color w:val="auto"/>
          <w:sz w:val="24"/>
          <w:highlight w:val="none"/>
        </w:rPr>
        <w:t>项目需求。</w:t>
      </w:r>
    </w:p>
    <w:p w14:paraId="4FD93566">
      <w:pPr>
        <w:spacing w:line="440" w:lineRule="exact"/>
        <w:ind w:firstLine="480" w:firstLineChars="200"/>
        <w:rPr>
          <w:rFonts w:hint="eastAsia"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合同履行期限：</w:t>
      </w:r>
      <w:r>
        <w:rPr>
          <w:rFonts w:hint="eastAsia" w:cs="宋体" w:asciiTheme="majorEastAsia" w:hAnsiTheme="majorEastAsia" w:eastAsiaTheme="majorEastAsia"/>
          <w:color w:val="auto"/>
          <w:sz w:val="24"/>
          <w:highlight w:val="none"/>
          <w:lang w:val="en-US" w:eastAsia="zh-CN"/>
        </w:rPr>
        <w:t>合同签订35日历天内完成制作及安装</w:t>
      </w:r>
      <w:r>
        <w:rPr>
          <w:rFonts w:hint="eastAsia" w:cs="宋体" w:asciiTheme="majorEastAsia" w:hAnsiTheme="majorEastAsia" w:eastAsiaTheme="majorEastAsia"/>
          <w:color w:val="auto"/>
          <w:sz w:val="24"/>
          <w:highlight w:val="none"/>
        </w:rPr>
        <w:t>。</w:t>
      </w:r>
    </w:p>
    <w:p w14:paraId="69085563">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二、申请人的资格要求：</w:t>
      </w:r>
    </w:p>
    <w:p w14:paraId="3E211748">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1、投标人必须符合下列条件：具有独立承担民事责任的能力；具有良好的商业信誉和健全的财务会计制度；具有履行合同所必需的设备和专业技术能力</w:t>
      </w:r>
      <w:r>
        <w:rPr>
          <w:rFonts w:hint="eastAsia" w:cs="宋体" w:asciiTheme="majorEastAsia" w:hAnsiTheme="majorEastAsia" w:eastAsiaTheme="majorEastAsia"/>
          <w:color w:val="auto"/>
          <w:kern w:val="0"/>
          <w:sz w:val="24"/>
          <w:highlight w:val="none"/>
          <w:lang w:eastAsia="zh-CN"/>
        </w:rPr>
        <w:t>；具</w:t>
      </w:r>
      <w:r>
        <w:rPr>
          <w:rFonts w:hint="eastAsia" w:cs="宋体" w:asciiTheme="majorEastAsia" w:hAnsiTheme="majorEastAsia" w:eastAsiaTheme="majorEastAsia"/>
          <w:color w:val="auto"/>
          <w:kern w:val="0"/>
          <w:sz w:val="24"/>
          <w:highlight w:val="none"/>
        </w:rPr>
        <w:t>有依法缴纳税收和社会保障资金的良好记录；参加本采购活动前三年内，在经营活动中没有重大违法记录。</w:t>
      </w:r>
    </w:p>
    <w:p w14:paraId="7588EB18">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2、法定代表人为同一个人的两个及两个以上法人，母公司、全资子公司及其控股公司，都不得在同一招标项目相同标段中同时参加投标，一经发现，将视同围标处理。</w:t>
      </w:r>
    </w:p>
    <w:p w14:paraId="5EF5BFEB">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3、投标人必须是具有独立承担民事能力的</w:t>
      </w:r>
      <w:r>
        <w:rPr>
          <w:rFonts w:hint="eastAsia" w:cs="宋体" w:asciiTheme="majorEastAsia" w:hAnsiTheme="majorEastAsia" w:eastAsiaTheme="majorEastAsia"/>
          <w:color w:val="auto"/>
          <w:kern w:val="0"/>
          <w:sz w:val="24"/>
          <w:highlight w:val="none"/>
          <w:lang w:val="en-US" w:eastAsia="zh-CN"/>
        </w:rPr>
        <w:t>法人、其他组织或自然人</w:t>
      </w:r>
      <w:r>
        <w:rPr>
          <w:rFonts w:hint="eastAsia" w:cs="宋体" w:asciiTheme="majorEastAsia" w:hAnsiTheme="majorEastAsia" w:eastAsiaTheme="majorEastAsia"/>
          <w:color w:val="auto"/>
          <w:kern w:val="0"/>
          <w:sz w:val="24"/>
          <w:highlight w:val="none"/>
        </w:rPr>
        <w:t>(法人或其他组织的营业执照等证明文件，自然人的身份证明)；</w:t>
      </w:r>
    </w:p>
    <w:p w14:paraId="50A3E27E">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4、法定代表人参加投标的，必须提供法定代表人身份证明及法定代表人本人身份证复印件；非法定代表人参加投标的，必须提供法定代表人签字或盖章的授权委托书及法定代表人、被授权人的两人身份证的复印件（格式参见第八章）。</w:t>
      </w:r>
    </w:p>
    <w:p w14:paraId="287C1F7A">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lang w:val="en-US" w:eastAsia="zh-CN"/>
        </w:rPr>
      </w:pPr>
      <w:r>
        <w:rPr>
          <w:rFonts w:hint="eastAsia" w:cs="宋体" w:asciiTheme="majorEastAsia" w:hAnsiTheme="majorEastAsia" w:eastAsiaTheme="majorEastAsia"/>
          <w:color w:val="auto"/>
          <w:kern w:val="0"/>
          <w:sz w:val="24"/>
          <w:highlight w:val="none"/>
          <w:lang w:val="en-US" w:eastAsia="zh-CN"/>
        </w:rPr>
        <w:t>5、近三年内无发生骗取中标行为或严重违约行为或重大服务质量问题、提供信誉承诺函(格式自拟)；</w:t>
      </w:r>
    </w:p>
    <w:p w14:paraId="17736503">
      <w:pPr>
        <w:adjustRightInd w:val="0"/>
        <w:snapToGrid w:val="0"/>
        <w:spacing w:line="360" w:lineRule="auto"/>
        <w:ind w:firstLine="480" w:firstLineChars="200"/>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lang w:val="en-US" w:eastAsia="zh-CN"/>
        </w:rPr>
        <w:t>6</w:t>
      </w:r>
      <w:r>
        <w:rPr>
          <w:rFonts w:hint="eastAsia" w:cs="宋体" w:asciiTheme="majorEastAsia" w:hAnsiTheme="majorEastAsia" w:eastAsiaTheme="majorEastAsia"/>
          <w:color w:val="auto"/>
          <w:kern w:val="0"/>
          <w:sz w:val="24"/>
          <w:highlight w:val="none"/>
        </w:rPr>
        <w:t>、关于资格文件的声明函（格式参见第八章）。</w:t>
      </w:r>
    </w:p>
    <w:p w14:paraId="40709473">
      <w:pPr>
        <w:snapToGrid w:val="0"/>
        <w:spacing w:line="360" w:lineRule="auto"/>
        <w:ind w:firstLine="480" w:firstLineChars="200"/>
        <w:jc w:val="left"/>
        <w:rPr>
          <w:rFonts w:hint="eastAsia" w:cs="宋体" w:asciiTheme="majorEastAsia" w:hAnsiTheme="majorEastAsia" w:eastAsiaTheme="majorEastAsia"/>
          <w:color w:val="auto"/>
          <w:kern w:val="0"/>
          <w:sz w:val="24"/>
          <w:highlight w:val="none"/>
        </w:rPr>
      </w:pPr>
      <w:r>
        <w:rPr>
          <w:rFonts w:hint="eastAsia"/>
          <w:color w:val="auto"/>
          <w:sz w:val="24"/>
          <w:szCs w:val="24"/>
          <w:highlight w:val="none"/>
          <w:lang w:val="en-US" w:eastAsia="zh-CN"/>
        </w:rPr>
        <w:t>7</w:t>
      </w:r>
      <w:r>
        <w:rPr>
          <w:color w:val="auto"/>
          <w:sz w:val="24"/>
          <w:szCs w:val="24"/>
          <w:highlight w:val="none"/>
        </w:rPr>
        <w:t>、</w:t>
      </w:r>
      <w:r>
        <w:rPr>
          <w:rFonts w:hint="eastAsia"/>
          <w:color w:val="auto"/>
          <w:sz w:val="24"/>
          <w:szCs w:val="24"/>
          <w:highlight w:val="none"/>
        </w:rPr>
        <w:t>诚信承诺书（</w:t>
      </w:r>
      <w:r>
        <w:rPr>
          <w:color w:val="auto"/>
          <w:sz w:val="24"/>
          <w:szCs w:val="24"/>
          <w:highlight w:val="none"/>
        </w:rPr>
        <w:t>格式参见</w:t>
      </w:r>
      <w:r>
        <w:rPr>
          <w:rFonts w:hint="eastAsia"/>
          <w:color w:val="auto"/>
          <w:sz w:val="24"/>
          <w:szCs w:val="24"/>
          <w:highlight w:val="none"/>
        </w:rPr>
        <w:t>第</w:t>
      </w:r>
      <w:r>
        <w:rPr>
          <w:rFonts w:hint="eastAsia"/>
          <w:color w:val="auto"/>
          <w:sz w:val="24"/>
          <w:szCs w:val="24"/>
          <w:highlight w:val="none"/>
          <w:lang w:val="en-US" w:eastAsia="zh-CN"/>
        </w:rPr>
        <w:t>八</w:t>
      </w:r>
      <w:r>
        <w:rPr>
          <w:rFonts w:hint="eastAsia"/>
          <w:color w:val="auto"/>
          <w:sz w:val="24"/>
          <w:szCs w:val="24"/>
          <w:highlight w:val="none"/>
        </w:rPr>
        <w:t>章）。</w:t>
      </w:r>
    </w:p>
    <w:p w14:paraId="77E614DD">
      <w:pPr>
        <w:spacing w:line="360" w:lineRule="auto"/>
        <w:ind w:firstLine="480" w:firstLineChars="200"/>
        <w:rPr>
          <w:rFonts w:asciiTheme="majorEastAsia" w:hAnsiTheme="majorEastAsia" w:eastAsiaTheme="majorEastAsia"/>
          <w:color w:val="auto"/>
          <w:sz w:val="24"/>
          <w:highlight w:val="none"/>
        </w:rPr>
      </w:pPr>
      <w:r>
        <w:rPr>
          <w:rFonts w:hint="eastAsia" w:cs="宋体" w:asciiTheme="majorEastAsia" w:hAnsiTheme="majorEastAsia" w:eastAsiaTheme="majorEastAsia"/>
          <w:color w:val="auto"/>
          <w:kern w:val="0"/>
          <w:sz w:val="24"/>
          <w:highlight w:val="none"/>
          <w:lang w:val="en-US" w:eastAsia="zh-CN"/>
        </w:rPr>
        <w:t>8、</w:t>
      </w:r>
      <w:r>
        <w:rPr>
          <w:rFonts w:asciiTheme="majorEastAsia" w:hAnsiTheme="majorEastAsia" w:eastAsiaTheme="majorEastAsia"/>
          <w:color w:val="auto"/>
          <w:sz w:val="24"/>
          <w:highlight w:val="none"/>
        </w:rPr>
        <w:t>本</w:t>
      </w:r>
      <w:r>
        <w:rPr>
          <w:rFonts w:hint="eastAsia" w:asciiTheme="majorEastAsia" w:hAnsiTheme="majorEastAsia" w:eastAsiaTheme="majorEastAsia"/>
          <w:color w:val="auto"/>
          <w:sz w:val="24"/>
          <w:highlight w:val="none"/>
        </w:rPr>
        <w:t>项目</w:t>
      </w:r>
      <w:r>
        <w:rPr>
          <w:rFonts w:asciiTheme="majorEastAsia" w:hAnsiTheme="majorEastAsia" w:eastAsiaTheme="majorEastAsia"/>
          <w:color w:val="auto"/>
          <w:sz w:val="24"/>
          <w:highlight w:val="none"/>
        </w:rPr>
        <w:t>不接受联合体形式的投标形式</w:t>
      </w:r>
      <w:r>
        <w:rPr>
          <w:rFonts w:hint="eastAsia" w:asciiTheme="majorEastAsia" w:hAnsiTheme="majorEastAsia" w:eastAsiaTheme="majorEastAsia"/>
          <w:color w:val="auto"/>
          <w:sz w:val="24"/>
          <w:highlight w:val="none"/>
        </w:rPr>
        <w:t>，中标后不得分包、转包或由中标人子公司具体承接。</w:t>
      </w:r>
    </w:p>
    <w:p w14:paraId="4DCD2FF6">
      <w:pPr>
        <w:spacing w:line="360" w:lineRule="auto"/>
        <w:ind w:firstLine="482" w:firstLineChars="200"/>
        <w:rPr>
          <w:rFonts w:cs="宋体" w:asciiTheme="majorEastAsia" w:hAnsiTheme="majorEastAsia" w:eastAsiaTheme="majorEastAsia"/>
          <w:b/>
          <w:color w:val="auto"/>
          <w:sz w:val="24"/>
          <w:highlight w:val="none"/>
          <w:u w:val="thick" w:color="FF0000"/>
        </w:rPr>
      </w:pPr>
      <w:r>
        <w:rPr>
          <w:rFonts w:hint="eastAsia" w:cs="宋体" w:asciiTheme="majorEastAsia" w:hAnsiTheme="majorEastAsia" w:eastAsiaTheme="majorEastAsia"/>
          <w:b/>
          <w:color w:val="auto"/>
          <w:sz w:val="24"/>
          <w:highlight w:val="none"/>
          <w:u w:val="thick" w:color="FF0000"/>
        </w:rPr>
        <w:t>具体详见本招标文件《第八章　投标文件组成及格式》中的资格审查文件要求</w:t>
      </w:r>
      <w:r>
        <w:rPr>
          <w:rFonts w:hint="eastAsia" w:cs="宋体" w:asciiTheme="majorEastAsia" w:hAnsiTheme="majorEastAsia" w:eastAsiaTheme="majorEastAsia"/>
          <w:b/>
          <w:color w:val="auto"/>
          <w:sz w:val="24"/>
          <w:highlight w:val="none"/>
        </w:rPr>
        <w:t>。</w:t>
      </w:r>
    </w:p>
    <w:p w14:paraId="28407530">
      <w:pPr>
        <w:widowControl/>
        <w:tabs>
          <w:tab w:val="left" w:pos="3780"/>
        </w:tabs>
        <w:spacing w:line="360" w:lineRule="auto"/>
        <w:ind w:firstLine="482" w:firstLineChars="200"/>
        <w:jc w:val="left"/>
        <w:rPr>
          <w:rFonts w:cs="宋体" w:asciiTheme="majorEastAsia" w:hAnsiTheme="majorEastAsia" w:eastAsiaTheme="majorEastAsia"/>
          <w:b/>
          <w:color w:val="auto"/>
          <w:sz w:val="24"/>
          <w:highlight w:val="none"/>
          <w:u w:val="thick" w:color="FF0000"/>
        </w:rPr>
      </w:pPr>
      <w:r>
        <w:rPr>
          <w:rFonts w:hint="eastAsia" w:cs="宋体" w:asciiTheme="majorEastAsia" w:hAnsiTheme="majorEastAsia" w:eastAsiaTheme="majorEastAsia"/>
          <w:b/>
          <w:color w:val="auto"/>
          <w:sz w:val="24"/>
          <w:highlight w:val="none"/>
          <w:u w:val="thick" w:color="FF0000"/>
        </w:rPr>
        <w:t>【特别提醒】请各投标人认真对照资格要求，如不符合要求，无意或故意参与投标的，所产生的一切后果由投标人承担。若投标人提供的相关材料为虚假或伪造，或者其他人员持法定代表人或授权委托人的身份证参与投标，一经发现则取消投标人资格，该投标人将记入不良记录，并将其列入黑名单。</w:t>
      </w:r>
    </w:p>
    <w:p w14:paraId="695AF5CD">
      <w:pPr>
        <w:widowControl/>
        <w:tabs>
          <w:tab w:val="left" w:pos="3780"/>
        </w:tabs>
        <w:spacing w:line="360" w:lineRule="auto"/>
        <w:ind w:firstLine="482" w:firstLineChars="200"/>
        <w:jc w:val="left"/>
        <w:rPr>
          <w:rFonts w:cs="宋体" w:asciiTheme="majorEastAsia" w:hAnsiTheme="majorEastAsia" w:eastAsiaTheme="majorEastAsia"/>
          <w:b/>
          <w:color w:val="auto"/>
          <w:sz w:val="24"/>
          <w:highlight w:val="none"/>
          <w:u w:val="thick" w:color="FF0000"/>
        </w:rPr>
      </w:pPr>
      <w:r>
        <w:rPr>
          <w:rFonts w:hint="eastAsia" w:cs="宋体" w:asciiTheme="majorEastAsia" w:hAnsiTheme="majorEastAsia" w:eastAsiaTheme="majorEastAsia"/>
          <w:b/>
          <w:color w:val="auto"/>
          <w:sz w:val="24"/>
          <w:highlight w:val="none"/>
          <w:u w:val="thick" w:color="FF0000"/>
        </w:rPr>
        <w:t>单位负责人为同一人或者存在直接控股、管理关系的不同投标人，不得同时参与同一招标项目相同标段的招标活动；为招标项目提供整体设计、规范编制或者项目管理、监理、检测等服务的投标人，不得再参加该招标项目的其他招标活动。</w:t>
      </w:r>
    </w:p>
    <w:p w14:paraId="67825734">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三、获取招标文件</w:t>
      </w:r>
    </w:p>
    <w:p w14:paraId="2932F53C">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获取</w:t>
      </w:r>
      <w:r>
        <w:rPr>
          <w:rFonts w:hint="eastAsia" w:cs="宋体" w:asciiTheme="majorEastAsia" w:hAnsiTheme="majorEastAsia" w:eastAsiaTheme="majorEastAsia"/>
          <w:color w:val="auto"/>
          <w:sz w:val="24"/>
          <w:highlight w:val="none"/>
        </w:rPr>
        <w:t>时间：</w:t>
      </w:r>
      <w:r>
        <w:rPr>
          <w:rFonts w:hint="eastAsia" w:cs="宋体" w:asciiTheme="majorEastAsia" w:hAnsiTheme="majorEastAsia" w:eastAsiaTheme="majorEastAsia"/>
          <w:b/>
          <w:bCs/>
          <w:color w:val="auto"/>
          <w:sz w:val="24"/>
          <w:highlight w:val="none"/>
          <w:lang w:val="en-US" w:eastAsia="zh-CN"/>
        </w:rPr>
        <w:t>自公告发布之日起</w:t>
      </w:r>
      <w:r>
        <w:rPr>
          <w:rFonts w:hint="eastAsia" w:cs="宋体" w:asciiTheme="majorEastAsia" w:hAnsiTheme="majorEastAsia" w:eastAsiaTheme="majorEastAsia"/>
          <w:b/>
          <w:bCs/>
          <w:color w:val="auto"/>
          <w:sz w:val="24"/>
          <w:highlight w:val="none"/>
        </w:rPr>
        <w:t>至 202</w:t>
      </w:r>
      <w:r>
        <w:rPr>
          <w:rFonts w:hint="eastAsia" w:cs="宋体" w:asciiTheme="majorEastAsia" w:hAnsiTheme="majorEastAsia" w:eastAsiaTheme="majorEastAsia"/>
          <w:b/>
          <w:bCs/>
          <w:color w:val="auto"/>
          <w:sz w:val="24"/>
          <w:highlight w:val="none"/>
          <w:lang w:val="en-US" w:eastAsia="zh-CN"/>
        </w:rPr>
        <w:t>5</w:t>
      </w:r>
      <w:r>
        <w:rPr>
          <w:rFonts w:hint="eastAsia" w:cs="宋体" w:asciiTheme="majorEastAsia" w:hAnsiTheme="majorEastAsia" w:eastAsiaTheme="majorEastAsia"/>
          <w:b/>
          <w:bCs/>
          <w:color w:val="auto"/>
          <w:sz w:val="24"/>
          <w:highlight w:val="none"/>
        </w:rPr>
        <w:t>年1</w:t>
      </w:r>
      <w:r>
        <w:rPr>
          <w:rFonts w:hint="eastAsia" w:cs="宋体" w:asciiTheme="majorEastAsia" w:hAnsiTheme="majorEastAsia" w:eastAsiaTheme="majorEastAsia"/>
          <w:b/>
          <w:bCs/>
          <w:color w:val="auto"/>
          <w:sz w:val="24"/>
          <w:highlight w:val="none"/>
          <w:lang w:val="en-US" w:eastAsia="zh-CN"/>
        </w:rPr>
        <w:t>2</w:t>
      </w:r>
      <w:r>
        <w:rPr>
          <w:rFonts w:hint="eastAsia" w:cs="宋体" w:asciiTheme="majorEastAsia" w:hAnsiTheme="majorEastAsia" w:eastAsiaTheme="majorEastAsia"/>
          <w:b/>
          <w:bCs/>
          <w:color w:val="auto"/>
          <w:sz w:val="24"/>
          <w:highlight w:val="none"/>
        </w:rPr>
        <w:t>月</w:t>
      </w:r>
      <w:r>
        <w:rPr>
          <w:rFonts w:hint="eastAsia" w:cs="宋体" w:asciiTheme="majorEastAsia" w:hAnsiTheme="majorEastAsia" w:eastAsiaTheme="majorEastAsia"/>
          <w:b/>
          <w:bCs/>
          <w:color w:val="auto"/>
          <w:sz w:val="24"/>
          <w:highlight w:val="none"/>
          <w:lang w:val="en-US" w:eastAsia="zh-CN"/>
        </w:rPr>
        <w:t>19</w:t>
      </w:r>
      <w:r>
        <w:rPr>
          <w:rFonts w:hint="eastAsia" w:cs="宋体" w:asciiTheme="majorEastAsia" w:hAnsiTheme="majorEastAsia" w:eastAsiaTheme="majorEastAsia"/>
          <w:b/>
          <w:bCs/>
          <w:color w:val="auto"/>
          <w:sz w:val="24"/>
          <w:highlight w:val="none"/>
        </w:rPr>
        <w:t>日</w:t>
      </w:r>
      <w:r>
        <w:rPr>
          <w:rFonts w:hint="eastAsia" w:cs="宋体" w:asciiTheme="majorEastAsia" w:hAnsiTheme="majorEastAsia" w:eastAsiaTheme="majorEastAsia"/>
          <w:color w:val="auto"/>
          <w:sz w:val="24"/>
          <w:highlight w:val="none"/>
        </w:rPr>
        <w:t>。</w:t>
      </w:r>
    </w:p>
    <w:p w14:paraId="095C9DA5">
      <w:pPr>
        <w:snapToGrid w:val="0"/>
        <w:spacing w:line="420" w:lineRule="exact"/>
        <w:ind w:firstLine="480" w:firstLineChars="200"/>
        <w:rPr>
          <w:rFonts w:hint="default" w:cs="宋体" w:asciiTheme="majorEastAsia" w:hAnsiTheme="majorEastAsia" w:eastAsiaTheme="majorEastAsia"/>
          <w:bCs/>
          <w:color w:val="auto"/>
          <w:sz w:val="24"/>
          <w:highlight w:val="none"/>
          <w:lang w:val="en-US" w:eastAsia="zh-CN"/>
        </w:rPr>
      </w:pPr>
      <w:r>
        <w:rPr>
          <w:rFonts w:hint="eastAsia" w:cs="宋体" w:asciiTheme="majorEastAsia" w:hAnsiTheme="majorEastAsia" w:eastAsiaTheme="majorEastAsia"/>
          <w:color w:val="auto"/>
          <w:sz w:val="24"/>
          <w:highlight w:val="none"/>
        </w:rPr>
        <w:t>获取方式：</w:t>
      </w:r>
      <w:r>
        <w:rPr>
          <w:rFonts w:hint="eastAsia" w:cs="宋体" w:asciiTheme="majorEastAsia" w:hAnsiTheme="majorEastAsia" w:eastAsiaTheme="majorEastAsia"/>
          <w:color w:val="auto"/>
          <w:sz w:val="24"/>
          <w:highlight w:val="none"/>
          <w:lang w:val="en-US" w:eastAsia="zh-CN"/>
        </w:rPr>
        <w:t>直接下载</w:t>
      </w:r>
    </w:p>
    <w:p w14:paraId="4B78A802">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四、提交投标文件截止时间、开标时间和地点</w:t>
      </w:r>
    </w:p>
    <w:p w14:paraId="2CE7190A">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截止时间：</w:t>
      </w:r>
      <w:r>
        <w:rPr>
          <w:rFonts w:hint="eastAsia" w:cs="宋体" w:asciiTheme="majorEastAsia" w:hAnsiTheme="majorEastAsia" w:eastAsiaTheme="majorEastAsia"/>
          <w:b/>
          <w:bCs/>
          <w:color w:val="auto"/>
          <w:sz w:val="24"/>
          <w:highlight w:val="none"/>
        </w:rPr>
        <w:t>202</w:t>
      </w:r>
      <w:r>
        <w:rPr>
          <w:rFonts w:hint="eastAsia" w:cs="宋体" w:asciiTheme="majorEastAsia" w:hAnsiTheme="majorEastAsia" w:eastAsiaTheme="majorEastAsia"/>
          <w:b/>
          <w:bCs/>
          <w:color w:val="auto"/>
          <w:sz w:val="24"/>
          <w:highlight w:val="none"/>
          <w:lang w:val="en-US" w:eastAsia="zh-CN"/>
        </w:rPr>
        <w:t>5</w:t>
      </w:r>
      <w:r>
        <w:rPr>
          <w:rFonts w:hint="eastAsia" w:cs="宋体" w:asciiTheme="majorEastAsia" w:hAnsiTheme="majorEastAsia" w:eastAsiaTheme="majorEastAsia"/>
          <w:b/>
          <w:bCs/>
          <w:color w:val="auto"/>
          <w:sz w:val="24"/>
          <w:highlight w:val="none"/>
        </w:rPr>
        <w:t>年</w:t>
      </w:r>
      <w:r>
        <w:rPr>
          <w:rFonts w:hint="eastAsia" w:cs="宋体" w:asciiTheme="majorEastAsia" w:hAnsiTheme="majorEastAsia" w:eastAsiaTheme="majorEastAsia"/>
          <w:b/>
          <w:bCs/>
          <w:color w:val="auto"/>
          <w:sz w:val="24"/>
          <w:highlight w:val="none"/>
          <w:lang w:val="en-US" w:eastAsia="zh-CN"/>
        </w:rPr>
        <w:t>12</w:t>
      </w:r>
      <w:r>
        <w:rPr>
          <w:rFonts w:hint="eastAsia" w:cs="宋体" w:asciiTheme="majorEastAsia" w:hAnsiTheme="majorEastAsia" w:eastAsiaTheme="majorEastAsia"/>
          <w:b/>
          <w:bCs/>
          <w:color w:val="auto"/>
          <w:sz w:val="24"/>
          <w:highlight w:val="none"/>
        </w:rPr>
        <w:t>月</w:t>
      </w:r>
      <w:r>
        <w:rPr>
          <w:rFonts w:hint="eastAsia" w:cs="宋体" w:asciiTheme="majorEastAsia" w:hAnsiTheme="majorEastAsia" w:eastAsiaTheme="majorEastAsia"/>
          <w:b/>
          <w:bCs/>
          <w:color w:val="auto"/>
          <w:sz w:val="24"/>
          <w:highlight w:val="none"/>
          <w:lang w:val="en-US" w:eastAsia="zh-CN"/>
        </w:rPr>
        <w:t>19</w:t>
      </w:r>
      <w:r>
        <w:rPr>
          <w:rFonts w:hint="eastAsia" w:cs="宋体" w:asciiTheme="majorEastAsia" w:hAnsiTheme="majorEastAsia" w:eastAsiaTheme="majorEastAsia"/>
          <w:b/>
          <w:bCs/>
          <w:color w:val="auto"/>
          <w:sz w:val="24"/>
          <w:highlight w:val="none"/>
        </w:rPr>
        <w:t>日</w:t>
      </w:r>
      <w:r>
        <w:rPr>
          <w:rFonts w:hint="eastAsia" w:cs="宋体" w:asciiTheme="majorEastAsia" w:hAnsiTheme="majorEastAsia" w:eastAsiaTheme="majorEastAsia"/>
          <w:b/>
          <w:bCs/>
          <w:color w:val="auto"/>
          <w:sz w:val="24"/>
          <w:highlight w:val="none"/>
          <w:lang w:val="en-US" w:eastAsia="zh-CN"/>
        </w:rPr>
        <w:t>9</w:t>
      </w:r>
      <w:r>
        <w:rPr>
          <w:rFonts w:hint="eastAsia" w:cs="宋体" w:asciiTheme="majorEastAsia" w:hAnsiTheme="majorEastAsia" w:eastAsiaTheme="majorEastAsia"/>
          <w:b/>
          <w:bCs/>
          <w:color w:val="auto"/>
          <w:sz w:val="24"/>
          <w:highlight w:val="none"/>
        </w:rPr>
        <w:t xml:space="preserve"> 时</w:t>
      </w:r>
      <w:r>
        <w:rPr>
          <w:rFonts w:hint="eastAsia" w:cs="宋体" w:asciiTheme="majorEastAsia" w:hAnsiTheme="majorEastAsia" w:eastAsiaTheme="majorEastAsia"/>
          <w:b/>
          <w:bCs/>
          <w:color w:val="auto"/>
          <w:sz w:val="24"/>
          <w:highlight w:val="none"/>
          <w:lang w:val="en-US" w:eastAsia="zh-CN"/>
        </w:rPr>
        <w:t>30</w:t>
      </w:r>
      <w:r>
        <w:rPr>
          <w:rFonts w:hint="eastAsia" w:cs="宋体" w:asciiTheme="majorEastAsia" w:hAnsiTheme="majorEastAsia" w:eastAsiaTheme="majorEastAsia"/>
          <w:b/>
          <w:bCs/>
          <w:color w:val="auto"/>
          <w:sz w:val="24"/>
          <w:highlight w:val="none"/>
        </w:rPr>
        <w:t>分</w:t>
      </w:r>
      <w:r>
        <w:rPr>
          <w:rFonts w:hint="eastAsia" w:cs="宋体" w:asciiTheme="majorEastAsia" w:hAnsiTheme="majorEastAsia" w:eastAsiaTheme="majorEastAsia"/>
          <w:color w:val="auto"/>
          <w:sz w:val="24"/>
          <w:highlight w:val="none"/>
        </w:rPr>
        <w:t>（北京时间）</w:t>
      </w:r>
    </w:p>
    <w:p w14:paraId="29284956">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地点：</w:t>
      </w:r>
      <w:r>
        <w:rPr>
          <w:rFonts w:hint="eastAsia" w:cs="宋体" w:asciiTheme="majorEastAsia" w:hAnsiTheme="majorEastAsia" w:eastAsiaTheme="majorEastAsia"/>
          <w:color w:val="auto"/>
          <w:sz w:val="24"/>
          <w:highlight w:val="none"/>
          <w:lang w:eastAsia="zh-CN"/>
        </w:rPr>
        <w:t>国投集团109会议室（南通市崇川区</w:t>
      </w:r>
      <w:r>
        <w:rPr>
          <w:rFonts w:hint="eastAsia" w:cs="宋体" w:asciiTheme="majorEastAsia" w:hAnsiTheme="majorEastAsia" w:eastAsiaTheme="majorEastAsia"/>
          <w:color w:val="auto"/>
          <w:sz w:val="24"/>
          <w:highlight w:val="none"/>
          <w:lang w:val="en-US" w:eastAsia="zh-CN"/>
        </w:rPr>
        <w:t>崇川路1</w:t>
      </w:r>
      <w:r>
        <w:rPr>
          <w:rFonts w:hint="eastAsia" w:cs="宋体" w:asciiTheme="majorEastAsia" w:hAnsiTheme="majorEastAsia" w:eastAsiaTheme="majorEastAsia"/>
          <w:color w:val="auto"/>
          <w:sz w:val="24"/>
          <w:highlight w:val="none"/>
          <w:lang w:eastAsia="zh-CN"/>
        </w:rPr>
        <w:t>号）</w:t>
      </w:r>
      <w:r>
        <w:rPr>
          <w:rFonts w:hint="eastAsia" w:cs="宋体" w:asciiTheme="majorEastAsia" w:hAnsiTheme="majorEastAsia" w:eastAsiaTheme="majorEastAsia"/>
          <w:color w:val="auto"/>
          <w:sz w:val="24"/>
          <w:highlight w:val="none"/>
        </w:rPr>
        <w:t>，如有变动，另行通知。</w:t>
      </w:r>
    </w:p>
    <w:p w14:paraId="6D686FF5">
      <w:pPr>
        <w:snapToGrid w:val="0"/>
        <w:spacing w:line="420" w:lineRule="exact"/>
        <w:ind w:firstLine="482" w:firstLineChars="200"/>
        <w:rPr>
          <w:rFonts w:hint="eastAsia"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五、保证金</w:t>
      </w:r>
    </w:p>
    <w:p w14:paraId="16E95411">
      <w:pPr>
        <w:snapToGrid w:val="0"/>
        <w:spacing w:line="420" w:lineRule="exact"/>
        <w:ind w:firstLine="480" w:firstLineChars="200"/>
        <w:rPr>
          <w:rFonts w:hint="eastAsia" w:cs="宋体" w:asciiTheme="majorEastAsia" w:hAnsiTheme="majorEastAsia" w:eastAsiaTheme="majorEastAsia"/>
          <w:b w:val="0"/>
          <w:bCs/>
          <w:color w:val="auto"/>
          <w:sz w:val="24"/>
          <w:highlight w:val="none"/>
          <w:lang w:val="en-US" w:eastAsia="zh-CN"/>
        </w:rPr>
      </w:pPr>
      <w:r>
        <w:rPr>
          <w:rFonts w:hint="eastAsia" w:cs="宋体" w:asciiTheme="majorEastAsia" w:hAnsiTheme="majorEastAsia" w:eastAsiaTheme="majorEastAsia"/>
          <w:b w:val="0"/>
          <w:bCs/>
          <w:color w:val="auto"/>
          <w:sz w:val="24"/>
          <w:highlight w:val="none"/>
        </w:rPr>
        <w:t>5.1本项目投标保证金为</w:t>
      </w:r>
      <w:r>
        <w:rPr>
          <w:rFonts w:hint="eastAsia" w:cs="宋体" w:asciiTheme="majorEastAsia" w:hAnsiTheme="majorEastAsia" w:eastAsiaTheme="majorEastAsia"/>
          <w:b w:val="0"/>
          <w:bCs/>
          <w:color w:val="auto"/>
          <w:sz w:val="24"/>
          <w:highlight w:val="none"/>
          <w:lang w:val="en-US" w:eastAsia="zh-CN"/>
        </w:rPr>
        <w:t>人民币贰仟元整（递交方式：现金、银行汇票或见索即付银行保函，并非将保证金打入指定账户，在开标时和投标文件同时递交，请勿和投标文件密封）</w:t>
      </w:r>
    </w:p>
    <w:p w14:paraId="2014E681">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5.2履约保证金</w:t>
      </w:r>
    </w:p>
    <w:p w14:paraId="33BDC371">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(1)本项目成交后的履约保证金为合同金额的</w:t>
      </w:r>
      <w:r>
        <w:rPr>
          <w:rFonts w:hint="eastAsia" w:cs="宋体" w:asciiTheme="majorEastAsia" w:hAnsiTheme="majorEastAsia" w:eastAsiaTheme="majorEastAsia"/>
          <w:b w:val="0"/>
          <w:bCs/>
          <w:color w:val="auto"/>
          <w:sz w:val="24"/>
          <w:highlight w:val="none"/>
          <w:lang w:val="en-US" w:eastAsia="zh-CN"/>
        </w:rPr>
        <w:t>10</w:t>
      </w:r>
      <w:r>
        <w:rPr>
          <w:rFonts w:hint="eastAsia" w:cs="宋体" w:asciiTheme="majorEastAsia" w:hAnsiTheme="majorEastAsia" w:eastAsiaTheme="majorEastAsia"/>
          <w:b w:val="0"/>
          <w:bCs/>
          <w:color w:val="auto"/>
          <w:sz w:val="24"/>
          <w:highlight w:val="none"/>
        </w:rPr>
        <w:t xml:space="preserve">%。 </w:t>
      </w:r>
    </w:p>
    <w:p w14:paraId="579B6076">
      <w:pPr>
        <w:snapToGrid w:val="0"/>
        <w:spacing w:line="420" w:lineRule="exact"/>
        <w:ind w:firstLine="480" w:firstLineChars="200"/>
        <w:rPr>
          <w:rFonts w:hint="eastAsia"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(2)本项目履行期限届满后，如中标人无违约行为，采购人将中标人交纳的履约保证金在合同期限届满后1个月内退还。如中标人未能按约履行合同规定的全部义务，采购人有权从履约保证金中优先获得赔偿或扣款。</w:t>
      </w:r>
    </w:p>
    <w:p w14:paraId="71FD6538">
      <w:pPr>
        <w:snapToGrid w:val="0"/>
        <w:spacing w:line="420" w:lineRule="exact"/>
        <w:ind w:firstLine="480" w:firstLineChars="200"/>
        <w:rPr>
          <w:rFonts w:cs="宋体" w:asciiTheme="majorEastAsia" w:hAnsiTheme="majorEastAsia" w:eastAsiaTheme="majorEastAsia"/>
          <w:b w:val="0"/>
          <w:bCs/>
          <w:color w:val="auto"/>
          <w:sz w:val="24"/>
          <w:highlight w:val="none"/>
        </w:rPr>
      </w:pPr>
      <w:r>
        <w:rPr>
          <w:rFonts w:hint="eastAsia" w:cs="宋体" w:asciiTheme="majorEastAsia" w:hAnsiTheme="majorEastAsia" w:eastAsiaTheme="majorEastAsia"/>
          <w:b w:val="0"/>
          <w:bCs/>
          <w:color w:val="auto"/>
          <w:sz w:val="24"/>
          <w:highlight w:val="none"/>
        </w:rPr>
        <w:t>(3)由于中标供应商原因，在签订合同后出现不按合同履行的情况，采购单位有权将履约保证金作为违约金，全额不予退还，同时采购单位亦有权终止合同，中标供应商还须承担相应的法律赔偿责任。</w:t>
      </w:r>
    </w:p>
    <w:p w14:paraId="7AF7979F">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六、其他补充事宜</w:t>
      </w:r>
    </w:p>
    <w:p w14:paraId="7A90076A">
      <w:pPr>
        <w:snapToGrid w:val="0"/>
        <w:spacing w:line="420" w:lineRule="exact"/>
        <w:ind w:firstLine="480" w:firstLineChars="200"/>
        <w:rPr>
          <w:rFonts w:cs="宋体" w:asciiTheme="majorEastAsia" w:hAnsiTheme="majorEastAsia" w:eastAsiaTheme="majorEastAsia"/>
          <w:color w:val="auto"/>
          <w:sz w:val="24"/>
          <w:highlight w:val="none"/>
        </w:rPr>
      </w:pPr>
      <w:r>
        <w:rPr>
          <w:rFonts w:cs="宋体" w:asciiTheme="majorEastAsia" w:hAnsiTheme="majorEastAsia" w:eastAsiaTheme="majorEastAsia"/>
          <w:color w:val="auto"/>
          <w:sz w:val="24"/>
          <w:highlight w:val="none"/>
        </w:rPr>
        <w:t>1、项目开标活动模式：</w:t>
      </w:r>
      <w:r>
        <w:rPr>
          <w:rFonts w:hint="eastAsia" w:cs="宋体" w:asciiTheme="majorEastAsia" w:hAnsiTheme="majorEastAsia" w:eastAsiaTheme="majorEastAsia"/>
          <w:color w:val="auto"/>
          <w:sz w:val="24"/>
          <w:highlight w:val="none"/>
        </w:rPr>
        <w:t>本项目采用现场模式。</w:t>
      </w:r>
    </w:p>
    <w:p w14:paraId="6158D951">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2</w:t>
      </w:r>
      <w:r>
        <w:rPr>
          <w:rFonts w:cs="宋体" w:asciiTheme="majorEastAsia" w:hAnsiTheme="majorEastAsia" w:eastAsiaTheme="majorEastAsia"/>
          <w:color w:val="auto"/>
          <w:sz w:val="24"/>
          <w:highlight w:val="none"/>
        </w:rPr>
        <w:t>、对项目需求部分（供应商资格要求、项目需求、商务技术评分标准）的询问、</w:t>
      </w:r>
      <w:r>
        <w:rPr>
          <w:rFonts w:hint="eastAsia" w:cs="宋体" w:asciiTheme="majorEastAsia" w:hAnsiTheme="majorEastAsia" w:eastAsiaTheme="majorEastAsia"/>
          <w:color w:val="auto"/>
          <w:sz w:val="24"/>
          <w:highlight w:val="none"/>
          <w:lang w:eastAsia="zh-CN"/>
        </w:rPr>
        <w:t>异议</w:t>
      </w:r>
      <w:r>
        <w:rPr>
          <w:rFonts w:cs="宋体" w:asciiTheme="majorEastAsia" w:hAnsiTheme="majorEastAsia" w:eastAsiaTheme="majorEastAsia"/>
          <w:color w:val="auto"/>
          <w:sz w:val="24"/>
          <w:highlight w:val="none"/>
        </w:rPr>
        <w:t>请向采购人提出，由采购人负责答复；对项目招标文件</w:t>
      </w:r>
      <w:r>
        <w:rPr>
          <w:rFonts w:hint="eastAsia" w:cs="宋体" w:asciiTheme="majorEastAsia" w:hAnsiTheme="majorEastAsia" w:eastAsiaTheme="majorEastAsia"/>
          <w:color w:val="auto"/>
          <w:sz w:val="24"/>
          <w:highlight w:val="none"/>
          <w:lang w:eastAsia="zh-CN"/>
        </w:rPr>
        <w:t>其他部分</w:t>
      </w:r>
      <w:r>
        <w:rPr>
          <w:rFonts w:cs="宋体" w:asciiTheme="majorEastAsia" w:hAnsiTheme="majorEastAsia" w:eastAsiaTheme="majorEastAsia"/>
          <w:color w:val="auto"/>
          <w:sz w:val="24"/>
          <w:highlight w:val="none"/>
        </w:rPr>
        <w:t>的询问请向招标</w:t>
      </w:r>
      <w:r>
        <w:rPr>
          <w:rFonts w:hint="eastAsia" w:cs="宋体" w:asciiTheme="majorEastAsia" w:hAnsiTheme="majorEastAsia" w:eastAsiaTheme="majorEastAsia"/>
          <w:color w:val="auto"/>
          <w:sz w:val="24"/>
          <w:highlight w:val="none"/>
        </w:rPr>
        <w:t>代理机构</w:t>
      </w:r>
      <w:r>
        <w:rPr>
          <w:rFonts w:cs="宋体" w:asciiTheme="majorEastAsia" w:hAnsiTheme="majorEastAsia" w:eastAsiaTheme="majorEastAsia"/>
          <w:color w:val="auto"/>
          <w:sz w:val="24"/>
          <w:highlight w:val="none"/>
        </w:rPr>
        <w:t>提出。</w:t>
      </w:r>
    </w:p>
    <w:p w14:paraId="6534499A">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3</w:t>
      </w:r>
      <w:r>
        <w:rPr>
          <w:rFonts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rPr>
        <w:t>供应商应依照规定提交各类声明函、承诺函，不再同时提供原件备查或提供有关部门出具的相关证明文件。但中标供应商应做好提交声明函、承诺</w:t>
      </w:r>
      <w:r>
        <w:rPr>
          <w:rFonts w:hint="eastAsia" w:cs="宋体" w:asciiTheme="majorEastAsia" w:hAnsiTheme="majorEastAsia" w:eastAsiaTheme="majorEastAsia"/>
          <w:color w:val="auto"/>
          <w:sz w:val="24"/>
          <w:highlight w:val="none"/>
          <w:lang w:eastAsia="zh-CN"/>
        </w:rPr>
        <w:t>函等</w:t>
      </w:r>
      <w:r>
        <w:rPr>
          <w:rFonts w:hint="eastAsia" w:cs="宋体" w:asciiTheme="majorEastAsia" w:hAnsiTheme="majorEastAsia" w:eastAsiaTheme="majorEastAsia"/>
          <w:color w:val="auto"/>
          <w:sz w:val="24"/>
          <w:highlight w:val="none"/>
        </w:rPr>
        <w:t>相应原件的核查准备；核查后发现虚假或违背承诺的，依照相关法律法规规定处理。</w:t>
      </w:r>
    </w:p>
    <w:p w14:paraId="264B909B">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lang w:val="en-US" w:eastAsia="zh-CN"/>
        </w:rPr>
        <w:t>4</w:t>
      </w:r>
      <w:r>
        <w:rPr>
          <w:rFonts w:hint="eastAsia" w:cs="宋体" w:asciiTheme="majorEastAsia" w:hAnsiTheme="majorEastAsia" w:eastAsiaTheme="majorEastAsia"/>
          <w:color w:val="auto"/>
          <w:sz w:val="24"/>
          <w:highlight w:val="none"/>
        </w:rPr>
        <w:t>、投标人递交投标文件时，投标人的法定代表人（或其授权代理人）必须携带本人身份证、法定代表人身份证明（或授权委托书）原件准时参加开标会议。否则，其投标文件不予受理。注：法定代表人身份证明（或授权委托书）一式二份，一份装订在资格审查文件中，另一份在投标时随身携带。</w:t>
      </w:r>
    </w:p>
    <w:p w14:paraId="5EFF7C8F">
      <w:pPr>
        <w:snapToGrid w:val="0"/>
        <w:spacing w:line="420" w:lineRule="exact"/>
        <w:ind w:firstLine="482" w:firstLineChars="20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七、对本次招标提出询问，请按以下方式联系。</w:t>
      </w:r>
    </w:p>
    <w:p w14:paraId="5B9F5853">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1.采购人信息</w:t>
      </w:r>
    </w:p>
    <w:p w14:paraId="72783D98">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名    称：</w:t>
      </w:r>
      <w:r>
        <w:rPr>
          <w:rFonts w:hint="eastAsia" w:cs="宋体" w:asciiTheme="majorEastAsia" w:hAnsiTheme="majorEastAsia" w:eastAsiaTheme="majorEastAsia"/>
          <w:color w:val="auto"/>
          <w:sz w:val="24"/>
          <w:highlight w:val="none"/>
          <w:lang w:eastAsia="zh-CN"/>
        </w:rPr>
        <w:t>南通天玖置业有限公司</w:t>
      </w:r>
    </w:p>
    <w:p w14:paraId="7935DA82">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地    址：</w:t>
      </w:r>
      <w:r>
        <w:rPr>
          <w:rFonts w:hint="eastAsia" w:cs="宋体" w:asciiTheme="majorEastAsia" w:hAnsiTheme="majorEastAsia" w:eastAsiaTheme="majorEastAsia"/>
          <w:color w:val="auto"/>
          <w:sz w:val="24"/>
          <w:highlight w:val="none"/>
          <w:lang w:eastAsia="zh-CN"/>
        </w:rPr>
        <w:t>南通市崇川区崇川路1号</w:t>
      </w:r>
    </w:p>
    <w:p w14:paraId="68B94BCD">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联 系 方 式：曹工(0513-66889905)</w:t>
      </w:r>
    </w:p>
    <w:p w14:paraId="30F47802">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2.采购代理机构信息</w:t>
      </w:r>
    </w:p>
    <w:p w14:paraId="195CF653">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名    称：</w:t>
      </w:r>
      <w:r>
        <w:rPr>
          <w:rFonts w:hint="eastAsia" w:cs="宋体" w:asciiTheme="majorEastAsia" w:hAnsiTheme="majorEastAsia" w:eastAsiaTheme="majorEastAsia"/>
          <w:color w:val="auto"/>
          <w:sz w:val="24"/>
          <w:highlight w:val="none"/>
          <w:lang w:eastAsia="zh-CN"/>
        </w:rPr>
        <w:t>南通通城建设工程项目管理有限公司</w:t>
      </w:r>
    </w:p>
    <w:p w14:paraId="52F7253B">
      <w:pPr>
        <w:snapToGrid w:val="0"/>
        <w:spacing w:line="420" w:lineRule="exact"/>
        <w:ind w:firstLine="480" w:firstLineChars="200"/>
        <w:rPr>
          <w:rFonts w:hint="eastAsia" w:cs="宋体" w:asciiTheme="majorEastAsia" w:hAnsiTheme="majorEastAsia" w:eastAsiaTheme="majorEastAsia"/>
          <w:color w:val="auto"/>
          <w:sz w:val="24"/>
          <w:highlight w:val="none"/>
          <w:lang w:eastAsia="zh-CN"/>
        </w:rPr>
      </w:pPr>
      <w:r>
        <w:rPr>
          <w:rFonts w:hint="eastAsia" w:cs="宋体" w:asciiTheme="majorEastAsia" w:hAnsiTheme="majorEastAsia" w:eastAsiaTheme="majorEastAsia"/>
          <w:color w:val="auto"/>
          <w:sz w:val="24"/>
          <w:highlight w:val="none"/>
        </w:rPr>
        <w:t>地   址：</w:t>
      </w:r>
      <w:r>
        <w:rPr>
          <w:rFonts w:hint="eastAsia" w:cs="宋体" w:asciiTheme="majorEastAsia" w:hAnsiTheme="majorEastAsia" w:eastAsiaTheme="majorEastAsia"/>
          <w:color w:val="auto"/>
          <w:sz w:val="24"/>
          <w:highlight w:val="none"/>
          <w:lang w:eastAsia="zh-CN"/>
        </w:rPr>
        <w:t xml:space="preserve">南通市工农南路156号鑫乾国际广场A座22楼 </w:t>
      </w:r>
    </w:p>
    <w:p w14:paraId="21E19A89">
      <w:pPr>
        <w:snapToGrid w:val="0"/>
        <w:spacing w:line="42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联 系 方 式：</w:t>
      </w:r>
      <w:r>
        <w:rPr>
          <w:rFonts w:hint="eastAsia" w:cs="宋体" w:asciiTheme="majorEastAsia" w:hAnsiTheme="majorEastAsia" w:eastAsiaTheme="majorEastAsia"/>
          <w:color w:val="auto"/>
          <w:sz w:val="24"/>
          <w:highlight w:val="none"/>
          <w:lang w:eastAsia="zh-CN"/>
        </w:rPr>
        <w:t>杭丽娟、崔永振</w:t>
      </w:r>
      <w:r>
        <w:rPr>
          <w:rFonts w:hint="eastAsia" w:cs="宋体" w:asciiTheme="majorEastAsia" w:hAnsiTheme="majorEastAsia" w:eastAsiaTheme="majorEastAsia"/>
          <w:color w:val="auto"/>
          <w:sz w:val="24"/>
          <w:highlight w:val="none"/>
        </w:rPr>
        <w:t>（</w:t>
      </w:r>
      <w:r>
        <w:rPr>
          <w:rFonts w:hint="eastAsia" w:cs="宋体" w:asciiTheme="majorEastAsia" w:hAnsiTheme="majorEastAsia" w:eastAsiaTheme="majorEastAsia"/>
          <w:color w:val="auto"/>
          <w:sz w:val="24"/>
          <w:highlight w:val="none"/>
          <w:lang w:eastAsia="zh-CN"/>
        </w:rPr>
        <w:t>18862961365</w:t>
      </w:r>
      <w:r>
        <w:rPr>
          <w:rFonts w:hint="eastAsia" w:cs="宋体" w:asciiTheme="majorEastAsia" w:hAnsiTheme="majorEastAsia" w:eastAsiaTheme="majorEastAsia"/>
          <w:color w:val="auto"/>
          <w:sz w:val="24"/>
          <w:highlight w:val="none"/>
        </w:rPr>
        <w:t>）</w:t>
      </w:r>
    </w:p>
    <w:p w14:paraId="7EF0E824">
      <w:pPr>
        <w:adjustRightInd w:val="0"/>
        <w:snapToGrid w:val="0"/>
        <w:spacing w:line="300" w:lineRule="auto"/>
        <w:contextualSpacing/>
        <w:jc w:val="center"/>
        <w:rPr>
          <w:rFonts w:ascii="宋体" w:hAnsi="宋体"/>
          <w:color w:val="auto"/>
          <w:sz w:val="28"/>
          <w:szCs w:val="28"/>
          <w:highlight w:val="none"/>
        </w:rPr>
      </w:pPr>
      <w:r>
        <w:rPr>
          <w:rFonts w:ascii="宋体" w:hAnsi="宋体"/>
          <w:b/>
          <w:color w:val="auto"/>
          <w:sz w:val="36"/>
          <w:szCs w:val="36"/>
          <w:highlight w:val="none"/>
        </w:rPr>
        <w:br w:type="page"/>
      </w:r>
      <w:r>
        <w:rPr>
          <w:rFonts w:hint="eastAsia" w:ascii="宋体" w:hAnsi="宋体"/>
          <w:b/>
          <w:color w:val="auto"/>
          <w:sz w:val="36"/>
          <w:szCs w:val="36"/>
          <w:highlight w:val="none"/>
        </w:rPr>
        <w:t>第二章  投标人须知</w:t>
      </w:r>
    </w:p>
    <w:p w14:paraId="3361969E">
      <w:pPr>
        <w:snapToGrid w:val="0"/>
        <w:spacing w:line="360" w:lineRule="auto"/>
        <w:ind w:firstLine="482" w:firstLineChars="200"/>
        <w:outlineLvl w:val="1"/>
        <w:rPr>
          <w:rFonts w:ascii="宋体" w:hAnsi="宋体"/>
          <w:b/>
          <w:bCs/>
          <w:color w:val="auto"/>
          <w:sz w:val="24"/>
          <w:highlight w:val="none"/>
        </w:rPr>
      </w:pPr>
      <w:r>
        <w:rPr>
          <w:rFonts w:hint="eastAsia" w:ascii="宋体" w:hAnsi="宋体"/>
          <w:b/>
          <w:bCs/>
          <w:color w:val="auto"/>
          <w:sz w:val="24"/>
          <w:highlight w:val="none"/>
        </w:rPr>
        <w:t>一、说明</w:t>
      </w:r>
    </w:p>
    <w:p w14:paraId="08242A6A">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1、公开招标活动及因本次招标产生的合同受中国法律制约和保护。</w:t>
      </w:r>
    </w:p>
    <w:p w14:paraId="15DD0ECA">
      <w:pPr>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color w:val="auto"/>
          <w:sz w:val="24"/>
          <w:highlight w:val="none"/>
        </w:rPr>
        <w:t>2、</w:t>
      </w:r>
      <w:r>
        <w:rPr>
          <w:rFonts w:hint="eastAsia" w:ascii="宋体" w:hAnsi="宋体" w:eastAsia="宋体" w:cs="Times New Roman"/>
          <w:color w:val="auto"/>
          <w:sz w:val="24"/>
          <w:highlight w:val="none"/>
        </w:rPr>
        <w:t>招标文件的解释权属于采购人。</w:t>
      </w:r>
    </w:p>
    <w:p w14:paraId="0CA535FD">
      <w:pPr>
        <w:snapToGri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b/>
          <w:bCs/>
          <w:color w:val="auto"/>
          <w:sz w:val="24"/>
          <w:highlight w:val="none"/>
        </w:rPr>
        <w:t>供应商（投标人）下载招标文件后，应仔细检查招标文件的所有内容，如对采购活动事项有疑问的，应在下载招标文件开始之日起3日内以书面形式提出询问或疑问，未在规定的3日内提出询问或疑问的，视同供应商理解并接受本招标文件所有内容，并由此引起的投标损失自负。</w:t>
      </w:r>
    </w:p>
    <w:p w14:paraId="42DA3B2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4、投标人应认真审阅招标文件中所有的事项、格式、条款和规范要求等，如果投标人没有按照招标文件要求提交投标文件，或者投标文件没有对招标文件做出实质性响应，将被拒绝参与投标。</w:t>
      </w:r>
    </w:p>
    <w:p w14:paraId="5A293D6F">
      <w:pPr>
        <w:snapToGrid w:val="0"/>
        <w:spacing w:line="360" w:lineRule="auto"/>
        <w:ind w:firstLine="482" w:firstLineChars="200"/>
        <w:outlineLvl w:val="1"/>
        <w:rPr>
          <w:rFonts w:ascii="宋体" w:hAnsi="宋体"/>
          <w:b/>
          <w:bCs/>
          <w:color w:val="auto"/>
          <w:sz w:val="24"/>
          <w:highlight w:val="none"/>
        </w:rPr>
      </w:pPr>
      <w:r>
        <w:rPr>
          <w:rFonts w:hint="eastAsia" w:ascii="宋体" w:hAnsi="宋体"/>
          <w:b/>
          <w:bCs/>
          <w:color w:val="auto"/>
          <w:sz w:val="24"/>
          <w:highlight w:val="none"/>
        </w:rPr>
        <w:t>二、招标文件的补充说明、澄清、修改、答疑</w:t>
      </w:r>
    </w:p>
    <w:p w14:paraId="219E00C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1、代理机构有权对发出的招标文件进行必要的补充说明、澄清或修改。</w:t>
      </w:r>
    </w:p>
    <w:p w14:paraId="0384E61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2、招标文件的澄清、修改、补充等内容均以书面明确的形式发布，</w:t>
      </w:r>
      <w:r>
        <w:rPr>
          <w:rFonts w:hint="eastAsia" w:ascii="宋体" w:hAnsi="宋体" w:cs="宋体"/>
          <w:color w:val="auto"/>
          <w:sz w:val="24"/>
          <w:highlight w:val="none"/>
        </w:rPr>
        <w:t>且经</w:t>
      </w:r>
      <w:r>
        <w:rPr>
          <w:rFonts w:hint="eastAsia" w:ascii="宋体" w:hAnsi="宋体" w:cs="宋体"/>
          <w:color w:val="auto"/>
          <w:sz w:val="24"/>
          <w:highlight w:val="none"/>
          <w:lang w:eastAsia="zh-CN"/>
        </w:rPr>
        <w:t>“南通市崇川区人民政府网-公告公示”</w:t>
      </w:r>
      <w:r>
        <w:rPr>
          <w:rFonts w:hint="eastAsia" w:ascii="宋体" w:hAnsi="宋体" w:cs="宋体"/>
          <w:color w:val="auto"/>
          <w:sz w:val="24"/>
          <w:highlight w:val="none"/>
        </w:rPr>
        <w:t>向所有潜在投标人发布。</w:t>
      </w:r>
    </w:p>
    <w:p w14:paraId="760554C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3、代理机构对招标文件的补充说明、澄清或修改，将构成招标文件的一部分，对投标人具有约束力。</w:t>
      </w:r>
    </w:p>
    <w:p w14:paraId="2626D2E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4、补充说明、澄清或修改的内容可能影响响应文件编制的，代理机构将在投标截止时间15日前，发布补充说明、澄清或修改公告，不足15日的，应当顺延提交投标文件的截止时间。</w:t>
      </w:r>
    </w:p>
    <w:p w14:paraId="07E6D65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5、除非代理机构以书面的形式对招标文件作出澄清、修改及补充，投标人对涉及招标文件的任何推论、理解和结论所造成的结果，均由投标人自负。</w:t>
      </w:r>
    </w:p>
    <w:p w14:paraId="1004F80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w:t>
      </w:r>
      <w:r>
        <w:rPr>
          <w:rFonts w:hint="eastAsia" w:ascii="宋体" w:hAnsi="宋体" w:cs="宋体"/>
          <w:color w:val="auto"/>
          <w:sz w:val="24"/>
          <w:highlight w:val="none"/>
        </w:rPr>
        <w:t>采购人不组织现场答疑会，但采购人可能会以发布答疑文件的方式修改招标文件，答疑文件将作为招标文件的组成部分，具有与招标文件同等效力。招标文件的澄清、修改、补充等内容均</w:t>
      </w:r>
      <w:r>
        <w:rPr>
          <w:rFonts w:hint="eastAsia" w:ascii="宋体" w:hAnsi="宋体"/>
          <w:color w:val="auto"/>
          <w:sz w:val="24"/>
          <w:highlight w:val="none"/>
          <w:lang w:val="en-US" w:eastAsia="zh-CN"/>
        </w:rPr>
        <w:t>以</w:t>
      </w:r>
      <w:r>
        <w:rPr>
          <w:rFonts w:hint="eastAsia" w:ascii="宋体" w:hAnsi="宋体"/>
          <w:color w:val="auto"/>
          <w:sz w:val="24"/>
          <w:highlight w:val="none"/>
          <w:lang w:eastAsia="zh-CN"/>
        </w:rPr>
        <w:t>“南通市崇川区人民政府网-公告公示”</w:t>
      </w:r>
      <w:r>
        <w:rPr>
          <w:rFonts w:hint="eastAsia" w:ascii="宋体" w:hAnsi="宋体"/>
          <w:color w:val="auto"/>
          <w:sz w:val="24"/>
          <w:highlight w:val="none"/>
        </w:rPr>
        <w:t>发布的信息为准</w:t>
      </w:r>
      <w:r>
        <w:rPr>
          <w:rFonts w:hint="eastAsia" w:ascii="宋体" w:hAnsi="宋体" w:cs="宋体"/>
          <w:color w:val="auto"/>
          <w:sz w:val="24"/>
          <w:highlight w:val="none"/>
        </w:rPr>
        <w:t>。当招标文件、招标文件的澄清、修改、补充等在同一内容的表述上不一致时，以最后在网上发布的为准。投标人应密切关注采购人在网上发布的招标文件澄清、修改、补充、答疑等相关信息，采购人不承担因投标人未能全面掌握全部招标信息而产生的所有后果。</w:t>
      </w:r>
    </w:p>
    <w:p w14:paraId="6D4D8F21">
      <w:pPr>
        <w:snapToGrid w:val="0"/>
        <w:spacing w:line="50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三</w:t>
      </w:r>
      <w:r>
        <w:rPr>
          <w:rFonts w:hint="eastAsia" w:ascii="宋体" w:hAnsi="宋体"/>
          <w:b/>
          <w:color w:val="auto"/>
          <w:sz w:val="24"/>
          <w:highlight w:val="none"/>
        </w:rPr>
        <w:t>、投标文件的组成及装订</w:t>
      </w:r>
    </w:p>
    <w:p w14:paraId="22CC2ED9">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1、投标文件由：</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资格审查文件、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价格标，共</w:t>
      </w:r>
      <w:r>
        <w:rPr>
          <w:rFonts w:hint="eastAsia" w:ascii="宋体" w:hAnsi="宋体"/>
          <w:color w:val="auto"/>
          <w:sz w:val="24"/>
          <w:highlight w:val="none"/>
          <w:lang w:val="en-US" w:eastAsia="zh-CN"/>
        </w:rPr>
        <w:t>两</w:t>
      </w:r>
      <w:r>
        <w:rPr>
          <w:rFonts w:hint="eastAsia" w:ascii="宋体" w:hAnsi="宋体"/>
          <w:color w:val="auto"/>
          <w:sz w:val="24"/>
          <w:highlight w:val="none"/>
        </w:rPr>
        <w:t>部分组成。</w:t>
      </w:r>
    </w:p>
    <w:p w14:paraId="1A2561E5">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2、投标人按招标文件要求编写投标文件，并牢固装订成册。投标文件均需采用A4纸（图纸等除外），投标文件不得行间插字、涂改、增删，如修改错漏处，须经签署投标文件的投标人法定代表人或其委托的代理人（以下称被授权人）签字（或盖章）并加盖公章。</w:t>
      </w:r>
    </w:p>
    <w:p w14:paraId="5CBD4991">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3、投标文件的 “资格审查文件”、“价格标”各自装订成册。特别提示：“价格标”必须单独装订和封装，不得出现在“资格审查文件之中。</w:t>
      </w:r>
    </w:p>
    <w:p w14:paraId="7DAE741C">
      <w:pPr>
        <w:snapToGrid w:val="0"/>
        <w:spacing w:line="50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四</w:t>
      </w:r>
      <w:r>
        <w:rPr>
          <w:rFonts w:hint="eastAsia" w:ascii="宋体" w:hAnsi="宋体"/>
          <w:b/>
          <w:color w:val="auto"/>
          <w:sz w:val="24"/>
          <w:highlight w:val="none"/>
        </w:rPr>
        <w:t>、投标文件的份数、签署</w:t>
      </w:r>
    </w:p>
    <w:p w14:paraId="21EAC887">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1、投标人应准备</w:t>
      </w:r>
      <w:r>
        <w:rPr>
          <w:rFonts w:hint="eastAsia" w:ascii="宋体" w:hAnsi="宋体"/>
          <w:color w:val="auto"/>
          <w:sz w:val="24"/>
          <w:highlight w:val="none"/>
          <w:u w:val="single"/>
        </w:rPr>
        <w:t>伍</w:t>
      </w:r>
      <w:r>
        <w:rPr>
          <w:rFonts w:hint="eastAsia" w:ascii="宋体" w:hAnsi="宋体"/>
          <w:color w:val="auto"/>
          <w:sz w:val="24"/>
          <w:highlight w:val="none"/>
        </w:rPr>
        <w:t>份完整的投标文件，其中正本</w:t>
      </w:r>
      <w:r>
        <w:rPr>
          <w:rFonts w:hint="eastAsia" w:ascii="宋体" w:hAnsi="宋体"/>
          <w:color w:val="auto"/>
          <w:sz w:val="24"/>
          <w:highlight w:val="none"/>
          <w:u w:val="single"/>
        </w:rPr>
        <w:t xml:space="preserve"> 壹 </w:t>
      </w:r>
      <w:r>
        <w:rPr>
          <w:rFonts w:hint="eastAsia" w:ascii="宋体" w:hAnsi="宋体"/>
          <w:color w:val="auto"/>
          <w:sz w:val="24"/>
          <w:highlight w:val="none"/>
        </w:rPr>
        <w:t>份，副本</w:t>
      </w:r>
      <w:r>
        <w:rPr>
          <w:rFonts w:hint="eastAsia" w:ascii="宋体" w:hAnsi="宋体"/>
          <w:color w:val="auto"/>
          <w:sz w:val="24"/>
          <w:highlight w:val="none"/>
          <w:u w:val="single"/>
        </w:rPr>
        <w:t xml:space="preserve"> 肆 </w:t>
      </w:r>
      <w:r>
        <w:rPr>
          <w:rFonts w:hint="eastAsia" w:ascii="宋体" w:hAnsi="宋体"/>
          <w:color w:val="auto"/>
          <w:sz w:val="24"/>
          <w:highlight w:val="none"/>
        </w:rPr>
        <w:t>份，并标明“正本”或“副本”字样，若有差异，概以“正本”为准。</w:t>
      </w:r>
    </w:p>
    <w:p w14:paraId="59351901">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2、投标文件分</w:t>
      </w:r>
      <w:r>
        <w:rPr>
          <w:rFonts w:hint="eastAsia" w:ascii="宋体" w:hAnsi="宋体"/>
          <w:color w:val="auto"/>
          <w:sz w:val="24"/>
          <w:highlight w:val="none"/>
          <w:lang w:val="en-US" w:eastAsia="zh-CN"/>
        </w:rPr>
        <w:t>来两</w:t>
      </w:r>
      <w:r>
        <w:rPr>
          <w:rFonts w:hint="eastAsia" w:ascii="宋体" w:hAnsi="宋体"/>
          <w:color w:val="auto"/>
          <w:sz w:val="24"/>
          <w:highlight w:val="none"/>
        </w:rPr>
        <w:t>册密封。第一册为“资格审查文件”，第二册为“价格标”，投标文件的第一册、第二册应分别密封，并在封袋上标明“资格审查文件”、“价格标”。</w:t>
      </w:r>
    </w:p>
    <w:p w14:paraId="76DCD3C7">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3、投标人可将投标文件正副本统一密封或分别密封，如正本和副本分别密封的，应在封袋上标明正、副本字样。</w:t>
      </w:r>
    </w:p>
    <w:p w14:paraId="501130E8">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4、投标文件正本须按招标文件要求由法定代表人或被授权人签字或盖章并加盖投标人公章。副本可复印，但须在封面及骑缝处加盖投标人公章。  </w:t>
      </w:r>
    </w:p>
    <w:p w14:paraId="54A0964C">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5、开标程序顺利进行后，所有投标文件都将作为档案保存，不论中标与否，代理机构均不退回（未拆封的除外）。</w:t>
      </w:r>
    </w:p>
    <w:p w14:paraId="167D3838">
      <w:pPr>
        <w:snapToGrid w:val="0"/>
        <w:spacing w:line="500" w:lineRule="exact"/>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五</w:t>
      </w:r>
      <w:r>
        <w:rPr>
          <w:rFonts w:hint="eastAsia" w:ascii="宋体" w:hAnsi="宋体"/>
          <w:b/>
          <w:bCs/>
          <w:color w:val="auto"/>
          <w:sz w:val="24"/>
          <w:highlight w:val="none"/>
        </w:rPr>
        <w:t>、投标响应文件的密封及标记</w:t>
      </w:r>
    </w:p>
    <w:p w14:paraId="24FB5F0A">
      <w:pPr>
        <w:snapToGrid w:val="0"/>
        <w:spacing w:line="500" w:lineRule="exact"/>
        <w:ind w:firstLine="472" w:firstLineChars="196"/>
        <w:outlineLvl w:val="1"/>
        <w:rPr>
          <w:rFonts w:ascii="宋体" w:hAnsi="宋体"/>
          <w:b/>
          <w:color w:val="auto"/>
          <w:sz w:val="24"/>
          <w:highlight w:val="none"/>
        </w:rPr>
      </w:pPr>
      <w:r>
        <w:rPr>
          <w:rFonts w:hint="eastAsia" w:ascii="宋体" w:hAnsi="宋体"/>
          <w:b/>
          <w:color w:val="auto"/>
          <w:sz w:val="24"/>
          <w:highlight w:val="none"/>
        </w:rPr>
        <w:t>密封后，应在每一密封包的投标文件上明确标注投标项目名称、投标文件各自对应的名称、投标人全称及日期，同时加盖投标人公章。</w:t>
      </w:r>
    </w:p>
    <w:p w14:paraId="738E534A">
      <w:pPr>
        <w:snapToGrid w:val="0"/>
        <w:spacing w:line="500" w:lineRule="exact"/>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、投标文件的有效期</w:t>
      </w:r>
    </w:p>
    <w:p w14:paraId="74771768">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1、从投标文件接收截止之日算起，</w:t>
      </w:r>
      <w:r>
        <w:rPr>
          <w:rFonts w:hint="eastAsia" w:ascii="宋体" w:hAnsi="宋体" w:cs="宋体"/>
          <w:b/>
          <w:color w:val="auto"/>
          <w:sz w:val="24"/>
          <w:highlight w:val="none"/>
        </w:rPr>
        <w:t>60</w:t>
      </w:r>
      <w:r>
        <w:rPr>
          <w:rFonts w:hint="eastAsia" w:ascii="宋体" w:hAnsi="宋体" w:cs="宋体"/>
          <w:color w:val="auto"/>
          <w:sz w:val="24"/>
          <w:highlight w:val="none"/>
        </w:rPr>
        <w:t>个“日历天”内投标书应保持有效。有效期短于这个规定期限的，投标将被拒绝。</w:t>
      </w:r>
    </w:p>
    <w:p w14:paraId="25147120">
      <w:pPr>
        <w:snapToGrid w:val="0"/>
        <w:spacing w:line="500" w:lineRule="exact"/>
        <w:ind w:firstLine="470" w:firstLineChars="196"/>
        <w:outlineLvl w:val="1"/>
        <w:rPr>
          <w:rFonts w:ascii="宋体" w:hAnsi="宋体"/>
          <w:b/>
          <w:color w:val="auto"/>
          <w:sz w:val="24"/>
          <w:highlight w:val="none"/>
        </w:rPr>
      </w:pPr>
      <w:r>
        <w:rPr>
          <w:rFonts w:hint="eastAsia" w:ascii="宋体" w:hAnsi="宋体" w:cs="宋体"/>
          <w:color w:val="auto"/>
          <w:sz w:val="24"/>
          <w:highlight w:val="none"/>
        </w:rPr>
        <w:t>2、在特殊情况下，招标代理机构可与投标人协商延长投标书的有效期。这种要求和答复都应以书面、传真或电报的形式进行。同意延长有效期的投标人不能修改投标文件，拒绝接受延期要求的投标人的投标书将被拒绝。</w:t>
      </w:r>
    </w:p>
    <w:p w14:paraId="70016BEB">
      <w:pPr>
        <w:tabs>
          <w:tab w:val="center" w:pos="5071"/>
        </w:tabs>
        <w:spacing w:line="500" w:lineRule="exact"/>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七</w:t>
      </w:r>
      <w:r>
        <w:rPr>
          <w:rFonts w:hint="eastAsia" w:ascii="宋体" w:hAnsi="宋体"/>
          <w:b/>
          <w:bCs/>
          <w:color w:val="auto"/>
          <w:sz w:val="24"/>
          <w:highlight w:val="none"/>
        </w:rPr>
        <w:t>、投标报价</w:t>
      </w:r>
      <w:r>
        <w:rPr>
          <w:rFonts w:ascii="宋体" w:hAnsi="宋体"/>
          <w:b/>
          <w:bCs/>
          <w:color w:val="auto"/>
          <w:sz w:val="24"/>
          <w:highlight w:val="none"/>
        </w:rPr>
        <w:tab/>
      </w:r>
    </w:p>
    <w:p w14:paraId="0B3C3A35">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1、本项目不接受任何有选择的报价。</w:t>
      </w:r>
    </w:p>
    <w:p w14:paraId="7DA96278">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2、投标报价均以人民币为报价的币种。</w:t>
      </w:r>
    </w:p>
    <w:p w14:paraId="20FB879D">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3、报价表必须加盖投标人公章且必须经法定代表人或被授权人签字或盖章。</w:t>
      </w:r>
    </w:p>
    <w:p w14:paraId="665186F8">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4、报价出现前后不一致的，按照下列规定修正：</w:t>
      </w:r>
    </w:p>
    <w:p w14:paraId="247C77C1">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（1）投标文件中投标响应报价总表内容与投标文件中相应内容不一致的，以投标响应报价总表为准；</w:t>
      </w:r>
    </w:p>
    <w:p w14:paraId="6913CAA8">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（2）投标文件中涉及大写金额和小写金额不一致的，以大写金额为准；</w:t>
      </w:r>
    </w:p>
    <w:p w14:paraId="33D15FD1">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（3）单价金额小数点或者百分比有明显错位的，以投标响应报价总表的总价为准，并修改单价；</w:t>
      </w:r>
    </w:p>
    <w:p w14:paraId="342D0B3F">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（4）总价金额与按单价汇总金额不一致的，以单价金额计算结果为准。</w:t>
      </w:r>
    </w:p>
    <w:p w14:paraId="48124F30">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同时出现两种以上不一致的，按照前款规定的顺序修正。修正后的报价应当由投标人的法定代表人或其被授权人签字确认后产生约束力，投标人不确认的，其投标无效。</w:t>
      </w:r>
    </w:p>
    <w:p w14:paraId="350EFFE6">
      <w:pPr>
        <w:tabs>
          <w:tab w:val="left" w:pos="0"/>
        </w:tabs>
        <w:spacing w:line="360" w:lineRule="auto"/>
        <w:ind w:firstLine="480" w:firstLineChars="200"/>
        <w:rPr>
          <w:rFonts w:cs="宋体"/>
          <w:color w:val="auto"/>
          <w:sz w:val="24"/>
          <w:highlight w:val="none"/>
        </w:rPr>
      </w:pPr>
      <w:r>
        <w:rPr>
          <w:rFonts w:hint="eastAsia" w:ascii="宋体" w:hAnsi="宋体"/>
          <w:color w:val="auto"/>
          <w:sz w:val="24"/>
          <w:highlight w:val="none"/>
        </w:rPr>
        <w:t>5、</w:t>
      </w:r>
      <w:r>
        <w:rPr>
          <w:rFonts w:ascii="宋体" w:hAnsi="宋体"/>
          <w:color w:val="auto"/>
          <w:kern w:val="0"/>
          <w:sz w:val="24"/>
          <w:highlight w:val="none"/>
          <w:lang w:val="zh-CN"/>
        </w:rPr>
        <w:t>本次</w:t>
      </w:r>
      <w:r>
        <w:rPr>
          <w:rFonts w:hint="eastAsia" w:ascii="宋体" w:hAnsi="宋体"/>
          <w:color w:val="auto"/>
          <w:kern w:val="0"/>
          <w:sz w:val="24"/>
          <w:highlight w:val="none"/>
          <w:lang w:val="zh-CN"/>
        </w:rPr>
        <w:t>投标</w:t>
      </w:r>
      <w:r>
        <w:rPr>
          <w:rFonts w:ascii="宋体" w:hAnsi="宋体"/>
          <w:color w:val="auto"/>
          <w:kern w:val="0"/>
          <w:sz w:val="24"/>
          <w:highlight w:val="none"/>
          <w:lang w:val="zh-CN"/>
        </w:rPr>
        <w:t>报价以</w:t>
      </w:r>
      <w:r>
        <w:rPr>
          <w:rFonts w:hint="eastAsia" w:ascii="宋体" w:hAnsi="宋体"/>
          <w:color w:val="auto"/>
          <w:kern w:val="0"/>
          <w:sz w:val="24"/>
          <w:highlight w:val="none"/>
          <w:lang w:val="zh-CN"/>
        </w:rPr>
        <w:t>人民币</w:t>
      </w:r>
      <w:r>
        <w:rPr>
          <w:rFonts w:ascii="宋体" w:hAnsi="宋体"/>
          <w:color w:val="auto"/>
          <w:kern w:val="0"/>
          <w:sz w:val="24"/>
          <w:highlight w:val="none"/>
          <w:lang w:val="zh-CN"/>
        </w:rPr>
        <w:t>为单位</w:t>
      </w:r>
      <w:r>
        <w:rPr>
          <w:rFonts w:hint="eastAsia" w:ascii="宋体" w:hAnsi="宋体"/>
          <w:color w:val="auto"/>
          <w:kern w:val="0"/>
          <w:sz w:val="24"/>
          <w:highlight w:val="none"/>
          <w:lang w:val="zh-CN"/>
        </w:rPr>
        <w:t>，一次报定的价格为中标价格。</w:t>
      </w:r>
      <w:r>
        <w:rPr>
          <w:rFonts w:hint="eastAsia" w:cs="宋体"/>
          <w:color w:val="auto"/>
          <w:sz w:val="24"/>
          <w:highlight w:val="none"/>
        </w:rPr>
        <w:t>投标报价包括但不限于设计费、素材费、交通运输、通信、管理费、利润、税金、政策性调整风险费、相关伴随服务以及保护措施、咨询、拆除清运等产生的所有费用，即为响应招标文件及完成本项目服务所发生的全部费用，为固定总价（遇政府大型检查和不可抗力因素发布期顺延情况，需包含多次拆除、安装、配合费用）。</w:t>
      </w:r>
    </w:p>
    <w:p w14:paraId="591F7574">
      <w:pPr>
        <w:tabs>
          <w:tab w:val="left" w:pos="0"/>
        </w:tabs>
        <w:spacing w:line="360" w:lineRule="auto"/>
        <w:ind w:firstLine="480" w:firstLineChars="200"/>
        <w:rPr>
          <w:color w:val="auto"/>
          <w:sz w:val="24"/>
          <w:highlight w:val="none"/>
        </w:rPr>
      </w:pPr>
      <w:r>
        <w:rPr>
          <w:rFonts w:hint="eastAsia" w:cs="宋体"/>
          <w:color w:val="auto"/>
          <w:sz w:val="24"/>
          <w:highlight w:val="none"/>
        </w:rPr>
        <w:t>特别提醒：投标人需充分考虑市场用工成本、物价指数的变化，核定好服务费用，自担风险，一旦中标，合同执行期间不作任何调整。</w:t>
      </w:r>
    </w:p>
    <w:p w14:paraId="19F925CF">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6、各投标人还应考虑到合同履行期间若因工伤造成人员伤亡的后果（包含但不限于经济赔偿）均由中标人自行负责并承担所有费用，且须将该风险考虑在投标报价中。若因此给采购人造成不良影响或损失的，采购人有权向中标人追究责任，并要求赔偿损失，相关费用可直接从服务费中扣除。</w:t>
      </w:r>
    </w:p>
    <w:p w14:paraId="707C3475">
      <w:pPr>
        <w:spacing w:line="500" w:lineRule="exact"/>
        <w:ind w:firstLine="480" w:firstLineChars="200"/>
        <w:rPr>
          <w:rFonts w:ascii="宋体" w:hAnsi="宋体" w:cs="宋体"/>
          <w:color w:val="auto"/>
          <w:sz w:val="24"/>
          <w:highlight w:val="none"/>
        </w:rPr>
      </w:pPr>
      <w:r>
        <w:rPr>
          <w:rFonts w:hint="eastAsia" w:ascii="宋体" w:hAnsi="宋体"/>
          <w:color w:val="auto"/>
          <w:sz w:val="24"/>
          <w:highlight w:val="none"/>
        </w:rPr>
        <w:t>7、</w:t>
      </w:r>
      <w:r>
        <w:rPr>
          <w:rFonts w:hint="eastAsia" w:ascii="宋体" w:hAnsi="宋体" w:cs="宋体"/>
          <w:color w:val="auto"/>
          <w:sz w:val="24"/>
          <w:highlight w:val="none"/>
        </w:rPr>
        <w:t>投标人应详细阅读招标文件的全部内容，根据项目需求，准确制定相关工作方案等，必须对本招标项目全部进行报价，如有漏项，视同对本项目的优惠。不按招标文件的要求提供响应文件，导致报价无效，按无效标处理。</w:t>
      </w:r>
    </w:p>
    <w:p w14:paraId="6B6C3CCB">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8、</w:t>
      </w:r>
      <w:r>
        <w:rPr>
          <w:rFonts w:hint="eastAsia" w:ascii="宋体" w:hAnsi="宋体" w:cs="宋体"/>
          <w:color w:val="auto"/>
          <w:sz w:val="24"/>
          <w:highlight w:val="none"/>
        </w:rPr>
        <w:t>投标人</w:t>
      </w:r>
      <w:r>
        <w:rPr>
          <w:rFonts w:hint="eastAsia" w:ascii="宋体" w:hAnsi="宋体"/>
          <w:color w:val="auto"/>
          <w:sz w:val="24"/>
          <w:highlight w:val="none"/>
        </w:rPr>
        <w:t>在报价前应充分了解国家、省、市的相关用人政策、社会保险政策、商务保险内容等，还应自行到项目地点踏勘，了解项目的位置、情况及其他任何足以影响投标报价的情况，任何因忽视或误解项目情况而导致的索赔或增加服务费用的申请将不获批准。</w:t>
      </w:r>
    </w:p>
    <w:p w14:paraId="5455522F">
      <w:pPr>
        <w:spacing w:line="48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s="宋体"/>
          <w:color w:val="auto"/>
          <w:sz w:val="24"/>
          <w:highlight w:val="none"/>
        </w:rPr>
        <w:t>投标人</w:t>
      </w:r>
      <w:r>
        <w:rPr>
          <w:rFonts w:hint="eastAsia" w:ascii="宋体" w:hAnsi="宋体"/>
          <w:color w:val="auto"/>
          <w:sz w:val="24"/>
          <w:highlight w:val="none"/>
        </w:rPr>
        <w:t>不得期望通过索赔或增加服务费用申请等方式获取补偿，否则，除可能遭到拒绝外，还可能将被作为不良行为记录报相关部门，并可能影响其以后参加招标单位的项目投标。各</w:t>
      </w:r>
      <w:r>
        <w:rPr>
          <w:rFonts w:hint="eastAsia" w:ascii="宋体" w:hAnsi="宋体" w:cs="宋体"/>
          <w:color w:val="auto"/>
          <w:sz w:val="24"/>
          <w:highlight w:val="none"/>
        </w:rPr>
        <w:t>投标人</w:t>
      </w:r>
      <w:r>
        <w:rPr>
          <w:rFonts w:hint="eastAsia" w:ascii="宋体" w:hAnsi="宋体"/>
          <w:color w:val="auto"/>
          <w:sz w:val="24"/>
          <w:highlight w:val="none"/>
        </w:rPr>
        <w:t>在投标报价时，应充分考虑投标报价的风险。</w:t>
      </w:r>
    </w:p>
    <w:p w14:paraId="4CA3CBDB">
      <w:pPr>
        <w:snapToGrid w:val="0"/>
        <w:spacing w:line="500" w:lineRule="exact"/>
        <w:ind w:firstLine="482" w:firstLineChars="200"/>
        <w:outlineLvl w:val="1"/>
        <w:rPr>
          <w:rFonts w:ascii="宋体" w:hAnsi="宋体" w:cs="宋体"/>
          <w:b/>
          <w:bCs/>
          <w:color w:val="auto"/>
          <w:sz w:val="24"/>
          <w:highlight w:val="none"/>
          <w:lang w:val="zh-CN"/>
        </w:rPr>
      </w:pP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lang w:val="zh-CN"/>
        </w:rPr>
        <w:t>、投标费用</w:t>
      </w:r>
    </w:p>
    <w:p w14:paraId="636C98B3">
      <w:pPr>
        <w:snapToGrid w:val="0"/>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1、无论招标过程和结果如何，投标人自行承担与本次项目招标有关的全部费用。投标人承担参与投标可能发生的全部费用，采购人在任何情况下均无义务和责任承担这些费用。</w:t>
      </w:r>
    </w:p>
    <w:p w14:paraId="77B63F56">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 xml:space="preserve"> 2、本项目招标代理服务费由</w:t>
      </w:r>
      <w:r>
        <w:rPr>
          <w:rFonts w:hint="eastAsia" w:ascii="宋体" w:hAnsi="宋体"/>
          <w:color w:val="auto"/>
          <w:sz w:val="24"/>
          <w:highlight w:val="none"/>
          <w:lang w:val="en-US" w:eastAsia="zh-CN"/>
        </w:rPr>
        <w:t>招标人</w:t>
      </w:r>
      <w:r>
        <w:rPr>
          <w:rFonts w:hint="eastAsia" w:ascii="宋体" w:hAnsi="宋体"/>
          <w:color w:val="auto"/>
          <w:sz w:val="24"/>
          <w:highlight w:val="none"/>
        </w:rPr>
        <w:t>支付，</w:t>
      </w:r>
      <w:r>
        <w:rPr>
          <w:rFonts w:hint="eastAsia" w:ascii="宋体" w:hAnsi="宋体"/>
          <w:color w:val="auto"/>
          <w:sz w:val="24"/>
          <w:highlight w:val="none"/>
          <w:lang w:val="en-US" w:eastAsia="zh-CN"/>
        </w:rPr>
        <w:t>投标人无需考虑该项费用</w:t>
      </w:r>
      <w:r>
        <w:rPr>
          <w:rFonts w:hint="eastAsia" w:ascii="宋体" w:hAnsi="宋体"/>
          <w:color w:val="auto"/>
          <w:sz w:val="24"/>
          <w:highlight w:val="none"/>
        </w:rPr>
        <w:t>。</w:t>
      </w:r>
    </w:p>
    <w:p w14:paraId="67C3BBA0">
      <w:pPr>
        <w:snapToGrid w:val="0"/>
        <w:spacing w:line="500" w:lineRule="exact"/>
        <w:ind w:firstLine="482" w:firstLineChars="200"/>
        <w:rPr>
          <w:rFonts w:ascii="宋体" w:hAnsi="宋体"/>
          <w:b/>
          <w:color w:val="auto"/>
          <w:sz w:val="24"/>
          <w:highlight w:val="none"/>
        </w:rPr>
      </w:pPr>
      <w:r>
        <w:rPr>
          <w:rFonts w:hint="eastAsia" w:ascii="宋体" w:hAnsi="宋体"/>
          <w:b/>
          <w:color w:val="auto"/>
          <w:sz w:val="24"/>
          <w:highlight w:val="none"/>
          <w:lang w:val="en-US" w:eastAsia="zh-CN"/>
        </w:rPr>
        <w:t>九</w:t>
      </w:r>
      <w:r>
        <w:rPr>
          <w:rFonts w:hint="eastAsia" w:ascii="宋体" w:hAnsi="宋体"/>
          <w:b/>
          <w:color w:val="auto"/>
          <w:sz w:val="24"/>
          <w:highlight w:val="none"/>
        </w:rPr>
        <w:t>、投标文件递交时间及地址</w:t>
      </w:r>
    </w:p>
    <w:p w14:paraId="512144A0">
      <w:pPr>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投标人必须在规定的时间</w:t>
      </w:r>
      <w:r>
        <w:rPr>
          <w:rFonts w:hint="eastAsia" w:ascii="宋体" w:hAnsi="宋体"/>
          <w:color w:val="auto"/>
          <w:sz w:val="24"/>
          <w:highlight w:val="none"/>
          <w:lang w:val="en-US" w:eastAsia="zh-CN"/>
        </w:rPr>
        <w:t>内</w:t>
      </w:r>
      <w:r>
        <w:rPr>
          <w:rFonts w:hint="eastAsia" w:ascii="宋体" w:hAnsi="宋体"/>
          <w:color w:val="auto"/>
          <w:sz w:val="24"/>
          <w:highlight w:val="none"/>
        </w:rPr>
        <w:t>将投标文件送达指定地点。采购人将拒绝接收在截止时间后递交的投标文件。</w:t>
      </w:r>
    </w:p>
    <w:p w14:paraId="68840B6D">
      <w:pPr>
        <w:snapToGrid w:val="0"/>
        <w:spacing w:line="500" w:lineRule="exact"/>
        <w:ind w:firstLine="482" w:firstLineChars="200"/>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十、投标保证金</w:t>
      </w:r>
    </w:p>
    <w:p w14:paraId="0E052CE6">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lang w:val="en-US" w:eastAsia="zh-CN"/>
        </w:rPr>
        <w:t>1、</w:t>
      </w:r>
      <w:r>
        <w:rPr>
          <w:rFonts w:hint="eastAsia" w:ascii="宋体" w:hAnsi="宋体"/>
          <w:b w:val="0"/>
          <w:bCs/>
          <w:color w:val="auto"/>
          <w:sz w:val="24"/>
          <w:highlight w:val="none"/>
        </w:rPr>
        <w:t>投标人必须于投标文件提交截止时间前递交投标保证金缴纳凭证给招标代理查验；投标保证金缴纳凭证如下：</w:t>
      </w:r>
    </w:p>
    <w:p w14:paraId="14656CE6">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（1）投标单位若投标保证金采用现金形式的，须密封在信封或档案袋中，并加盖单位公章。</w:t>
      </w:r>
    </w:p>
    <w:p w14:paraId="10FBD883">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w:t>
      </w:r>
      <w:r>
        <w:rPr>
          <w:rFonts w:hint="eastAsia" w:ascii="宋体" w:hAnsi="宋体"/>
          <w:b w:val="0"/>
          <w:bCs/>
          <w:color w:val="auto"/>
          <w:sz w:val="24"/>
          <w:highlight w:val="none"/>
          <w:lang w:val="en-US" w:eastAsia="zh-CN"/>
        </w:rPr>
        <w:t>2</w:t>
      </w:r>
      <w:r>
        <w:rPr>
          <w:rFonts w:hint="eastAsia" w:ascii="宋体" w:hAnsi="宋体"/>
          <w:b w:val="0"/>
          <w:bCs/>
          <w:color w:val="auto"/>
          <w:sz w:val="24"/>
          <w:highlight w:val="none"/>
        </w:rPr>
        <w:t>）如投标保证金采用银行汇票形式，须同时递交投标保证金银行汇票原件（无须密封）和基本账户开户许可证（或基本存款账户信息）复印件（无须密封）供招标人代表查验，否则其投标文件不予接收。</w:t>
      </w:r>
    </w:p>
    <w:p w14:paraId="257540FA">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投标保证金（银行汇票形式）上必须注明收款人：南通通城建设工程项目管理有限公司，用途：投标保证金；汇款人：投标单位名称。（</w:t>
      </w:r>
      <w:r>
        <w:rPr>
          <w:rFonts w:hint="eastAsia" w:ascii="宋体" w:hAnsi="宋体"/>
          <w:b w:val="0"/>
          <w:bCs/>
          <w:color w:val="auto"/>
          <w:sz w:val="24"/>
          <w:highlight w:val="none"/>
          <w:lang w:eastAsia="zh-CN"/>
        </w:rPr>
        <w:t>账户名</w:t>
      </w:r>
      <w:r>
        <w:rPr>
          <w:rFonts w:hint="eastAsia" w:ascii="宋体" w:hAnsi="宋体"/>
          <w:b w:val="0"/>
          <w:bCs/>
          <w:color w:val="auto"/>
          <w:sz w:val="24"/>
          <w:highlight w:val="none"/>
        </w:rPr>
        <w:t>：南通通城建设工程项目管理有限公司，开户行：工商银行朝晖支行，账号：1111820309000022239）。</w:t>
      </w:r>
    </w:p>
    <w:p w14:paraId="4E7BB887">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w:t>
      </w:r>
      <w:r>
        <w:rPr>
          <w:rFonts w:hint="eastAsia" w:ascii="宋体" w:hAnsi="宋体"/>
          <w:b w:val="0"/>
          <w:bCs/>
          <w:color w:val="auto"/>
          <w:sz w:val="24"/>
          <w:highlight w:val="none"/>
          <w:lang w:val="en-US" w:eastAsia="zh-CN"/>
        </w:rPr>
        <w:t>3</w:t>
      </w:r>
      <w:r>
        <w:rPr>
          <w:rFonts w:hint="eastAsia" w:ascii="宋体" w:hAnsi="宋体"/>
          <w:b w:val="0"/>
          <w:bCs/>
          <w:color w:val="auto"/>
          <w:sz w:val="24"/>
          <w:highlight w:val="none"/>
        </w:rPr>
        <w:t>）如投标保证金采用银行保函形式。须同时提供：①银行保函原件（无须密封）、②基本账户开户许可证（或基本存款账户信息）复印件（无须密封）、③保函的费用由投标人基本账户汇出的证明（无须密封），供招标人代表查验，否则其投标文件不予接收。投标保证金（保函）开具对象为南通通城建设工程项目管理有限公司。</w:t>
      </w:r>
    </w:p>
    <w:p w14:paraId="417557EC">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特别提醒：</w:t>
      </w:r>
    </w:p>
    <w:p w14:paraId="7128215C">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（1）本</w:t>
      </w:r>
      <w:r>
        <w:rPr>
          <w:rFonts w:hint="eastAsia" w:ascii="宋体" w:hAnsi="宋体"/>
          <w:b w:val="0"/>
          <w:bCs/>
          <w:color w:val="auto"/>
          <w:sz w:val="24"/>
          <w:highlight w:val="none"/>
          <w:lang w:val="en-US" w:eastAsia="zh-CN"/>
        </w:rPr>
        <w:t>项目</w:t>
      </w:r>
      <w:r>
        <w:rPr>
          <w:rFonts w:hint="eastAsia" w:ascii="宋体" w:hAnsi="宋体"/>
          <w:b w:val="0"/>
          <w:bCs/>
          <w:color w:val="auto"/>
          <w:sz w:val="24"/>
          <w:highlight w:val="none"/>
        </w:rPr>
        <w:t>投标保证金的形式为</w:t>
      </w:r>
      <w:r>
        <w:rPr>
          <w:rFonts w:hint="eastAsia" w:ascii="宋体" w:hAnsi="宋体"/>
          <w:b w:val="0"/>
          <w:bCs/>
          <w:color w:val="auto"/>
          <w:sz w:val="24"/>
          <w:highlight w:val="none"/>
          <w:lang w:val="en-US" w:eastAsia="zh-CN"/>
        </w:rPr>
        <w:t>现金、</w:t>
      </w:r>
      <w:r>
        <w:rPr>
          <w:rFonts w:hint="eastAsia" w:ascii="宋体" w:hAnsi="宋体"/>
          <w:b w:val="0"/>
          <w:bCs/>
          <w:color w:val="auto"/>
          <w:sz w:val="24"/>
          <w:highlight w:val="none"/>
        </w:rPr>
        <w:t>银行汇票或见索即付银行保函形式（并非将保证金款打入指定账户）。</w:t>
      </w:r>
    </w:p>
    <w:p w14:paraId="6D0EC30A">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（2）保证金形式，收款人、用途、汇款人、保函开具对象等必须符合招标文件规定，否则其投标文件不予接收。</w:t>
      </w:r>
    </w:p>
    <w:p w14:paraId="6957EBF7">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各投标人必须以企业法人基本存款账户办理保证金缴纳手续，否则其投标文件不予接收。若投标保证金缴纳方式为见索即付银行保函的，银行保函应由投标人基本账户所在网点的当地银行或其上级银行机构出具，保函中应明确投标项目，担保金额、受益人、保证人、被保证人等具体内容。保函费用必须由投标人基本账户汇出。</w:t>
      </w:r>
    </w:p>
    <w:p w14:paraId="63541D11">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4）中标单位的投标保证金有效期在投标截止日内有效，在缴纳履约保证金前，如投标保证金已失效，中标单位应主动延续投标保证金的有效期，否则招标人有权在保证金失效后取消中标人的中标资格，并自认定之日起一年内不得参与崇川区平台招标活动。</w:t>
      </w:r>
    </w:p>
    <w:p w14:paraId="1143232B">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3.4.2 未中标单位的投标保证金在其定标后予以退还。</w:t>
      </w:r>
    </w:p>
    <w:p w14:paraId="0FD92930">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3.4.3 中标单位的投标保证金在服务合同生效后一周内予以退还。</w:t>
      </w:r>
    </w:p>
    <w:p w14:paraId="15126403">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3.4.4投标人在投标有效期内撤回投标文件，投标人的投标保证金不予退还。中标通知书发出后，除不可抗力情况外，中标人出现下列情形之一的，招标人将取消其中标资格，并不予退还其投标保证金：</w:t>
      </w:r>
    </w:p>
    <w:p w14:paraId="52A92A10">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3.4.4.1放弃中标项目的；</w:t>
      </w:r>
    </w:p>
    <w:p w14:paraId="6F767105">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3.4.4.2拒不按照招标文件的要求提交履约保证金的；</w:t>
      </w:r>
    </w:p>
    <w:p w14:paraId="6B893CEE">
      <w:pPr>
        <w:snapToGrid w:val="0"/>
        <w:spacing w:line="500" w:lineRule="exact"/>
        <w:ind w:firstLine="480" w:firstLineChars="200"/>
        <w:rPr>
          <w:rFonts w:hint="eastAsia" w:ascii="宋体" w:hAnsi="宋体"/>
          <w:b w:val="0"/>
          <w:bCs/>
          <w:color w:val="auto"/>
          <w:sz w:val="24"/>
          <w:highlight w:val="none"/>
        </w:rPr>
      </w:pPr>
      <w:r>
        <w:rPr>
          <w:rFonts w:hint="eastAsia" w:ascii="宋体" w:hAnsi="宋体"/>
          <w:b w:val="0"/>
          <w:bCs/>
          <w:color w:val="auto"/>
          <w:sz w:val="24"/>
          <w:highlight w:val="none"/>
        </w:rPr>
        <w:t>3.4.4.3不与招标人签订合同的，或者在签订合同时向招标人提出附加条件或者更改合同实质性内容的。</w:t>
      </w:r>
    </w:p>
    <w:p w14:paraId="7987CBBD">
      <w:pPr>
        <w:snapToGrid w:val="0"/>
        <w:spacing w:line="500" w:lineRule="exact"/>
        <w:ind w:firstLine="482" w:firstLineChars="200"/>
        <w:rPr>
          <w:rFonts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一</w:t>
      </w:r>
      <w:r>
        <w:rPr>
          <w:rFonts w:hint="eastAsia" w:ascii="宋体" w:hAnsi="宋体"/>
          <w:b/>
          <w:color w:val="auto"/>
          <w:sz w:val="24"/>
          <w:highlight w:val="none"/>
        </w:rPr>
        <w:t>、履约保证金</w:t>
      </w:r>
    </w:p>
    <w:p w14:paraId="043FA570">
      <w:pPr>
        <w:snapToGrid w:val="0"/>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1、本项目中标后的履约保证金为项目合同总价款的</w:t>
      </w:r>
      <w:r>
        <w:rPr>
          <w:rFonts w:hint="eastAsia" w:ascii="宋体" w:hAnsi="宋体" w:cs="Times New Roman"/>
          <w:color w:val="auto"/>
          <w:sz w:val="24"/>
          <w:highlight w:val="none"/>
          <w:lang w:val="en-US" w:eastAsia="zh-CN"/>
        </w:rPr>
        <w:t>10</w:t>
      </w:r>
      <w:r>
        <w:rPr>
          <w:rFonts w:hint="eastAsia" w:ascii="宋体" w:hAnsi="宋体" w:eastAsia="宋体" w:cs="Times New Roman"/>
          <w:color w:val="auto"/>
          <w:sz w:val="24"/>
          <w:highlight w:val="none"/>
        </w:rPr>
        <w:t>% 。</w:t>
      </w:r>
    </w:p>
    <w:p w14:paraId="55A1232E">
      <w:pPr>
        <w:snapToGrid w:val="0"/>
        <w:spacing w:line="500" w:lineRule="exact"/>
        <w:ind w:firstLine="480" w:firstLineChars="200"/>
        <w:rPr>
          <w:rFonts w:hint="default"/>
          <w:color w:val="auto"/>
          <w:highlight w:val="none"/>
          <w:lang w:val="en-US" w:eastAsia="zh-CN"/>
        </w:rPr>
      </w:pPr>
      <w:r>
        <w:rPr>
          <w:rFonts w:hint="eastAsia" w:ascii="宋体" w:hAnsi="宋体" w:eastAsia="宋体" w:cs="Times New Roman"/>
          <w:color w:val="auto"/>
          <w:sz w:val="24"/>
          <w:highlight w:val="none"/>
          <w:lang w:val="en-US" w:eastAsia="zh-CN"/>
        </w:rPr>
        <w:t>2、履约保证金形式：转账、电汇或银行保函（见索即付）；须从企业基本户银行转出或出具。</w:t>
      </w:r>
    </w:p>
    <w:p w14:paraId="0FE10D1A">
      <w:pPr>
        <w:snapToGrid w:val="0"/>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中标人的履约保证金须在中标通知书发出</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个工作日内</w:t>
      </w:r>
      <w:r>
        <w:rPr>
          <w:rFonts w:hint="eastAsia" w:ascii="宋体" w:hAnsi="宋体" w:eastAsia="宋体" w:cs="Times New Roman"/>
          <w:color w:val="auto"/>
          <w:sz w:val="24"/>
          <w:highlight w:val="none"/>
          <w:lang w:val="en-US" w:eastAsia="zh-CN"/>
        </w:rPr>
        <w:t>提供</w:t>
      </w:r>
      <w:r>
        <w:rPr>
          <w:rFonts w:hint="eastAsia" w:ascii="宋体" w:hAnsi="宋体" w:eastAsia="宋体" w:cs="Times New Roman"/>
          <w:color w:val="auto"/>
          <w:sz w:val="24"/>
          <w:highlight w:val="none"/>
        </w:rPr>
        <w:t>，中标人凭“中标通知书”和已</w:t>
      </w:r>
      <w:r>
        <w:rPr>
          <w:rFonts w:hint="eastAsia" w:ascii="宋体" w:hAnsi="宋体" w:eastAsia="宋体" w:cs="Times New Roman"/>
          <w:color w:val="auto"/>
          <w:sz w:val="24"/>
          <w:highlight w:val="none"/>
          <w:lang w:val="en-US" w:eastAsia="zh-CN"/>
        </w:rPr>
        <w:t>提交的</w:t>
      </w:r>
      <w:r>
        <w:rPr>
          <w:rFonts w:hint="eastAsia" w:ascii="宋体" w:hAnsi="宋体" w:eastAsia="宋体" w:cs="Times New Roman"/>
          <w:color w:val="auto"/>
          <w:sz w:val="24"/>
          <w:highlight w:val="none"/>
        </w:rPr>
        <w:t>“履约保证金”凭证，</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日内与采购人签订合同。超期或未有协商，则视为自动放弃中标资格。</w:t>
      </w:r>
    </w:p>
    <w:p w14:paraId="3DD7FBDF">
      <w:pPr>
        <w:snapToGrid w:val="0"/>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、本</w:t>
      </w:r>
      <w:r>
        <w:rPr>
          <w:rFonts w:hint="eastAsia" w:ascii="宋体" w:hAnsi="宋体" w:eastAsia="宋体" w:cs="Times New Roman"/>
          <w:color w:val="auto"/>
          <w:sz w:val="24"/>
          <w:highlight w:val="none"/>
          <w:lang w:val="en-US" w:eastAsia="zh-CN"/>
        </w:rPr>
        <w:t>项目</w:t>
      </w:r>
      <w:r>
        <w:rPr>
          <w:rFonts w:hint="eastAsia" w:ascii="宋体" w:hAnsi="宋体" w:eastAsia="宋体" w:cs="Times New Roman"/>
          <w:color w:val="auto"/>
          <w:sz w:val="24"/>
          <w:highlight w:val="none"/>
        </w:rPr>
        <w:t>履行期限届满后，如</w:t>
      </w:r>
      <w:r>
        <w:rPr>
          <w:rFonts w:hint="eastAsia" w:ascii="宋体" w:hAnsi="宋体" w:cs="Times New Roman"/>
          <w:color w:val="auto"/>
          <w:sz w:val="24"/>
          <w:highlight w:val="none"/>
          <w:lang w:val="en-US" w:eastAsia="zh-CN"/>
        </w:rPr>
        <w:t>中标人</w:t>
      </w:r>
      <w:r>
        <w:rPr>
          <w:rFonts w:hint="eastAsia" w:ascii="宋体" w:hAnsi="宋体" w:eastAsia="宋体" w:cs="Times New Roman"/>
          <w:color w:val="auto"/>
          <w:sz w:val="24"/>
          <w:highlight w:val="none"/>
        </w:rPr>
        <w:t>无违约行为，</w:t>
      </w:r>
      <w:r>
        <w:rPr>
          <w:rFonts w:hint="eastAsia" w:ascii="宋体" w:hAnsi="宋体" w:cs="Times New Roman"/>
          <w:color w:val="auto"/>
          <w:sz w:val="24"/>
          <w:highlight w:val="none"/>
          <w:lang w:val="en-US" w:eastAsia="zh-CN"/>
        </w:rPr>
        <w:t>采购人</w:t>
      </w:r>
      <w:r>
        <w:rPr>
          <w:rFonts w:hint="eastAsia" w:ascii="宋体" w:hAnsi="宋体" w:eastAsia="宋体" w:cs="Times New Roman"/>
          <w:color w:val="auto"/>
          <w:sz w:val="24"/>
          <w:highlight w:val="none"/>
        </w:rPr>
        <w:t>将</w:t>
      </w:r>
      <w:r>
        <w:rPr>
          <w:rFonts w:hint="eastAsia" w:ascii="宋体" w:hAnsi="宋体" w:cs="Times New Roman"/>
          <w:color w:val="auto"/>
          <w:sz w:val="24"/>
          <w:highlight w:val="none"/>
          <w:lang w:val="en-US" w:eastAsia="zh-CN"/>
        </w:rPr>
        <w:t>中标人</w:t>
      </w:r>
      <w:r>
        <w:rPr>
          <w:rFonts w:hint="eastAsia" w:ascii="宋体" w:hAnsi="宋体" w:eastAsia="宋体" w:cs="Times New Roman"/>
          <w:color w:val="auto"/>
          <w:sz w:val="24"/>
          <w:highlight w:val="none"/>
        </w:rPr>
        <w:t>交纳的履约保证金在合同期限届满后1个月内退还。如</w:t>
      </w:r>
      <w:r>
        <w:rPr>
          <w:rFonts w:hint="eastAsia" w:ascii="宋体" w:hAnsi="宋体" w:cs="Times New Roman"/>
          <w:color w:val="auto"/>
          <w:sz w:val="24"/>
          <w:highlight w:val="none"/>
          <w:lang w:val="en-US" w:eastAsia="zh-CN"/>
        </w:rPr>
        <w:t>中标人</w:t>
      </w:r>
      <w:r>
        <w:rPr>
          <w:rFonts w:hint="eastAsia" w:ascii="宋体" w:hAnsi="宋体" w:eastAsia="宋体" w:cs="Times New Roman"/>
          <w:color w:val="auto"/>
          <w:sz w:val="24"/>
          <w:highlight w:val="none"/>
        </w:rPr>
        <w:t>未能按约履行合同规定的全部义务，</w:t>
      </w:r>
      <w:r>
        <w:rPr>
          <w:rFonts w:hint="eastAsia" w:ascii="宋体" w:hAnsi="宋体" w:cs="Times New Roman"/>
          <w:color w:val="auto"/>
          <w:sz w:val="24"/>
          <w:highlight w:val="none"/>
          <w:lang w:val="en-US" w:eastAsia="zh-CN"/>
        </w:rPr>
        <w:t>采购人</w:t>
      </w:r>
      <w:r>
        <w:rPr>
          <w:rFonts w:hint="eastAsia" w:ascii="宋体" w:hAnsi="宋体" w:eastAsia="宋体" w:cs="Times New Roman"/>
          <w:color w:val="auto"/>
          <w:sz w:val="24"/>
          <w:highlight w:val="none"/>
        </w:rPr>
        <w:t>有权从履约保证金中优先获得赔偿或扣款。</w:t>
      </w:r>
    </w:p>
    <w:p w14:paraId="45F83E64">
      <w:pPr>
        <w:snapToGrid w:val="0"/>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5、若为保函的，需提供“见索即付”银行履约保函，其有效期应为合同期加6个月，如发生保函无效或到期未提前续保等情形的，采购人有权在应付项目款中直接扣除保函金额并转为履约保证金。</w:t>
      </w:r>
    </w:p>
    <w:p w14:paraId="0637AE97">
      <w:pPr>
        <w:snapToGrid w:val="0"/>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6、由于中标人原因，在签订合同后出现不按合同履行的情况，采购人有权将履约保证金作为违约金，全额不予退还，同时采购人亦有权终止合同，中标人还须承担相应的法律赔偿责任。</w:t>
      </w:r>
    </w:p>
    <w:p w14:paraId="7F8862C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b/>
          <w:color w:val="auto"/>
          <w:sz w:val="24"/>
          <w:highlight w:val="none"/>
        </w:rPr>
      </w:pPr>
      <w:r>
        <w:rPr>
          <w:rFonts w:ascii="宋体" w:hAnsi="宋体"/>
          <w:b/>
          <w:color w:val="auto"/>
          <w:sz w:val="24"/>
          <w:highlight w:val="none"/>
        </w:rPr>
        <w:t>十</w:t>
      </w:r>
      <w:r>
        <w:rPr>
          <w:rFonts w:hint="eastAsia" w:ascii="宋体" w:hAnsi="宋体"/>
          <w:b/>
          <w:color w:val="auto"/>
          <w:sz w:val="24"/>
          <w:highlight w:val="none"/>
          <w:lang w:val="en-US" w:eastAsia="zh-CN"/>
        </w:rPr>
        <w:t>二</w:t>
      </w:r>
      <w:r>
        <w:rPr>
          <w:rFonts w:ascii="宋体" w:hAnsi="宋体"/>
          <w:b/>
          <w:color w:val="auto"/>
          <w:sz w:val="24"/>
          <w:highlight w:val="none"/>
        </w:rPr>
        <w:t>、</w:t>
      </w:r>
      <w:r>
        <w:rPr>
          <w:rFonts w:hint="eastAsia" w:ascii="宋体" w:hAnsi="宋体"/>
          <w:b/>
          <w:color w:val="auto"/>
          <w:sz w:val="24"/>
          <w:highlight w:val="none"/>
        </w:rPr>
        <w:t>付款方式</w:t>
      </w:r>
    </w:p>
    <w:p w14:paraId="320660EA">
      <w:pPr>
        <w:spacing w:line="360" w:lineRule="auto"/>
        <w:ind w:firstLine="480" w:firstLineChars="200"/>
        <w:rPr>
          <w:rFonts w:hint="eastAsia" w:ascii="Times New Roman" w:hAnsi="Times New Roman" w:eastAsia="宋体" w:cs="Times New Roman"/>
          <w:color w:val="auto"/>
          <w:sz w:val="24"/>
          <w:highlight w:val="none"/>
        </w:rPr>
      </w:pPr>
      <w:r>
        <w:rPr>
          <w:rFonts w:hint="eastAsia" w:cs="Times New Roman"/>
          <w:color w:val="auto"/>
          <w:sz w:val="24"/>
          <w:highlight w:val="none"/>
          <w:lang w:val="en-US" w:eastAsia="zh-CN"/>
        </w:rPr>
        <w:t>中标人</w:t>
      </w:r>
      <w:r>
        <w:rPr>
          <w:rFonts w:hint="eastAsia" w:ascii="Times New Roman" w:hAnsi="Times New Roman" w:eastAsia="宋体" w:cs="Times New Roman"/>
          <w:color w:val="auto"/>
          <w:sz w:val="24"/>
          <w:highlight w:val="none"/>
        </w:rPr>
        <w:t>按照合同约定的时间、要求制作完毕，应向</w:t>
      </w:r>
      <w:r>
        <w:rPr>
          <w:rFonts w:hint="eastAsia" w:cs="Times New Roman"/>
          <w:color w:val="auto"/>
          <w:sz w:val="24"/>
          <w:highlight w:val="none"/>
          <w:lang w:val="en-US" w:eastAsia="zh-CN"/>
        </w:rPr>
        <w:t>采购人</w:t>
      </w:r>
      <w:r>
        <w:rPr>
          <w:rFonts w:hint="eastAsia" w:ascii="Times New Roman" w:hAnsi="Times New Roman" w:eastAsia="宋体" w:cs="Times New Roman"/>
          <w:color w:val="auto"/>
          <w:sz w:val="24"/>
          <w:highlight w:val="none"/>
        </w:rPr>
        <w:t>提请验收，经</w:t>
      </w:r>
      <w:r>
        <w:rPr>
          <w:rFonts w:hint="eastAsia" w:cs="Times New Roman"/>
          <w:color w:val="auto"/>
          <w:sz w:val="24"/>
          <w:highlight w:val="none"/>
          <w:lang w:val="en-US" w:eastAsia="zh-CN"/>
        </w:rPr>
        <w:t>采购人</w:t>
      </w:r>
      <w:r>
        <w:rPr>
          <w:rFonts w:hint="eastAsia" w:ascii="Times New Roman" w:hAnsi="Times New Roman" w:eastAsia="宋体" w:cs="Times New Roman"/>
          <w:color w:val="auto"/>
          <w:sz w:val="24"/>
          <w:highlight w:val="none"/>
        </w:rPr>
        <w:t>验收合格并完成结算手续后，凭</w:t>
      </w:r>
      <w:r>
        <w:rPr>
          <w:rFonts w:hint="eastAsia" w:cs="Times New Roman"/>
          <w:color w:val="auto"/>
          <w:sz w:val="24"/>
          <w:highlight w:val="none"/>
          <w:lang w:val="en-US" w:eastAsia="zh-CN"/>
        </w:rPr>
        <w:t>采购人</w:t>
      </w:r>
      <w:r>
        <w:rPr>
          <w:rFonts w:hint="eastAsia" w:ascii="Times New Roman" w:hAnsi="Times New Roman" w:eastAsia="宋体" w:cs="Times New Roman"/>
          <w:color w:val="auto"/>
          <w:sz w:val="24"/>
          <w:highlight w:val="none"/>
        </w:rPr>
        <w:t>签字确认的验收单及</w:t>
      </w:r>
      <w:r>
        <w:rPr>
          <w:rFonts w:hint="eastAsia" w:cs="Times New Roman"/>
          <w:color w:val="auto"/>
          <w:sz w:val="24"/>
          <w:highlight w:val="none"/>
          <w:lang w:val="en-US" w:eastAsia="zh-CN"/>
        </w:rPr>
        <w:t>中标人</w:t>
      </w:r>
      <w:r>
        <w:rPr>
          <w:rFonts w:hint="eastAsia" w:ascii="Times New Roman" w:hAnsi="Times New Roman" w:eastAsia="宋体" w:cs="Times New Roman"/>
          <w:color w:val="auto"/>
          <w:sz w:val="24"/>
          <w:highlight w:val="none"/>
        </w:rPr>
        <w:t>提供结算价款的全额增值税专用发票后，即</w:t>
      </w:r>
      <w:r>
        <w:rPr>
          <w:rFonts w:hint="eastAsia" w:cs="Times New Roman"/>
          <w:color w:val="auto"/>
          <w:sz w:val="24"/>
          <w:highlight w:val="none"/>
          <w:lang w:val="en-US" w:eastAsia="zh-CN"/>
        </w:rPr>
        <w:t>采购人</w:t>
      </w:r>
      <w:r>
        <w:rPr>
          <w:rFonts w:hint="eastAsia" w:ascii="Times New Roman" w:hAnsi="Times New Roman" w:eastAsia="宋体" w:cs="Times New Roman"/>
          <w:color w:val="auto"/>
          <w:sz w:val="24"/>
          <w:highlight w:val="none"/>
        </w:rPr>
        <w:t>在60个工作日内以转账或支票的方式向</w:t>
      </w:r>
      <w:r>
        <w:rPr>
          <w:rFonts w:hint="eastAsia" w:cs="Times New Roman"/>
          <w:color w:val="auto"/>
          <w:sz w:val="24"/>
          <w:highlight w:val="none"/>
          <w:lang w:val="en-US" w:eastAsia="zh-CN"/>
        </w:rPr>
        <w:t>中标人</w:t>
      </w:r>
      <w:r>
        <w:rPr>
          <w:rFonts w:hint="eastAsia" w:ascii="Times New Roman" w:hAnsi="Times New Roman" w:eastAsia="宋体" w:cs="Times New Roman"/>
          <w:color w:val="auto"/>
          <w:sz w:val="24"/>
          <w:highlight w:val="none"/>
        </w:rPr>
        <w:t>支付合同结算金额。</w:t>
      </w:r>
    </w:p>
    <w:p w14:paraId="0052E730">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w:t>
      </w:r>
      <w:r>
        <w:rPr>
          <w:rFonts w:hint="eastAsia" w:ascii="宋体" w:hAnsi="宋体"/>
          <w:b/>
          <w:color w:val="auto"/>
          <w:sz w:val="24"/>
          <w:highlight w:val="none"/>
          <w:lang w:val="en-US" w:eastAsia="zh-CN"/>
        </w:rPr>
        <w:t>三</w:t>
      </w:r>
      <w:r>
        <w:rPr>
          <w:rFonts w:hint="eastAsia" w:ascii="宋体" w:hAnsi="宋体"/>
          <w:b/>
          <w:color w:val="auto"/>
          <w:sz w:val="24"/>
          <w:highlight w:val="none"/>
        </w:rPr>
        <w:t>、未尽事宜</w:t>
      </w:r>
    </w:p>
    <w:p w14:paraId="11B8C43F">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参照招投标有关的法律、法规执行。</w:t>
      </w:r>
    </w:p>
    <w:p w14:paraId="510BE7A3">
      <w:pPr>
        <w:snapToGrid w:val="0"/>
        <w:spacing w:line="440" w:lineRule="exact"/>
        <w:ind w:firstLine="440" w:firstLineChars="200"/>
        <w:rPr>
          <w:rFonts w:ascii="宋体" w:hAnsi="宋体" w:cs="宋体"/>
          <w:color w:val="auto"/>
          <w:sz w:val="22"/>
          <w:szCs w:val="22"/>
          <w:highlight w:val="none"/>
        </w:rPr>
      </w:pPr>
    </w:p>
    <w:p w14:paraId="4E2B1E2F">
      <w:pPr>
        <w:snapToGrid w:val="0"/>
        <w:spacing w:line="440" w:lineRule="exact"/>
        <w:jc w:val="center"/>
        <w:rPr>
          <w:rFonts w:ascii="宋体" w:hAnsi="宋体"/>
          <w:b/>
          <w:bCs/>
          <w:color w:val="auto"/>
          <w:sz w:val="36"/>
          <w:szCs w:val="36"/>
          <w:highlight w:val="none"/>
        </w:rPr>
        <w:sectPr>
          <w:footerReference r:id="rId4" w:type="default"/>
          <w:pgSz w:w="11907" w:h="16839"/>
          <w:pgMar w:top="1431" w:right="1785" w:bottom="1417" w:left="1785" w:header="0" w:footer="1202" w:gutter="0"/>
          <w:pgNumType w:start="1"/>
          <w:cols w:space="720" w:num="1"/>
        </w:sectPr>
      </w:pPr>
    </w:p>
    <w:p w14:paraId="6E3A013D">
      <w:pPr>
        <w:snapToGrid w:val="0"/>
        <w:spacing w:line="440" w:lineRule="exact"/>
        <w:jc w:val="center"/>
        <w:rPr>
          <w:rFonts w:ascii="宋体" w:hAnsi="宋体"/>
          <w:color w:val="auto"/>
          <w:sz w:val="28"/>
          <w:szCs w:val="28"/>
          <w:highlight w:val="none"/>
          <w:u w:val="single"/>
        </w:rPr>
      </w:pPr>
      <w:r>
        <w:rPr>
          <w:rFonts w:hint="eastAsia" w:ascii="宋体" w:hAnsi="宋体"/>
          <w:b/>
          <w:bCs/>
          <w:color w:val="auto"/>
          <w:sz w:val="36"/>
          <w:szCs w:val="36"/>
          <w:highlight w:val="none"/>
        </w:rPr>
        <w:t>第三章  项目需求</w:t>
      </w:r>
      <w:bookmarkStart w:id="2" w:name="OLE_LINK3"/>
      <w:bookmarkStart w:id="3" w:name="OLE_LINK4"/>
      <w:r>
        <w:rPr>
          <w:rFonts w:hint="eastAsia" w:ascii="宋体" w:hAnsi="宋体"/>
          <w:b/>
          <w:bCs/>
          <w:color w:val="auto"/>
          <w:sz w:val="36"/>
          <w:szCs w:val="36"/>
          <w:highlight w:val="none"/>
        </w:rPr>
        <w:t xml:space="preserve"> </w:t>
      </w:r>
    </w:p>
    <w:bookmarkEnd w:id="2"/>
    <w:bookmarkEnd w:id="3"/>
    <w:p w14:paraId="1A26A6B5">
      <w:pPr>
        <w:snapToGrid w:val="0"/>
        <w:spacing w:line="360" w:lineRule="auto"/>
        <w:ind w:firstLine="482" w:firstLineChars="200"/>
        <w:rPr>
          <w:rFonts w:cs="宋体" w:asciiTheme="majorEastAsia" w:hAnsiTheme="majorEastAsia" w:eastAsiaTheme="majorEastAsia"/>
          <w:b/>
          <w:bCs/>
          <w:color w:val="auto"/>
          <w:sz w:val="24"/>
          <w:highlight w:val="none"/>
        </w:rPr>
      </w:pPr>
      <w:bookmarkStart w:id="4" w:name="_Toc452446614"/>
      <w:r>
        <w:rPr>
          <w:rFonts w:hint="eastAsia" w:cs="宋体" w:asciiTheme="majorEastAsia" w:hAnsiTheme="majorEastAsia" w:eastAsiaTheme="majorEastAsia"/>
          <w:b/>
          <w:bCs/>
          <w:color w:val="auto"/>
          <w:sz w:val="24"/>
          <w:highlight w:val="none"/>
        </w:rPr>
        <w:t>一、需求说明</w:t>
      </w:r>
      <w:bookmarkEnd w:id="4"/>
    </w:p>
    <w:p w14:paraId="4FF920CC">
      <w:pPr>
        <w:snapToGrid w:val="0"/>
        <w:spacing w:line="360" w:lineRule="auto"/>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t>以下各条款为基本要求，投标人应根据自身的情况以不低于基本要求的条款进行投标。对于本章节未提及的基本要求，而在其职责范围的具体事项又包括在内的内容，请投标人根据自身的实际情况予以具体安排并进行投标。</w:t>
      </w:r>
    </w:p>
    <w:p w14:paraId="0015E25D">
      <w:pPr>
        <w:snapToGrid w:val="0"/>
        <w:spacing w:line="360" w:lineRule="auto"/>
        <w:ind w:firstLine="482" w:firstLineChars="200"/>
        <w:rPr>
          <w:rFonts w:hint="eastAsia" w:cs="宋体" w:asciiTheme="majorEastAsia" w:hAnsiTheme="majorEastAsia" w:eastAsiaTheme="majorEastAsia"/>
          <w:b/>
          <w:bCs/>
          <w:color w:val="auto"/>
          <w:sz w:val="24"/>
          <w:highlight w:val="none"/>
        </w:rPr>
      </w:pPr>
      <w:bookmarkStart w:id="5" w:name="_Toc452446616"/>
      <w:r>
        <w:rPr>
          <w:rFonts w:hint="eastAsia" w:cs="宋体" w:asciiTheme="majorEastAsia" w:hAnsiTheme="majorEastAsia" w:eastAsiaTheme="majorEastAsia"/>
          <w:b/>
          <w:bCs/>
          <w:color w:val="auto"/>
          <w:sz w:val="24"/>
          <w:highlight w:val="none"/>
          <w:lang w:val="en-US" w:eastAsia="zh-CN"/>
        </w:rPr>
        <w:t>二</w:t>
      </w:r>
      <w:r>
        <w:rPr>
          <w:rFonts w:hint="eastAsia" w:cs="宋体" w:asciiTheme="majorEastAsia" w:hAnsiTheme="majorEastAsia" w:eastAsiaTheme="majorEastAsia"/>
          <w:b/>
          <w:bCs/>
          <w:color w:val="auto"/>
          <w:sz w:val="24"/>
          <w:highlight w:val="none"/>
        </w:rPr>
        <w:t>、项目基本情况</w:t>
      </w:r>
      <w:bookmarkEnd w:id="5"/>
    </w:p>
    <w:p w14:paraId="39CCA378">
      <w:pPr>
        <w:snapToGrid w:val="0"/>
        <w:spacing w:line="360" w:lineRule="auto"/>
        <w:ind w:firstLine="480" w:firstLineChars="200"/>
        <w:rPr>
          <w:rFonts w:hint="default" w:cs="宋体" w:asciiTheme="majorEastAsia" w:hAnsiTheme="majorEastAsia" w:eastAsiaTheme="majorEastAsia"/>
          <w:color w:val="auto"/>
          <w:sz w:val="24"/>
          <w:highlight w:val="none"/>
          <w:lang w:val="en-US" w:eastAsia="zh-CN"/>
        </w:rPr>
      </w:pPr>
      <w:r>
        <w:rPr>
          <w:rFonts w:hint="eastAsia" w:cs="宋体" w:asciiTheme="majorEastAsia" w:hAnsiTheme="majorEastAsia" w:eastAsiaTheme="majorEastAsia"/>
          <w:color w:val="auto"/>
          <w:sz w:val="24"/>
          <w:highlight w:val="none"/>
          <w:lang w:val="en-US" w:eastAsia="zh-CN"/>
        </w:rPr>
        <w:t>1、</w:t>
      </w:r>
      <w:r>
        <w:rPr>
          <w:rFonts w:hint="eastAsia" w:cs="宋体" w:asciiTheme="majorEastAsia" w:hAnsiTheme="majorEastAsia" w:eastAsiaTheme="majorEastAsia"/>
          <w:color w:val="auto"/>
          <w:sz w:val="24"/>
          <w:highlight w:val="none"/>
          <w:lang w:val="en-US" w:eastAsia="en-US"/>
        </w:rPr>
        <w:t>地点</w:t>
      </w:r>
      <w:r>
        <w:rPr>
          <w:rFonts w:hint="eastAsia" w:cs="宋体" w:asciiTheme="majorEastAsia" w:hAnsiTheme="majorEastAsia" w:eastAsiaTheme="majorEastAsia"/>
          <w:color w:val="auto"/>
          <w:sz w:val="24"/>
          <w:highlight w:val="none"/>
          <w:lang w:val="en-US" w:eastAsia="zh-CN"/>
        </w:rPr>
        <w:t>：南通市崇川区通京大道东、紫荷路南</w:t>
      </w:r>
    </w:p>
    <w:p w14:paraId="144FB1BE">
      <w:pPr>
        <w:snapToGrid w:val="0"/>
        <w:spacing w:line="360" w:lineRule="auto"/>
        <w:ind w:firstLine="480" w:firstLineChars="200"/>
        <w:rPr>
          <w:rFonts w:hint="eastAsia" w:cs="宋体" w:asciiTheme="majorEastAsia" w:hAnsiTheme="majorEastAsia" w:eastAsiaTheme="majorEastAsia"/>
          <w:color w:val="auto"/>
          <w:sz w:val="24"/>
          <w:highlight w:val="none"/>
          <w:lang w:val="en-US" w:eastAsia="zh-CN"/>
        </w:rPr>
      </w:pPr>
      <w:r>
        <w:rPr>
          <w:rFonts w:hint="eastAsia" w:cs="宋体" w:asciiTheme="majorEastAsia" w:hAnsiTheme="majorEastAsia" w:eastAsiaTheme="majorEastAsia"/>
          <w:color w:val="auto"/>
          <w:sz w:val="24"/>
          <w:highlight w:val="none"/>
          <w:lang w:val="en-US" w:eastAsia="zh-CN"/>
        </w:rPr>
        <w:t>2、合同履行期限：合同签订35日历天内完成制作及安装。</w:t>
      </w:r>
    </w:p>
    <w:p w14:paraId="34B5BEC7">
      <w:pPr>
        <w:adjustRightInd w:val="0"/>
        <w:snapToGrid w:val="0"/>
        <w:spacing w:line="360" w:lineRule="auto"/>
        <w:ind w:firstLine="482" w:firstLineChars="200"/>
        <w:rPr>
          <w:rFonts w:hint="default"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shd w:val="clear" w:color="auto" w:fill="FFFFFF"/>
          <w:lang w:val="en-US" w:eastAsia="zh-CN"/>
        </w:rPr>
        <w:t>需求清单</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576"/>
        <w:gridCol w:w="1397"/>
        <w:gridCol w:w="912"/>
        <w:gridCol w:w="488"/>
        <w:gridCol w:w="546"/>
        <w:gridCol w:w="2602"/>
        <w:gridCol w:w="1567"/>
      </w:tblGrid>
      <w:tr w14:paraId="5895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14:paraId="7D5068B0">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序号</w:t>
            </w:r>
          </w:p>
        </w:tc>
        <w:tc>
          <w:tcPr>
            <w:tcW w:w="337" w:type="pct"/>
            <w:vAlign w:val="center"/>
          </w:tcPr>
          <w:p w14:paraId="10CD2273">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类目</w:t>
            </w:r>
          </w:p>
        </w:tc>
        <w:tc>
          <w:tcPr>
            <w:tcW w:w="817" w:type="pct"/>
            <w:vAlign w:val="center"/>
          </w:tcPr>
          <w:p w14:paraId="0EA91DBD">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rPr>
              <w:t>描述</w:t>
            </w:r>
          </w:p>
        </w:tc>
        <w:tc>
          <w:tcPr>
            <w:tcW w:w="533" w:type="pct"/>
            <w:vAlign w:val="center"/>
          </w:tcPr>
          <w:p w14:paraId="28AF48A8">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尺寸参数</w:t>
            </w:r>
          </w:p>
        </w:tc>
        <w:tc>
          <w:tcPr>
            <w:tcW w:w="285" w:type="pct"/>
            <w:vAlign w:val="center"/>
          </w:tcPr>
          <w:p w14:paraId="3A68B515">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w:t>
            </w:r>
          </w:p>
        </w:tc>
        <w:tc>
          <w:tcPr>
            <w:tcW w:w="319" w:type="pct"/>
            <w:vAlign w:val="center"/>
          </w:tcPr>
          <w:p w14:paraId="67831551">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522" w:type="pct"/>
            <w:vAlign w:val="center"/>
          </w:tcPr>
          <w:p w14:paraId="6504F03F">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示例</w:t>
            </w:r>
          </w:p>
        </w:tc>
        <w:tc>
          <w:tcPr>
            <w:tcW w:w="917" w:type="pct"/>
            <w:vAlign w:val="center"/>
          </w:tcPr>
          <w:p w14:paraId="39874FC4">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05E4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restart"/>
            <w:vAlign w:val="center"/>
          </w:tcPr>
          <w:p w14:paraId="6D500A91">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337" w:type="pct"/>
            <w:vMerge w:val="restart"/>
            <w:vAlign w:val="center"/>
          </w:tcPr>
          <w:p w14:paraId="32B25A7B">
            <w:pPr>
              <w:tabs>
                <w:tab w:val="left" w:pos="425"/>
              </w:tabs>
              <w:snapToGrid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导视牌发布</w:t>
            </w:r>
          </w:p>
        </w:tc>
        <w:tc>
          <w:tcPr>
            <w:tcW w:w="817" w:type="pct"/>
            <w:vAlign w:val="center"/>
          </w:tcPr>
          <w:p w14:paraId="24AFD8A2">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通启路辅路——辐射市区客群</w:t>
            </w:r>
          </w:p>
        </w:tc>
        <w:tc>
          <w:tcPr>
            <w:tcW w:w="533" w:type="pct"/>
            <w:vAlign w:val="center"/>
          </w:tcPr>
          <w:p w14:paraId="7F45F99F">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长3m*高2m</w:t>
            </w:r>
          </w:p>
        </w:tc>
        <w:tc>
          <w:tcPr>
            <w:tcW w:w="285" w:type="pct"/>
            <w:vAlign w:val="center"/>
          </w:tcPr>
          <w:p w14:paraId="05B380DB">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月</w:t>
            </w:r>
          </w:p>
        </w:tc>
        <w:tc>
          <w:tcPr>
            <w:tcW w:w="319" w:type="pct"/>
            <w:vAlign w:val="center"/>
          </w:tcPr>
          <w:p w14:paraId="3A8639E7">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522" w:type="pct"/>
            <w:vMerge w:val="restart"/>
            <w:vAlign w:val="center"/>
          </w:tcPr>
          <w:p w14:paraId="1B27CD87">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drawing>
                <wp:inline distT="0" distB="0" distL="114300" distR="114300">
                  <wp:extent cx="1515745" cy="789940"/>
                  <wp:effectExtent l="0" t="0" r="8255" b="10160"/>
                  <wp:docPr id="2" name="图片 2" descr="2f32f1bb2f1cc32d8a9a38ad62763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32f1bb2f1cc32d8a9a38ad627632f1"/>
                          <pic:cNvPicPr>
                            <a:picLocks noChangeAspect="1"/>
                          </pic:cNvPicPr>
                        </pic:nvPicPr>
                        <pic:blipFill>
                          <a:blip r:embed="rId8"/>
                          <a:stretch>
                            <a:fillRect/>
                          </a:stretch>
                        </pic:blipFill>
                        <pic:spPr>
                          <a:xfrm>
                            <a:off x="0" y="0"/>
                            <a:ext cx="1515745" cy="789940"/>
                          </a:xfrm>
                          <a:prstGeom prst="rect">
                            <a:avLst/>
                          </a:prstGeom>
                        </pic:spPr>
                      </pic:pic>
                    </a:graphicData>
                  </a:graphic>
                </wp:inline>
              </w:drawing>
            </w:r>
          </w:p>
        </w:tc>
        <w:tc>
          <w:tcPr>
            <w:tcW w:w="917" w:type="pct"/>
            <w:vMerge w:val="restart"/>
            <w:vAlign w:val="center"/>
          </w:tcPr>
          <w:p w14:paraId="5F5AF585">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包括</w:t>
            </w:r>
            <w:r>
              <w:rPr>
                <w:rFonts w:hint="eastAsia" w:ascii="宋体" w:hAnsi="宋体" w:eastAsia="宋体" w:cs="宋体"/>
                <w:b w:val="0"/>
                <w:bCs w:val="0"/>
                <w:color w:val="auto"/>
                <w:sz w:val="24"/>
                <w:szCs w:val="24"/>
                <w:highlight w:val="none"/>
                <w:lang w:eastAsia="zh-CN"/>
              </w:rPr>
              <w:t>城管局、交警部门以及市政园林管理处等政府部门管理发布费用（遇政府大型检查和不可抗力因素发布期顺延）</w:t>
            </w:r>
          </w:p>
        </w:tc>
      </w:tr>
      <w:tr w14:paraId="1DAD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182EDAB2">
            <w:pPr>
              <w:snapToGrid w:val="0"/>
              <w:jc w:val="center"/>
              <w:rPr>
                <w:rFonts w:hint="eastAsia" w:ascii="宋体" w:hAnsi="宋体" w:eastAsia="宋体" w:cs="宋体"/>
                <w:b w:val="0"/>
                <w:bCs w:val="0"/>
                <w:color w:val="auto"/>
                <w:sz w:val="24"/>
                <w:szCs w:val="24"/>
                <w:highlight w:val="none"/>
              </w:rPr>
            </w:pPr>
          </w:p>
        </w:tc>
        <w:tc>
          <w:tcPr>
            <w:tcW w:w="337" w:type="pct"/>
            <w:vMerge w:val="continue"/>
            <w:vAlign w:val="center"/>
          </w:tcPr>
          <w:p w14:paraId="69A982B6">
            <w:pPr>
              <w:snapToGrid w:val="0"/>
              <w:jc w:val="center"/>
              <w:rPr>
                <w:rFonts w:hint="eastAsia" w:ascii="宋体" w:hAnsi="宋体" w:eastAsia="宋体" w:cs="宋体"/>
                <w:b w:val="0"/>
                <w:bCs w:val="0"/>
                <w:color w:val="auto"/>
                <w:sz w:val="24"/>
                <w:szCs w:val="24"/>
                <w:highlight w:val="none"/>
                <w:lang w:val="en-US" w:eastAsia="zh-CN"/>
              </w:rPr>
            </w:pPr>
          </w:p>
        </w:tc>
        <w:tc>
          <w:tcPr>
            <w:tcW w:w="817" w:type="pct"/>
            <w:vAlign w:val="center"/>
          </w:tcPr>
          <w:p w14:paraId="3DD17724">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通京大道南向道路辐射港闸及北部市县客群</w:t>
            </w:r>
          </w:p>
        </w:tc>
        <w:tc>
          <w:tcPr>
            <w:tcW w:w="533" w:type="pct"/>
            <w:vAlign w:val="center"/>
          </w:tcPr>
          <w:p w14:paraId="38A6625A">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长3m*高2m</w:t>
            </w:r>
          </w:p>
        </w:tc>
        <w:tc>
          <w:tcPr>
            <w:tcW w:w="285" w:type="pct"/>
            <w:shd w:val="clear" w:color="auto" w:fill="auto"/>
            <w:vAlign w:val="center"/>
          </w:tcPr>
          <w:p w14:paraId="6D8AE30E">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月</w:t>
            </w:r>
          </w:p>
        </w:tc>
        <w:tc>
          <w:tcPr>
            <w:tcW w:w="319" w:type="pct"/>
            <w:shd w:val="clear" w:color="auto" w:fill="auto"/>
            <w:vAlign w:val="center"/>
          </w:tcPr>
          <w:p w14:paraId="42E32C49">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12</w:t>
            </w:r>
          </w:p>
        </w:tc>
        <w:tc>
          <w:tcPr>
            <w:tcW w:w="1522" w:type="pct"/>
            <w:vMerge w:val="continue"/>
            <w:vAlign w:val="center"/>
          </w:tcPr>
          <w:p w14:paraId="01F5EC61">
            <w:pPr>
              <w:snapToGrid w:val="0"/>
              <w:jc w:val="center"/>
              <w:rPr>
                <w:rFonts w:hint="eastAsia" w:ascii="宋体" w:hAnsi="宋体" w:eastAsia="宋体" w:cs="宋体"/>
                <w:b w:val="0"/>
                <w:bCs w:val="0"/>
                <w:color w:val="auto"/>
                <w:sz w:val="24"/>
                <w:szCs w:val="24"/>
                <w:highlight w:val="none"/>
                <w:lang w:eastAsia="zh-CN"/>
              </w:rPr>
            </w:pPr>
          </w:p>
        </w:tc>
        <w:tc>
          <w:tcPr>
            <w:tcW w:w="917" w:type="pct"/>
            <w:vMerge w:val="continue"/>
            <w:vAlign w:val="center"/>
          </w:tcPr>
          <w:p w14:paraId="4A655E08">
            <w:pPr>
              <w:snapToGrid w:val="0"/>
              <w:jc w:val="center"/>
              <w:rPr>
                <w:rFonts w:hint="eastAsia" w:ascii="宋体" w:hAnsi="宋体" w:eastAsia="宋体" w:cs="宋体"/>
                <w:b w:val="0"/>
                <w:bCs w:val="0"/>
                <w:color w:val="auto"/>
                <w:sz w:val="24"/>
                <w:szCs w:val="24"/>
                <w:highlight w:val="none"/>
                <w:lang w:eastAsia="zh-CN"/>
              </w:rPr>
            </w:pPr>
          </w:p>
        </w:tc>
      </w:tr>
      <w:tr w14:paraId="4084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129E5020">
            <w:pPr>
              <w:snapToGrid w:val="0"/>
              <w:jc w:val="center"/>
              <w:rPr>
                <w:rFonts w:hint="eastAsia" w:ascii="宋体" w:hAnsi="宋体" w:eastAsia="宋体" w:cs="宋体"/>
                <w:b w:val="0"/>
                <w:bCs w:val="0"/>
                <w:color w:val="auto"/>
                <w:sz w:val="24"/>
                <w:szCs w:val="24"/>
                <w:highlight w:val="none"/>
              </w:rPr>
            </w:pPr>
          </w:p>
        </w:tc>
        <w:tc>
          <w:tcPr>
            <w:tcW w:w="337" w:type="pct"/>
            <w:vMerge w:val="continue"/>
            <w:vAlign w:val="center"/>
          </w:tcPr>
          <w:p w14:paraId="3AD2E6D0">
            <w:pPr>
              <w:snapToGrid w:val="0"/>
              <w:jc w:val="center"/>
              <w:rPr>
                <w:rFonts w:hint="eastAsia" w:ascii="宋体" w:hAnsi="宋体" w:eastAsia="宋体" w:cs="宋体"/>
                <w:b w:val="0"/>
                <w:bCs w:val="0"/>
                <w:color w:val="auto"/>
                <w:sz w:val="24"/>
                <w:szCs w:val="24"/>
                <w:highlight w:val="none"/>
                <w:lang w:val="en-US" w:eastAsia="zh-CN"/>
              </w:rPr>
            </w:pPr>
          </w:p>
        </w:tc>
        <w:tc>
          <w:tcPr>
            <w:tcW w:w="817" w:type="pct"/>
            <w:vAlign w:val="center"/>
          </w:tcPr>
          <w:p w14:paraId="0340F26C">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洪江路高架出口辐射中创及开发区客群</w:t>
            </w:r>
          </w:p>
        </w:tc>
        <w:tc>
          <w:tcPr>
            <w:tcW w:w="533" w:type="pct"/>
            <w:vAlign w:val="center"/>
          </w:tcPr>
          <w:p w14:paraId="6275334F">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长3m*高2m</w:t>
            </w:r>
          </w:p>
        </w:tc>
        <w:tc>
          <w:tcPr>
            <w:tcW w:w="285" w:type="pct"/>
            <w:shd w:val="clear" w:color="auto" w:fill="auto"/>
            <w:vAlign w:val="center"/>
          </w:tcPr>
          <w:p w14:paraId="2CEED004">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月</w:t>
            </w:r>
          </w:p>
        </w:tc>
        <w:tc>
          <w:tcPr>
            <w:tcW w:w="319" w:type="pct"/>
            <w:shd w:val="clear" w:color="auto" w:fill="auto"/>
            <w:vAlign w:val="center"/>
          </w:tcPr>
          <w:p w14:paraId="2FB048A8">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12</w:t>
            </w:r>
          </w:p>
        </w:tc>
        <w:tc>
          <w:tcPr>
            <w:tcW w:w="1522" w:type="pct"/>
            <w:vMerge w:val="continue"/>
            <w:vAlign w:val="center"/>
          </w:tcPr>
          <w:p w14:paraId="7AAF55FC">
            <w:pPr>
              <w:snapToGrid w:val="0"/>
              <w:jc w:val="center"/>
              <w:rPr>
                <w:rFonts w:hint="eastAsia" w:ascii="宋体" w:hAnsi="宋体" w:eastAsia="宋体" w:cs="宋体"/>
                <w:b w:val="0"/>
                <w:bCs w:val="0"/>
                <w:color w:val="auto"/>
                <w:sz w:val="24"/>
                <w:szCs w:val="24"/>
                <w:highlight w:val="none"/>
                <w:lang w:eastAsia="zh-CN"/>
              </w:rPr>
            </w:pPr>
          </w:p>
        </w:tc>
        <w:tc>
          <w:tcPr>
            <w:tcW w:w="917" w:type="pct"/>
            <w:vMerge w:val="continue"/>
            <w:vAlign w:val="center"/>
          </w:tcPr>
          <w:p w14:paraId="3F106FE4">
            <w:pPr>
              <w:snapToGrid w:val="0"/>
              <w:jc w:val="center"/>
              <w:rPr>
                <w:rFonts w:hint="eastAsia" w:ascii="宋体" w:hAnsi="宋体" w:eastAsia="宋体" w:cs="宋体"/>
                <w:b w:val="0"/>
                <w:bCs w:val="0"/>
                <w:color w:val="auto"/>
                <w:sz w:val="24"/>
                <w:szCs w:val="24"/>
                <w:highlight w:val="none"/>
                <w:lang w:eastAsia="zh-CN"/>
              </w:rPr>
            </w:pPr>
          </w:p>
        </w:tc>
      </w:tr>
      <w:tr w14:paraId="2EF7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14:paraId="2189C23F">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37" w:type="pct"/>
            <w:vAlign w:val="center"/>
          </w:tcPr>
          <w:p w14:paraId="26D4EDEA">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导视牌制作</w:t>
            </w:r>
          </w:p>
        </w:tc>
        <w:tc>
          <w:tcPr>
            <w:tcW w:w="817" w:type="pct"/>
            <w:vAlign w:val="center"/>
          </w:tcPr>
          <w:p w14:paraId="7AD70A60">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面板2.0铝板，20cm镀锌圆管，蓝白警示烤漆，混凝土浇筑</w:t>
            </w:r>
          </w:p>
        </w:tc>
        <w:tc>
          <w:tcPr>
            <w:tcW w:w="533" w:type="pct"/>
            <w:vAlign w:val="center"/>
          </w:tcPr>
          <w:p w14:paraId="56021922">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长3m*高2m</w:t>
            </w:r>
          </w:p>
        </w:tc>
        <w:tc>
          <w:tcPr>
            <w:tcW w:w="285" w:type="pct"/>
            <w:vAlign w:val="center"/>
          </w:tcPr>
          <w:p w14:paraId="270A27B8">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块</w:t>
            </w:r>
          </w:p>
        </w:tc>
        <w:tc>
          <w:tcPr>
            <w:tcW w:w="319" w:type="pct"/>
            <w:vAlign w:val="center"/>
          </w:tcPr>
          <w:p w14:paraId="7085918A">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522" w:type="pct"/>
            <w:vAlign w:val="center"/>
          </w:tcPr>
          <w:p w14:paraId="13724676">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drawing>
                <wp:inline distT="0" distB="0" distL="114300" distR="114300">
                  <wp:extent cx="1450340" cy="1081405"/>
                  <wp:effectExtent l="0" t="0" r="10160" b="10795"/>
                  <wp:docPr id="1" name="图片 1" descr="8a31500a42c92d76554427cd6093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a31500a42c92d76554427cd60930378"/>
                          <pic:cNvPicPr>
                            <a:picLocks noChangeAspect="1"/>
                          </pic:cNvPicPr>
                        </pic:nvPicPr>
                        <pic:blipFill>
                          <a:blip r:embed="rId9"/>
                          <a:stretch>
                            <a:fillRect/>
                          </a:stretch>
                        </pic:blipFill>
                        <pic:spPr>
                          <a:xfrm>
                            <a:off x="0" y="0"/>
                            <a:ext cx="1450340" cy="1081405"/>
                          </a:xfrm>
                          <a:prstGeom prst="rect">
                            <a:avLst/>
                          </a:prstGeom>
                        </pic:spPr>
                      </pic:pic>
                    </a:graphicData>
                  </a:graphic>
                </wp:inline>
              </w:drawing>
            </w:r>
          </w:p>
        </w:tc>
        <w:tc>
          <w:tcPr>
            <w:tcW w:w="917" w:type="pct"/>
            <w:vAlign w:val="center"/>
          </w:tcPr>
          <w:p w14:paraId="2B7601EA">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包括交通运输、人员安装、安装设备租赁、辅材、设备调试等费用</w:t>
            </w:r>
          </w:p>
        </w:tc>
      </w:tr>
      <w:tr w14:paraId="273A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38FC84F">
            <w:pPr>
              <w:snapToGrid w:val="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备注：</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示</w:t>
            </w:r>
            <w:r>
              <w:rPr>
                <w:rFonts w:hint="eastAsia" w:ascii="宋体" w:hAnsi="宋体" w:eastAsia="宋体" w:cs="宋体"/>
                <w:b w:val="0"/>
                <w:bCs w:val="0"/>
                <w:color w:val="auto"/>
                <w:sz w:val="24"/>
                <w:szCs w:val="24"/>
                <w:highlight w:val="none"/>
              </w:rPr>
              <w:t>例仅供</w:t>
            </w:r>
            <w:r>
              <w:rPr>
                <w:rFonts w:hint="eastAsia" w:ascii="宋体" w:hAnsi="宋体" w:eastAsia="宋体" w:cs="宋体"/>
                <w:b w:val="0"/>
                <w:bCs w:val="0"/>
                <w:color w:val="auto"/>
                <w:sz w:val="24"/>
                <w:szCs w:val="24"/>
                <w:highlight w:val="none"/>
                <w:lang w:val="en-US" w:eastAsia="zh-CN"/>
              </w:rPr>
              <w:t>形式</w:t>
            </w:r>
            <w:r>
              <w:rPr>
                <w:rFonts w:hint="eastAsia" w:ascii="宋体" w:hAnsi="宋体" w:eastAsia="宋体" w:cs="宋体"/>
                <w:b w:val="0"/>
                <w:bCs w:val="0"/>
                <w:color w:val="auto"/>
                <w:sz w:val="24"/>
                <w:szCs w:val="24"/>
                <w:highlight w:val="none"/>
              </w:rPr>
              <w:t>参考，需根据项目出相应的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方案，保证实际呈现的统一性</w:t>
            </w:r>
            <w:r>
              <w:rPr>
                <w:rFonts w:hint="eastAsia" w:ascii="宋体" w:hAnsi="宋体" w:eastAsia="宋体" w:cs="宋体"/>
                <w:b w:val="0"/>
                <w:bCs w:val="0"/>
                <w:color w:val="auto"/>
                <w:sz w:val="24"/>
                <w:szCs w:val="24"/>
                <w:highlight w:val="none"/>
                <w:lang w:eastAsia="zh-CN"/>
              </w:rPr>
              <w:t>。</w:t>
            </w:r>
          </w:p>
          <w:p w14:paraId="3E003F02">
            <w:pPr>
              <w:snapToGrid w:val="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报价需包含人工、运输</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素材、安装、拆除、维护等</w:t>
            </w:r>
            <w:r>
              <w:rPr>
                <w:rFonts w:hint="eastAsia" w:ascii="宋体" w:hAnsi="宋体" w:eastAsia="宋体" w:cs="宋体"/>
                <w:b w:val="0"/>
                <w:bCs w:val="0"/>
                <w:color w:val="auto"/>
                <w:sz w:val="24"/>
                <w:szCs w:val="24"/>
                <w:highlight w:val="none"/>
              </w:rPr>
              <w:t>费用</w:t>
            </w:r>
            <w:r>
              <w:rPr>
                <w:rFonts w:hint="eastAsia" w:ascii="宋体" w:hAnsi="宋体" w:eastAsia="宋体" w:cs="宋体"/>
                <w:b w:val="0"/>
                <w:bCs w:val="0"/>
                <w:color w:val="auto"/>
                <w:sz w:val="24"/>
                <w:szCs w:val="24"/>
                <w:highlight w:val="none"/>
                <w:lang w:val="en-US" w:eastAsia="zh-CN"/>
              </w:rPr>
              <w:t>及指示牌拆除后回收残值</w:t>
            </w:r>
            <w:r>
              <w:rPr>
                <w:rFonts w:hint="eastAsia" w:ascii="宋体" w:hAnsi="宋体" w:eastAsia="宋体" w:cs="宋体"/>
                <w:b w:val="0"/>
                <w:bCs w:val="0"/>
                <w:color w:val="auto"/>
                <w:sz w:val="24"/>
                <w:szCs w:val="24"/>
                <w:highlight w:val="none"/>
                <w:lang w:eastAsia="zh-CN"/>
              </w:rPr>
              <w:t>。</w:t>
            </w:r>
          </w:p>
        </w:tc>
      </w:tr>
    </w:tbl>
    <w:p w14:paraId="1494414F">
      <w:pPr>
        <w:snapToGrid w:val="0"/>
        <w:spacing w:line="440" w:lineRule="exact"/>
        <w:ind w:firstLine="480" w:firstLineChars="200"/>
        <w:rPr>
          <w:rFonts w:cs="宋体" w:asciiTheme="majorEastAsia" w:hAnsiTheme="majorEastAsia" w:eastAsiaTheme="majorEastAsia"/>
          <w:color w:val="auto"/>
          <w:sz w:val="24"/>
          <w:highlight w:val="none"/>
        </w:rPr>
      </w:pPr>
      <w:r>
        <w:rPr>
          <w:rFonts w:hint="eastAsia" w:cs="宋体" w:asciiTheme="majorEastAsia" w:hAnsiTheme="majorEastAsia" w:eastAsiaTheme="majorEastAsia"/>
          <w:color w:val="auto"/>
          <w:sz w:val="24"/>
          <w:highlight w:val="none"/>
        </w:rPr>
        <w:br w:type="page"/>
      </w:r>
    </w:p>
    <w:p w14:paraId="2F8B28E2">
      <w:pPr>
        <w:snapToGrid w:val="0"/>
        <w:spacing w:line="440" w:lineRule="exact"/>
        <w:ind w:firstLine="440" w:firstLineChars="200"/>
        <w:rPr>
          <w:rFonts w:ascii="宋体" w:hAnsi="宋体" w:cs="宋体"/>
          <w:color w:val="auto"/>
          <w:sz w:val="22"/>
          <w:szCs w:val="22"/>
          <w:highlight w:val="none"/>
        </w:rPr>
        <w:sectPr>
          <w:footerReference r:id="rId5" w:type="default"/>
          <w:pgSz w:w="11907" w:h="16839"/>
          <w:pgMar w:top="1429" w:right="1785" w:bottom="1429" w:left="1785" w:header="0" w:footer="1202" w:gutter="0"/>
          <w:cols w:space="720" w:num="1"/>
        </w:sectPr>
      </w:pPr>
    </w:p>
    <w:p w14:paraId="2CB87AAB">
      <w:pPr>
        <w:snapToGrid w:val="0"/>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第四章  评审方法和程序</w:t>
      </w:r>
    </w:p>
    <w:p w14:paraId="78141741">
      <w:pPr>
        <w:tabs>
          <w:tab w:val="left" w:pos="1050"/>
          <w:tab w:val="right" w:leader="dot" w:pos="9402"/>
        </w:tabs>
        <w:spacing w:line="360" w:lineRule="auto"/>
        <w:ind w:firstLine="482" w:firstLineChars="200"/>
        <w:jc w:val="left"/>
        <w:rPr>
          <w:rFonts w:hint="eastAsia" w:ascii="宋体" w:hAnsi="宋体" w:cs="宋体"/>
          <w:b/>
          <w:bCs w:val="0"/>
          <w:color w:val="auto"/>
          <w:sz w:val="24"/>
          <w:highlight w:val="none"/>
        </w:rPr>
      </w:pPr>
      <w:r>
        <w:rPr>
          <w:rFonts w:hint="eastAsia" w:ascii="宋体" w:hAnsi="宋体" w:cs="宋体"/>
          <w:b/>
          <w:bCs w:val="0"/>
          <w:color w:val="auto"/>
          <w:sz w:val="24"/>
          <w:highlight w:val="none"/>
        </w:rPr>
        <w:t>一、评标程序：资格确认→商务标开标及评审→确定中标候选人</w:t>
      </w:r>
    </w:p>
    <w:p w14:paraId="35CD1213">
      <w:pPr>
        <w:tabs>
          <w:tab w:val="left" w:pos="1050"/>
          <w:tab w:val="right" w:leader="dot" w:pos="9402"/>
        </w:tabs>
        <w:spacing w:line="360" w:lineRule="auto"/>
        <w:ind w:firstLine="482" w:firstLineChars="200"/>
        <w:jc w:val="left"/>
        <w:rPr>
          <w:rFonts w:hint="eastAsia" w:ascii="宋体" w:hAnsi="宋体" w:cs="宋体"/>
          <w:b/>
          <w:bCs w:val="0"/>
          <w:color w:val="auto"/>
          <w:sz w:val="24"/>
          <w:highlight w:val="none"/>
        </w:rPr>
      </w:pPr>
      <w:r>
        <w:rPr>
          <w:rFonts w:hint="eastAsia" w:ascii="宋体" w:hAnsi="宋体" w:cs="宋体"/>
          <w:b/>
          <w:bCs w:val="0"/>
          <w:color w:val="auto"/>
          <w:sz w:val="24"/>
          <w:highlight w:val="none"/>
        </w:rPr>
        <w:t>二、资格确认</w:t>
      </w:r>
    </w:p>
    <w:p w14:paraId="173B2751">
      <w:pPr>
        <w:tabs>
          <w:tab w:val="left" w:pos="1050"/>
          <w:tab w:val="right" w:leader="dot" w:pos="9402"/>
        </w:tabs>
        <w:spacing w:line="360" w:lineRule="auto"/>
        <w:ind w:firstLine="482" w:firstLineChars="200"/>
        <w:jc w:val="left"/>
        <w:rPr>
          <w:rFonts w:hint="eastAsia" w:ascii="宋体" w:hAnsi="宋体" w:cs="宋体"/>
          <w:b/>
          <w:bCs w:val="0"/>
          <w:color w:val="auto"/>
          <w:sz w:val="24"/>
          <w:highlight w:val="none"/>
        </w:rPr>
      </w:pPr>
      <w:r>
        <w:rPr>
          <w:rFonts w:hint="eastAsia" w:ascii="宋体" w:hAnsi="宋体" w:cs="宋体"/>
          <w:b/>
          <w:bCs w:val="0"/>
          <w:color w:val="auto"/>
          <w:sz w:val="24"/>
          <w:highlight w:val="none"/>
        </w:rPr>
        <w:t>评标委员会将按评审因素和评审标准、资格评审标准的合格条件，对各投标人递交的资格确认文件进行评审。</w:t>
      </w:r>
    </w:p>
    <w:p w14:paraId="23C44088">
      <w:pPr>
        <w:tabs>
          <w:tab w:val="left" w:pos="1050"/>
          <w:tab w:val="right" w:leader="dot" w:pos="9402"/>
        </w:tabs>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本次资格确认采用合格制，各投标人只有满足资格确认必要合格条件后，且根据招标文件相关规定，方可进入商务标评审。</w:t>
      </w:r>
      <w:bookmarkStart w:id="6" w:name="_Toc10591"/>
    </w:p>
    <w:p w14:paraId="24473753">
      <w:pPr>
        <w:tabs>
          <w:tab w:val="left" w:pos="1050"/>
          <w:tab w:val="right" w:leader="dot" w:pos="9402"/>
        </w:tabs>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资格确认标准汇总表</w:t>
      </w:r>
      <w:bookmarkEnd w:id="6"/>
    </w:p>
    <w:tbl>
      <w:tblPr>
        <w:tblStyle w:val="22"/>
        <w:tblW w:w="867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77"/>
        <w:gridCol w:w="2108"/>
        <w:gridCol w:w="2860"/>
        <w:gridCol w:w="3133"/>
      </w:tblGrid>
      <w:tr w14:paraId="7B079A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2" w:hRule="atLeast"/>
          <w:tblCellSpacing w:w="0" w:type="dxa"/>
          <w:jc w:val="center"/>
        </w:trPr>
        <w:tc>
          <w:tcPr>
            <w:tcW w:w="577" w:type="dxa"/>
            <w:tcBorders>
              <w:top w:val="outset" w:color="auto" w:sz="6" w:space="0"/>
              <w:left w:val="outset" w:color="auto" w:sz="6" w:space="0"/>
              <w:bottom w:val="outset" w:color="auto" w:sz="6" w:space="0"/>
              <w:right w:val="outset" w:color="auto" w:sz="6" w:space="0"/>
            </w:tcBorders>
            <w:vAlign w:val="center"/>
          </w:tcPr>
          <w:p w14:paraId="5B224152">
            <w:pPr>
              <w:widowControl/>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108" w:type="dxa"/>
            <w:tcBorders>
              <w:top w:val="outset" w:color="auto" w:sz="6" w:space="0"/>
              <w:left w:val="outset" w:color="auto" w:sz="6" w:space="0"/>
              <w:bottom w:val="outset" w:color="auto" w:sz="6" w:space="0"/>
              <w:right w:val="outset" w:color="auto" w:sz="6" w:space="0"/>
            </w:tcBorders>
            <w:vAlign w:val="center"/>
          </w:tcPr>
          <w:p w14:paraId="4C30BC48">
            <w:pPr>
              <w:widowControl/>
              <w:spacing w:line="360" w:lineRule="auto"/>
              <w:ind w:firstLine="217" w:firstLineChars="90"/>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项目内容</w:t>
            </w:r>
          </w:p>
        </w:tc>
        <w:tc>
          <w:tcPr>
            <w:tcW w:w="2860" w:type="dxa"/>
            <w:tcBorders>
              <w:top w:val="outset" w:color="auto" w:sz="6" w:space="0"/>
              <w:left w:val="outset" w:color="auto" w:sz="6" w:space="0"/>
              <w:bottom w:val="outset" w:color="auto" w:sz="6" w:space="0"/>
              <w:right w:val="outset" w:color="auto" w:sz="6" w:space="0"/>
            </w:tcBorders>
            <w:vAlign w:val="center"/>
          </w:tcPr>
          <w:p w14:paraId="04B3F9AA">
            <w:pPr>
              <w:widowControl/>
              <w:spacing w:line="360" w:lineRule="auto"/>
              <w:ind w:firstLine="44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合格条件</w:t>
            </w:r>
          </w:p>
        </w:tc>
        <w:tc>
          <w:tcPr>
            <w:tcW w:w="3133" w:type="dxa"/>
            <w:tcBorders>
              <w:top w:val="outset" w:color="auto" w:sz="6" w:space="0"/>
              <w:left w:val="outset" w:color="auto" w:sz="6" w:space="0"/>
              <w:bottom w:val="outset" w:color="auto" w:sz="6" w:space="0"/>
              <w:right w:val="outset" w:color="auto" w:sz="6" w:space="0"/>
            </w:tcBorders>
            <w:vAlign w:val="center"/>
          </w:tcPr>
          <w:p w14:paraId="077DAAA1">
            <w:pPr>
              <w:widowControl/>
              <w:spacing w:line="360" w:lineRule="auto"/>
              <w:ind w:firstLine="44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投标人需提供的材料</w:t>
            </w:r>
          </w:p>
        </w:tc>
      </w:tr>
      <w:tr w14:paraId="5EBB6B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68" w:hRule="atLeast"/>
          <w:tblCellSpacing w:w="0" w:type="dxa"/>
          <w:jc w:val="center"/>
        </w:trPr>
        <w:tc>
          <w:tcPr>
            <w:tcW w:w="577" w:type="dxa"/>
            <w:tcBorders>
              <w:top w:val="outset" w:color="auto" w:sz="6" w:space="0"/>
              <w:left w:val="outset" w:color="auto" w:sz="6" w:space="0"/>
              <w:bottom w:val="outset" w:color="auto" w:sz="6" w:space="0"/>
              <w:right w:val="outset" w:color="auto" w:sz="6" w:space="0"/>
            </w:tcBorders>
            <w:vAlign w:val="center"/>
          </w:tcPr>
          <w:p w14:paraId="6DD18DBC">
            <w:pPr>
              <w:widowControl/>
              <w:spacing w:line="360" w:lineRule="auto"/>
              <w:ind w:firstLine="216" w:firstLineChars="90"/>
              <w:jc w:val="center"/>
              <w:rPr>
                <w:rFonts w:hint="eastAsia" w:ascii="宋体" w:hAnsi="宋体" w:cs="宋体"/>
                <w:color w:val="auto"/>
                <w:sz w:val="24"/>
                <w:highlight w:val="none"/>
              </w:rPr>
            </w:pPr>
            <w:r>
              <w:rPr>
                <w:rFonts w:hint="eastAsia" w:ascii="宋体" w:hAnsi="宋体" w:cs="宋体"/>
                <w:color w:val="auto"/>
                <w:kern w:val="0"/>
                <w:sz w:val="24"/>
                <w:highlight w:val="none"/>
              </w:rPr>
              <w:t>1</w:t>
            </w:r>
          </w:p>
        </w:tc>
        <w:tc>
          <w:tcPr>
            <w:tcW w:w="2108" w:type="dxa"/>
            <w:tcBorders>
              <w:top w:val="outset" w:color="auto" w:sz="6" w:space="0"/>
              <w:left w:val="outset" w:color="auto" w:sz="6" w:space="0"/>
              <w:bottom w:val="outset" w:color="auto" w:sz="6" w:space="0"/>
              <w:right w:val="outset" w:color="auto" w:sz="6" w:space="0"/>
            </w:tcBorders>
            <w:vAlign w:val="center"/>
          </w:tcPr>
          <w:p w14:paraId="1B375D8F">
            <w:pPr>
              <w:widowControl/>
              <w:spacing w:line="360" w:lineRule="auto"/>
              <w:jc w:val="left"/>
              <w:rPr>
                <w:rFonts w:hint="eastAsia" w:ascii="宋体" w:hAnsi="宋体" w:cs="宋体"/>
                <w:color w:val="auto"/>
                <w:sz w:val="24"/>
                <w:highlight w:val="none"/>
              </w:rPr>
            </w:pPr>
            <w:r>
              <w:rPr>
                <w:rFonts w:hint="eastAsia" w:ascii="宋体" w:hAnsi="宋体" w:cs="宋体"/>
                <w:bCs/>
                <w:color w:val="auto"/>
                <w:sz w:val="24"/>
                <w:highlight w:val="none"/>
              </w:rPr>
              <w:t>法定代表人身份证明或法定代表人授权委托书（如有授权）</w:t>
            </w:r>
          </w:p>
        </w:tc>
        <w:tc>
          <w:tcPr>
            <w:tcW w:w="2860" w:type="dxa"/>
            <w:tcBorders>
              <w:top w:val="outset" w:color="auto" w:sz="6" w:space="0"/>
              <w:left w:val="outset" w:color="auto" w:sz="6" w:space="0"/>
              <w:bottom w:val="outset" w:color="auto" w:sz="6" w:space="0"/>
              <w:right w:val="outset" w:color="auto" w:sz="6" w:space="0"/>
            </w:tcBorders>
            <w:vAlign w:val="center"/>
          </w:tcPr>
          <w:p w14:paraId="360CFEF5">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法定代表人身份证明或法定代表人授权委托书（如有授权）</w:t>
            </w:r>
          </w:p>
        </w:tc>
        <w:tc>
          <w:tcPr>
            <w:tcW w:w="3133" w:type="dxa"/>
            <w:tcBorders>
              <w:top w:val="outset" w:color="auto" w:sz="6" w:space="0"/>
              <w:left w:val="outset" w:color="auto" w:sz="6" w:space="0"/>
              <w:bottom w:val="outset" w:color="auto" w:sz="6" w:space="0"/>
              <w:right w:val="outset" w:color="auto" w:sz="6" w:space="0"/>
            </w:tcBorders>
            <w:vAlign w:val="center"/>
          </w:tcPr>
          <w:p w14:paraId="2B9DC5D6">
            <w:pPr>
              <w:spacing w:line="360" w:lineRule="auto"/>
              <w:jc w:val="left"/>
              <w:rPr>
                <w:rFonts w:hint="eastAsia" w:ascii="宋体" w:hAnsi="宋体" w:cs="宋体"/>
                <w:color w:val="auto"/>
                <w:sz w:val="24"/>
                <w:highlight w:val="none"/>
              </w:rPr>
            </w:pPr>
            <w:r>
              <w:rPr>
                <w:rFonts w:hint="eastAsia" w:ascii="宋体" w:hAnsi="宋体" w:cs="宋体"/>
                <w:bCs/>
                <w:color w:val="auto"/>
                <w:sz w:val="24"/>
                <w:highlight w:val="none"/>
              </w:rPr>
              <w:t>供应商法定代表人参加投标的，必须提供法定代表人身份证明及法定代表人本人身份证复印件；非法定代表人参加投标的，必须提供法定代表人签字或盖章的授权委托书及法定代表人、被授权人的两人身份证的复印件（格式参见第</w:t>
            </w:r>
            <w:r>
              <w:rPr>
                <w:rFonts w:hint="eastAsia" w:ascii="宋体" w:hAnsi="宋体" w:cs="宋体"/>
                <w:bCs/>
                <w:color w:val="auto"/>
                <w:sz w:val="24"/>
                <w:highlight w:val="none"/>
                <w:lang w:val="en-US" w:eastAsia="zh-CN"/>
              </w:rPr>
              <w:t>v</w:t>
            </w:r>
            <w:r>
              <w:rPr>
                <w:rFonts w:hint="eastAsia" w:ascii="宋体" w:hAnsi="宋体" w:cs="宋体"/>
                <w:bCs/>
                <w:color w:val="auto"/>
                <w:sz w:val="24"/>
                <w:highlight w:val="none"/>
              </w:rPr>
              <w:t>章）</w:t>
            </w:r>
          </w:p>
        </w:tc>
      </w:tr>
      <w:tr w14:paraId="18491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8" w:hRule="atLeast"/>
          <w:tblCellSpacing w:w="0" w:type="dxa"/>
          <w:jc w:val="center"/>
        </w:trPr>
        <w:tc>
          <w:tcPr>
            <w:tcW w:w="577" w:type="dxa"/>
            <w:tcBorders>
              <w:top w:val="outset" w:color="auto" w:sz="6" w:space="0"/>
              <w:left w:val="outset" w:color="auto" w:sz="6" w:space="0"/>
              <w:bottom w:val="outset" w:color="auto" w:sz="6" w:space="0"/>
              <w:right w:val="outset" w:color="auto" w:sz="6" w:space="0"/>
            </w:tcBorders>
            <w:vAlign w:val="center"/>
          </w:tcPr>
          <w:p w14:paraId="5717CF4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108" w:type="dxa"/>
            <w:tcBorders>
              <w:top w:val="outset" w:color="auto" w:sz="6" w:space="0"/>
              <w:left w:val="outset" w:color="auto" w:sz="6" w:space="0"/>
              <w:bottom w:val="outset" w:color="auto" w:sz="6" w:space="0"/>
              <w:right w:val="outset" w:color="auto" w:sz="6" w:space="0"/>
            </w:tcBorders>
            <w:vAlign w:val="center"/>
          </w:tcPr>
          <w:p w14:paraId="47780FCA">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具有独立订立合同</w:t>
            </w:r>
          </w:p>
          <w:p w14:paraId="6402A447">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的能力</w:t>
            </w:r>
          </w:p>
        </w:tc>
        <w:tc>
          <w:tcPr>
            <w:tcW w:w="2860" w:type="dxa"/>
            <w:tcBorders>
              <w:top w:val="outset" w:color="auto" w:sz="6" w:space="0"/>
              <w:left w:val="outset" w:color="auto" w:sz="6" w:space="0"/>
              <w:bottom w:val="outset" w:color="auto" w:sz="6" w:space="0"/>
              <w:right w:val="outset" w:color="auto" w:sz="6" w:space="0"/>
            </w:tcBorders>
            <w:vAlign w:val="center"/>
          </w:tcPr>
          <w:p w14:paraId="54652736">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有能力按本招标文件规定的要求提供相关服务能力</w:t>
            </w:r>
          </w:p>
        </w:tc>
        <w:tc>
          <w:tcPr>
            <w:tcW w:w="3133" w:type="dxa"/>
            <w:tcBorders>
              <w:top w:val="outset" w:color="auto" w:sz="6" w:space="0"/>
              <w:left w:val="outset" w:color="auto" w:sz="6" w:space="0"/>
              <w:bottom w:val="outset" w:color="auto" w:sz="6" w:space="0"/>
              <w:right w:val="outset" w:color="auto" w:sz="6" w:space="0"/>
            </w:tcBorders>
            <w:vAlign w:val="center"/>
          </w:tcPr>
          <w:p w14:paraId="479E2047">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有效的营业执照。</w:t>
            </w:r>
          </w:p>
        </w:tc>
      </w:tr>
      <w:tr w14:paraId="2B4E2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23" w:hRule="atLeast"/>
          <w:tblCellSpacing w:w="0" w:type="dxa"/>
          <w:jc w:val="center"/>
        </w:trPr>
        <w:tc>
          <w:tcPr>
            <w:tcW w:w="577" w:type="dxa"/>
            <w:tcBorders>
              <w:top w:val="outset" w:color="auto" w:sz="6" w:space="0"/>
              <w:left w:val="outset" w:color="auto" w:sz="6" w:space="0"/>
              <w:bottom w:val="outset" w:color="auto" w:sz="6" w:space="0"/>
              <w:right w:val="outset" w:color="auto" w:sz="6" w:space="0"/>
            </w:tcBorders>
            <w:vAlign w:val="center"/>
          </w:tcPr>
          <w:p w14:paraId="484D5E2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108" w:type="dxa"/>
            <w:tcBorders>
              <w:top w:val="outset" w:color="auto" w:sz="6" w:space="0"/>
              <w:left w:val="outset" w:color="auto" w:sz="6" w:space="0"/>
              <w:bottom w:val="outset" w:color="auto" w:sz="6" w:space="0"/>
              <w:right w:val="outset" w:color="auto" w:sz="6" w:space="0"/>
            </w:tcBorders>
            <w:vAlign w:val="center"/>
          </w:tcPr>
          <w:p w14:paraId="5B222C3A">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无重大违法记录声明函</w:t>
            </w:r>
          </w:p>
        </w:tc>
        <w:tc>
          <w:tcPr>
            <w:tcW w:w="2860" w:type="dxa"/>
            <w:tcBorders>
              <w:top w:val="outset" w:color="auto" w:sz="6" w:space="0"/>
              <w:left w:val="outset" w:color="auto" w:sz="6" w:space="0"/>
              <w:bottom w:val="outset" w:color="auto" w:sz="6" w:space="0"/>
              <w:right w:val="outset" w:color="auto" w:sz="6" w:space="0"/>
            </w:tcBorders>
            <w:vAlign w:val="center"/>
          </w:tcPr>
          <w:p w14:paraId="49078509">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供应商须提供参与本次项目采购活动前三年内，在经营活动中没有重大违法记录的《无重大违法记录声明函》</w:t>
            </w:r>
          </w:p>
        </w:tc>
        <w:tc>
          <w:tcPr>
            <w:tcW w:w="3133" w:type="dxa"/>
            <w:tcBorders>
              <w:top w:val="outset" w:color="auto" w:sz="6" w:space="0"/>
              <w:left w:val="outset" w:color="auto" w:sz="6" w:space="0"/>
              <w:bottom w:val="outset" w:color="auto" w:sz="6" w:space="0"/>
              <w:right w:val="outset" w:color="auto" w:sz="6" w:space="0"/>
            </w:tcBorders>
            <w:vAlign w:val="center"/>
          </w:tcPr>
          <w:p w14:paraId="40878D8D">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《无重大违法记录声明函》（格式参见第</w:t>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章）</w:t>
            </w:r>
          </w:p>
        </w:tc>
      </w:tr>
      <w:tr w14:paraId="77B516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2" w:hRule="atLeast"/>
          <w:tblCellSpacing w:w="0" w:type="dxa"/>
          <w:jc w:val="center"/>
        </w:trPr>
        <w:tc>
          <w:tcPr>
            <w:tcW w:w="577" w:type="dxa"/>
            <w:tcBorders>
              <w:top w:val="outset" w:color="auto" w:sz="6" w:space="0"/>
              <w:left w:val="outset" w:color="auto" w:sz="6" w:space="0"/>
              <w:bottom w:val="outset" w:color="auto" w:sz="6" w:space="0"/>
              <w:right w:val="outset" w:color="auto" w:sz="6" w:space="0"/>
            </w:tcBorders>
            <w:vAlign w:val="center"/>
          </w:tcPr>
          <w:p w14:paraId="70501114">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108" w:type="dxa"/>
            <w:tcBorders>
              <w:top w:val="outset" w:color="auto" w:sz="6" w:space="0"/>
              <w:left w:val="outset" w:color="auto" w:sz="6" w:space="0"/>
              <w:bottom w:val="outset" w:color="auto" w:sz="6" w:space="0"/>
              <w:right w:val="outset" w:color="auto" w:sz="6" w:space="0"/>
            </w:tcBorders>
            <w:vAlign w:val="center"/>
          </w:tcPr>
          <w:p w14:paraId="4AAC29B2">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关于资格文件的声明函</w:t>
            </w:r>
          </w:p>
        </w:tc>
        <w:tc>
          <w:tcPr>
            <w:tcW w:w="2860" w:type="dxa"/>
            <w:tcBorders>
              <w:top w:val="outset" w:color="auto" w:sz="6" w:space="0"/>
              <w:left w:val="outset" w:color="auto" w:sz="6" w:space="0"/>
              <w:bottom w:val="outset" w:color="auto" w:sz="6" w:space="0"/>
              <w:right w:val="outset" w:color="auto" w:sz="6" w:space="0"/>
            </w:tcBorders>
            <w:vAlign w:val="center"/>
          </w:tcPr>
          <w:p w14:paraId="49C86E33">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关于资格文件的声明函</w:t>
            </w:r>
          </w:p>
        </w:tc>
        <w:tc>
          <w:tcPr>
            <w:tcW w:w="3133" w:type="dxa"/>
            <w:tcBorders>
              <w:top w:val="outset" w:color="auto" w:sz="6" w:space="0"/>
              <w:left w:val="outset" w:color="auto" w:sz="6" w:space="0"/>
              <w:bottom w:val="outset" w:color="auto" w:sz="6" w:space="0"/>
              <w:right w:val="outset" w:color="auto" w:sz="6" w:space="0"/>
            </w:tcBorders>
            <w:vAlign w:val="center"/>
          </w:tcPr>
          <w:p w14:paraId="293880E2">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关于资格文件的声明函（格式参见第</w:t>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章）</w:t>
            </w:r>
          </w:p>
        </w:tc>
      </w:tr>
      <w:tr w14:paraId="26888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95" w:hRule="atLeast"/>
          <w:tblCellSpacing w:w="0" w:type="dxa"/>
          <w:jc w:val="center"/>
        </w:trPr>
        <w:tc>
          <w:tcPr>
            <w:tcW w:w="577" w:type="dxa"/>
            <w:tcBorders>
              <w:top w:val="outset" w:color="auto" w:sz="6" w:space="0"/>
              <w:left w:val="outset" w:color="auto" w:sz="6" w:space="0"/>
              <w:bottom w:val="outset" w:color="auto" w:sz="6" w:space="0"/>
              <w:right w:val="outset" w:color="auto" w:sz="6" w:space="0"/>
            </w:tcBorders>
            <w:vAlign w:val="center"/>
          </w:tcPr>
          <w:p w14:paraId="7922646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108" w:type="dxa"/>
            <w:tcBorders>
              <w:top w:val="outset" w:color="auto" w:sz="6" w:space="0"/>
              <w:left w:val="outset" w:color="auto" w:sz="6" w:space="0"/>
              <w:bottom w:val="outset" w:color="auto" w:sz="6" w:space="0"/>
              <w:right w:val="outset" w:color="auto" w:sz="6" w:space="0"/>
            </w:tcBorders>
            <w:vAlign w:val="center"/>
          </w:tcPr>
          <w:p w14:paraId="3773434D">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诚信承诺书</w:t>
            </w:r>
          </w:p>
        </w:tc>
        <w:tc>
          <w:tcPr>
            <w:tcW w:w="2860" w:type="dxa"/>
            <w:tcBorders>
              <w:top w:val="outset" w:color="auto" w:sz="6" w:space="0"/>
              <w:left w:val="outset" w:color="auto" w:sz="6" w:space="0"/>
              <w:bottom w:val="outset" w:color="auto" w:sz="6" w:space="0"/>
              <w:right w:val="outset" w:color="auto" w:sz="6" w:space="0"/>
            </w:tcBorders>
            <w:vAlign w:val="center"/>
          </w:tcPr>
          <w:p w14:paraId="5BE9A023">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诚信承诺书</w:t>
            </w:r>
          </w:p>
        </w:tc>
        <w:tc>
          <w:tcPr>
            <w:tcW w:w="3133" w:type="dxa"/>
            <w:tcBorders>
              <w:top w:val="outset" w:color="auto" w:sz="6" w:space="0"/>
              <w:left w:val="outset" w:color="auto" w:sz="6" w:space="0"/>
              <w:bottom w:val="outset" w:color="auto" w:sz="6" w:space="0"/>
              <w:right w:val="outset" w:color="auto" w:sz="6" w:space="0"/>
            </w:tcBorders>
            <w:vAlign w:val="center"/>
          </w:tcPr>
          <w:p w14:paraId="2CB13D47">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诚信承诺书（格式参见第</w:t>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章）</w:t>
            </w:r>
          </w:p>
        </w:tc>
      </w:tr>
      <w:tr w14:paraId="32A40F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85" w:hRule="atLeast"/>
          <w:tblCellSpacing w:w="0" w:type="dxa"/>
          <w:jc w:val="center"/>
        </w:trPr>
        <w:tc>
          <w:tcPr>
            <w:tcW w:w="8678" w:type="dxa"/>
            <w:gridSpan w:val="4"/>
            <w:tcBorders>
              <w:top w:val="outset" w:color="auto" w:sz="6" w:space="0"/>
              <w:left w:val="outset" w:color="auto" w:sz="6" w:space="0"/>
              <w:bottom w:val="outset" w:color="auto" w:sz="6" w:space="0"/>
              <w:right w:val="outset" w:color="auto" w:sz="6" w:space="0"/>
            </w:tcBorders>
            <w:vAlign w:val="center"/>
          </w:tcPr>
          <w:p w14:paraId="5F00D97A">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p w14:paraId="3EA40326">
            <w:pPr>
              <w:widowControl/>
              <w:shd w:val="clear" w:color="auto" w:fill="FFFFFF"/>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①若在评审过程中，发现提供资格确认材料虚假，则资格确认不通过。以上1-5中任何一条不符合要求，则资格确认不通过。</w:t>
            </w:r>
          </w:p>
          <w:p w14:paraId="35199CE0">
            <w:pPr>
              <w:widowControl/>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rPr>
              <w:t>②如法人名称和法定代表人姓名发生变化，请提供相关证明；证书如遇年检，请提供相关证明。否则，资格确认不通过。</w:t>
            </w:r>
          </w:p>
        </w:tc>
      </w:tr>
    </w:tbl>
    <w:p w14:paraId="5AF637D8">
      <w:pPr>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三、商务标评审</w:t>
      </w:r>
    </w:p>
    <w:p w14:paraId="32C93136">
      <w:pPr>
        <w:tabs>
          <w:tab w:val="left" w:pos="1050"/>
          <w:tab w:val="right" w:leader="dot" w:pos="9402"/>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2、项目投标报价最高限价为</w:t>
      </w:r>
      <w:r>
        <w:rPr>
          <w:rFonts w:hint="eastAsia" w:ascii="宋体" w:hAnsi="宋体" w:cs="宋体"/>
          <w:b/>
          <w:bCs/>
          <w:color w:val="auto"/>
          <w:sz w:val="24"/>
          <w:highlight w:val="none"/>
          <w:u w:val="single"/>
        </w:rPr>
        <w:t>人民币</w:t>
      </w:r>
      <w:r>
        <w:rPr>
          <w:rFonts w:hint="eastAsia" w:ascii="宋体" w:hAnsi="宋体" w:cs="宋体"/>
          <w:b/>
          <w:bCs/>
          <w:color w:val="auto"/>
          <w:sz w:val="24"/>
          <w:highlight w:val="none"/>
          <w:u w:val="single"/>
          <w:lang w:val="en-US" w:eastAsia="zh-CN"/>
        </w:rPr>
        <w:t>100000</w:t>
      </w:r>
      <w:r>
        <w:rPr>
          <w:rFonts w:hint="eastAsia" w:ascii="宋体" w:hAnsi="宋体" w:cs="宋体"/>
          <w:b/>
          <w:bCs/>
          <w:color w:val="auto"/>
          <w:sz w:val="24"/>
          <w:highlight w:val="none"/>
          <w:u w:val="single"/>
        </w:rPr>
        <w:t>元</w:t>
      </w:r>
      <w:r>
        <w:rPr>
          <w:rFonts w:hint="eastAsia" w:ascii="宋体" w:hAnsi="宋体" w:cs="宋体"/>
          <w:color w:val="auto"/>
          <w:sz w:val="24"/>
          <w:highlight w:val="none"/>
        </w:rPr>
        <w:t>，</w:t>
      </w:r>
      <w:r>
        <w:rPr>
          <w:rFonts w:hint="eastAsia" w:ascii="宋体" w:hAnsi="宋体" w:cs="宋体"/>
          <w:bCs/>
          <w:color w:val="auto"/>
          <w:sz w:val="24"/>
          <w:highlight w:val="none"/>
        </w:rPr>
        <w:t>投标报价不高于最高限价的各投标人的投标报价</w:t>
      </w:r>
      <w:r>
        <w:rPr>
          <w:rFonts w:hint="eastAsia" w:ascii="宋体" w:hAnsi="宋体" w:cs="宋体"/>
          <w:color w:val="auto"/>
          <w:sz w:val="24"/>
          <w:highlight w:val="none"/>
        </w:rPr>
        <w:t>为有效报价，高于最高限价为无效标处理。</w:t>
      </w:r>
    </w:p>
    <w:p w14:paraId="6B71B2FD">
      <w:pPr>
        <w:tabs>
          <w:tab w:val="left" w:pos="1050"/>
          <w:tab w:val="right" w:leader="dot" w:pos="9402"/>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2、各供应商的有效报价依次从低到高排序，推荐</w:t>
      </w:r>
      <w:r>
        <w:rPr>
          <w:rFonts w:hint="eastAsia" w:ascii="宋体" w:hAnsi="宋体" w:cs="宋体"/>
          <w:b/>
          <w:bCs/>
          <w:color w:val="auto"/>
          <w:sz w:val="24"/>
          <w:highlight w:val="none"/>
        </w:rPr>
        <w:t>最低报价</w:t>
      </w:r>
      <w:r>
        <w:rPr>
          <w:rFonts w:hint="eastAsia" w:ascii="宋体" w:hAnsi="宋体" w:cs="宋体"/>
          <w:color w:val="auto"/>
          <w:sz w:val="24"/>
          <w:highlight w:val="none"/>
        </w:rPr>
        <w:t>的供应商为第一中标候选人，依次类推，推荐第二中标候选人、第三中标候选人。若出现报价相同情况时，则由采购人现场抽签确定中标候选人。</w:t>
      </w:r>
    </w:p>
    <w:p w14:paraId="03EC93F7">
      <w:pPr>
        <w:tabs>
          <w:tab w:val="left" w:pos="1050"/>
          <w:tab w:val="right" w:leader="dot" w:pos="9402"/>
        </w:tabs>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四、确定中标候选人</w:t>
      </w:r>
    </w:p>
    <w:p w14:paraId="25F52E8B">
      <w:pPr>
        <w:tabs>
          <w:tab w:val="left" w:pos="1050"/>
          <w:tab w:val="right" w:leader="dot" w:pos="9402"/>
        </w:tabs>
        <w:spacing w:line="360" w:lineRule="auto"/>
        <w:ind w:firstLine="480" w:firstLineChars="200"/>
        <w:jc w:val="left"/>
        <w:rPr>
          <w:rFonts w:hint="eastAsia" w:ascii="宋体" w:hAnsi="宋体" w:cs="宋体"/>
          <w:b/>
          <w:color w:val="auto"/>
          <w:sz w:val="24"/>
          <w:highlight w:val="none"/>
        </w:rPr>
      </w:pPr>
      <w:bookmarkStart w:id="7" w:name="_Hlk150767377"/>
      <w:r>
        <w:rPr>
          <w:rFonts w:hint="eastAsia" w:ascii="宋体" w:hAnsi="宋体" w:cs="宋体"/>
          <w:color w:val="auto"/>
          <w:sz w:val="24"/>
          <w:highlight w:val="none"/>
        </w:rPr>
        <w:t>1、</w:t>
      </w:r>
      <w:bookmarkEnd w:id="7"/>
      <w:r>
        <w:rPr>
          <w:rFonts w:hint="eastAsia" w:ascii="宋体" w:hAnsi="宋体" w:cs="宋体"/>
          <w:color w:val="auto"/>
          <w:sz w:val="24"/>
          <w:highlight w:val="none"/>
        </w:rPr>
        <w:t>本项目第一中标候选人原则上为中标供应商。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供应商，也可以重新招标。</w:t>
      </w:r>
    </w:p>
    <w:p w14:paraId="4A074CBB">
      <w:pPr>
        <w:snapToGrid w:val="0"/>
        <w:spacing w:line="360" w:lineRule="auto"/>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2、评标过程中出现本评标办法未尽事宜，由评标委员会根据有关法律、法规讨论决定。</w:t>
      </w:r>
    </w:p>
    <w:p w14:paraId="1BE58BD7">
      <w:pPr>
        <w:tabs>
          <w:tab w:val="left" w:pos="1050"/>
          <w:tab w:val="right" w:leader="dot" w:pos="9402"/>
        </w:tabs>
        <w:spacing w:line="360" w:lineRule="auto"/>
        <w:ind w:firstLine="482" w:firstLineChars="200"/>
        <w:jc w:val="left"/>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五、其他</w:t>
      </w:r>
    </w:p>
    <w:p w14:paraId="489FBCE6">
      <w:pPr>
        <w:tabs>
          <w:tab w:val="left" w:pos="1050"/>
          <w:tab w:val="right" w:leader="dot" w:pos="9402"/>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若本次投标单位不足3家（或资格审查通过的单位不足3家或有效的投标单位不足3家)，按以下规定处理：</w:t>
      </w:r>
    </w:p>
    <w:p w14:paraId="65FEA7C3">
      <w:pPr>
        <w:tabs>
          <w:tab w:val="left" w:pos="1050"/>
          <w:tab w:val="right" w:leader="dot" w:pos="9402"/>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①如最终仅有2家投标单位（或仅有2家资格审查通过或仅有2家有效的投标单位），则直接进行竞争性谈判：</w:t>
      </w:r>
    </w:p>
    <w:p w14:paraId="10AD027B">
      <w:pPr>
        <w:tabs>
          <w:tab w:val="left" w:pos="1050"/>
          <w:tab w:val="right" w:leader="dot" w:pos="9402"/>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（1）资格审查通过后，开启商务标（作为各单位第一次报价，在第一次报价环节，不公布各单位第一次报价）；</w:t>
      </w:r>
    </w:p>
    <w:p w14:paraId="06816D24">
      <w:pPr>
        <w:tabs>
          <w:tab w:val="left" w:pos="1050"/>
          <w:tab w:val="right" w:leader="dot" w:pos="9402"/>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（2）由评标委员会与两家投标单位分别进行谈判，投标单位现场再进行一次报价，各投标单位第二次报价不得高于第一次报价(否则作无效标处理）；</w:t>
      </w:r>
    </w:p>
    <w:p w14:paraId="61DF7F03">
      <w:pPr>
        <w:tabs>
          <w:tab w:val="left" w:pos="1050"/>
          <w:tab w:val="right" w:leader="dot" w:pos="9402"/>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（3）经评标委员会评审，有效报价由低到高排名，推荐排名 1、2 的为中标候选人，同时由评标委员会确定第一中标候选人为本项目的中标人；</w:t>
      </w:r>
    </w:p>
    <w:p w14:paraId="521D298F">
      <w:pPr>
        <w:rPr>
          <w:rFonts w:hint="eastAsia" w:ascii="宋体" w:hAnsi="宋体"/>
          <w:b/>
          <w:color w:val="auto"/>
          <w:sz w:val="36"/>
          <w:szCs w:val="36"/>
          <w:highlight w:val="none"/>
        </w:rPr>
      </w:pPr>
      <w:r>
        <w:rPr>
          <w:rFonts w:hint="eastAsia" w:ascii="宋体" w:hAnsi="宋体"/>
          <w:b/>
          <w:color w:val="auto"/>
          <w:sz w:val="36"/>
          <w:szCs w:val="36"/>
          <w:highlight w:val="none"/>
        </w:rPr>
        <w:br w:type="page"/>
      </w:r>
    </w:p>
    <w:p w14:paraId="5E199475">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第五章  合同主要条款</w:t>
      </w:r>
    </w:p>
    <w:p w14:paraId="343ADC74">
      <w:pPr>
        <w:jc w:val="righ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合同号：</w:t>
      </w:r>
    </w:p>
    <w:p w14:paraId="2B70475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R24009（崇川区通京大道东、紫荷路南）地块</w:t>
      </w:r>
    </w:p>
    <w:p w14:paraId="0D6D59A1">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道路指示蓝牌制作安装</w:t>
      </w:r>
      <w:r>
        <w:rPr>
          <w:rFonts w:hint="eastAsia" w:ascii="宋体" w:hAnsi="宋体" w:eastAsia="宋体" w:cs="宋体"/>
          <w:b/>
          <w:bCs/>
          <w:color w:val="auto"/>
          <w:sz w:val="24"/>
          <w:szCs w:val="24"/>
          <w:highlight w:val="none"/>
        </w:rPr>
        <w:t>合同</w:t>
      </w:r>
    </w:p>
    <w:p w14:paraId="51A77C3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p>
    <w:p w14:paraId="289C3ED5">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地    址：</w:t>
      </w:r>
    </w:p>
    <w:p w14:paraId="0D2344C7">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    话：</w:t>
      </w:r>
    </w:p>
    <w:p w14:paraId="1D12402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245110</wp:posOffset>
                </wp:positionV>
                <wp:extent cx="5257800" cy="0"/>
                <wp:effectExtent l="0" t="4445" r="0" b="5080"/>
                <wp:wrapNone/>
                <wp:docPr id="8"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a:effectLst/>
                      </wps:spPr>
                      <wps:bodyPr/>
                    </wps:wsp>
                  </a:graphicData>
                </a:graphic>
              </wp:anchor>
            </w:drawing>
          </mc:Choice>
          <mc:Fallback>
            <w:pict>
              <v:line id="直接连接符 6" o:spid="_x0000_s1026" o:spt="20" style="position:absolute;left:0pt;margin-left:0pt;margin-top:19.3pt;height:0pt;width:414pt;z-index:251663360;mso-width-relative:page;mso-height-relative:page;" filled="f" stroked="t" coordsize="21600,21600" o:gfxdata="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2di/tMAAAAG&#10;AQAADwAAAAAAAAABACAAAAAiAAAAZHJzL2Rvd25yZXYueG1sUEsBAhQAFAAAAAgAh07iQOgE2nLo&#10;AQAAuAMAAA4AAAAAAAAAAQAgAAAAIgEAAGRycy9lMm9Eb2MueG1sUEsFBgAAAAAGAAYAWQEAAHwF&#10;AAAAAA==&#10;">
                <v:fill on="f" focussize="0,0"/>
                <v:stroke color="#000000" joinstyle="round"/>
                <v:imagedata o:title=""/>
                <o:lock v:ext="edit" aspectratio="f"/>
              </v:line>
            </w:pict>
          </mc:Fallback>
        </mc:AlternateContent>
      </w:r>
      <w:r>
        <w:rPr>
          <w:rFonts w:hint="eastAsia" w:ascii="宋体" w:hAnsi="宋体" w:eastAsia="宋体" w:cs="宋体"/>
          <w:bCs/>
          <w:color w:val="auto"/>
          <w:sz w:val="24"/>
          <w:szCs w:val="24"/>
          <w:highlight w:val="none"/>
        </w:rPr>
        <w:t>传    真：</w:t>
      </w:r>
    </w:p>
    <w:p w14:paraId="24E5DC9B">
      <w:pPr>
        <w:rPr>
          <w:rFonts w:hint="eastAsia" w:ascii="宋体" w:hAnsi="宋体" w:eastAsia="宋体" w:cs="宋体"/>
          <w:color w:val="auto"/>
          <w:sz w:val="24"/>
          <w:szCs w:val="24"/>
          <w:highlight w:val="none"/>
        </w:rPr>
      </w:pPr>
    </w:p>
    <w:p w14:paraId="603361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    方：</w:t>
      </w:r>
    </w:p>
    <w:p w14:paraId="2E26824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p>
    <w:p w14:paraId="165FE5B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p w14:paraId="77FB3D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p w14:paraId="7C8253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14:paraId="2EC789B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w:t>
      </w:r>
    </w:p>
    <w:p w14:paraId="37F9FFFA">
      <w:pPr>
        <w:rPr>
          <w:rFonts w:hint="eastAsia" w:ascii="宋体" w:hAnsi="宋体" w:eastAsia="宋体" w:cs="宋体"/>
          <w:b/>
          <w:bCs/>
          <w:color w:val="auto"/>
          <w:sz w:val="24"/>
          <w:szCs w:val="24"/>
          <w:highlight w:val="none"/>
        </w:rPr>
      </w:pPr>
    </w:p>
    <w:p w14:paraId="0CDDE7E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甲、乙双方本着平等互利的原则，经过友好协商达成以下协议：</w:t>
      </w:r>
    </w:p>
    <w:p w14:paraId="3816205F">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第一条  业务名称：道路指示蓝牌制作安装</w:t>
      </w:r>
    </w:p>
    <w:p w14:paraId="43E4B0BB">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 xml:space="preserve">第二条  </w:t>
      </w:r>
      <w:r>
        <w:rPr>
          <w:rFonts w:hint="eastAsia" w:ascii="宋体" w:hAnsi="宋体" w:eastAsia="宋体" w:cs="宋体"/>
          <w:b/>
          <w:color w:val="auto"/>
          <w:sz w:val="24"/>
          <w:szCs w:val="24"/>
          <w:highlight w:val="none"/>
          <w:lang w:val="en-US" w:eastAsia="zh-CN"/>
        </w:rPr>
        <w:t>制作要求</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lang w:val="en-US" w:eastAsia="zh-CN"/>
        </w:rPr>
        <w:t>具体以甲方沟通为准</w:t>
      </w:r>
    </w:p>
    <w:p w14:paraId="341952AF">
      <w:pPr>
        <w:numPr>
          <w:ilvl w:val="0"/>
          <w:numId w:val="2"/>
        </w:numP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合同金额：</w:t>
      </w:r>
    </w:p>
    <w:p w14:paraId="7EDAD4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本合同含税价格：</w:t>
      </w:r>
      <w:r>
        <w:rPr>
          <w:rFonts w:hint="eastAsia" w:ascii="宋体" w:hAnsi="宋体" w:eastAsia="宋体" w:cs="宋体"/>
          <w:color w:val="auto"/>
          <w:sz w:val="24"/>
          <w:szCs w:val="24"/>
          <w:highlight w:val="none"/>
          <w:u w:val="single"/>
          <w:lang w:eastAsia="zh-CN"/>
        </w:rPr>
        <w:t>（大写）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 ￥：  元）</w:t>
      </w:r>
      <w:r>
        <w:rPr>
          <w:rFonts w:hint="eastAsia" w:ascii="宋体" w:hAnsi="宋体" w:eastAsia="宋体" w:cs="宋体"/>
          <w:color w:val="auto"/>
          <w:sz w:val="24"/>
          <w:szCs w:val="24"/>
          <w:highlight w:val="none"/>
          <w:lang w:eastAsia="zh-CN"/>
        </w:rPr>
        <w:t>。</w:t>
      </w:r>
    </w:p>
    <w:p w14:paraId="19A2E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合同总价包括但不限于</w:t>
      </w:r>
      <w:r>
        <w:rPr>
          <w:rFonts w:hint="eastAsia" w:ascii="宋体" w:hAnsi="宋体" w:eastAsia="宋体" w:cs="宋体"/>
          <w:color w:val="auto"/>
          <w:sz w:val="24"/>
          <w:szCs w:val="24"/>
          <w:highlight w:val="none"/>
          <w:lang w:val="en-US" w:eastAsia="zh-CN"/>
        </w:rPr>
        <w:t>设计费、素材费、交通运输、通信、管理费、利润、税金、政策性调整风险费、相关伴随服务以及保护措施、咨询、拆除清运等产生的所有费用，即为响应招标文件及完成本项目服务所发生的全部费用，</w:t>
      </w:r>
      <w:r>
        <w:rPr>
          <w:rFonts w:hint="eastAsia" w:ascii="宋体" w:hAnsi="宋体" w:eastAsia="宋体" w:cs="宋体"/>
          <w:color w:val="auto"/>
          <w:sz w:val="24"/>
          <w:szCs w:val="24"/>
          <w:highlight w:val="none"/>
        </w:rPr>
        <w:t>为固定总价</w:t>
      </w:r>
      <w:r>
        <w:rPr>
          <w:rFonts w:hint="eastAsia" w:ascii="宋体" w:hAnsi="宋体" w:eastAsia="宋体" w:cs="宋体"/>
          <w:color w:val="auto"/>
          <w:sz w:val="24"/>
          <w:szCs w:val="24"/>
          <w:highlight w:val="none"/>
          <w:lang w:eastAsia="zh-CN"/>
        </w:rPr>
        <w:t>（遇政府大型检查和不可抗力因素发布期顺延</w:t>
      </w:r>
      <w:r>
        <w:rPr>
          <w:rFonts w:hint="eastAsia" w:ascii="宋体" w:hAnsi="宋体" w:eastAsia="宋体" w:cs="宋体"/>
          <w:color w:val="auto"/>
          <w:sz w:val="24"/>
          <w:szCs w:val="24"/>
          <w:highlight w:val="none"/>
          <w:lang w:val="en-US" w:eastAsia="zh-CN"/>
        </w:rPr>
        <w:t>情况，需包含多次拆除、安装、配合费用</w:t>
      </w:r>
      <w:r>
        <w:rPr>
          <w:rFonts w:hint="eastAsia" w:ascii="宋体" w:hAnsi="宋体" w:eastAsia="宋体" w:cs="宋体"/>
          <w:color w:val="auto"/>
          <w:sz w:val="24"/>
          <w:szCs w:val="24"/>
          <w:highlight w:val="none"/>
          <w:lang w:eastAsia="zh-CN"/>
        </w:rPr>
        <w:t>）。除非本合同另有明确约定，就乙方履行</w:t>
      </w:r>
      <w:r>
        <w:rPr>
          <w:rFonts w:hint="eastAsia" w:ascii="宋体" w:hAnsi="宋体" w:eastAsia="宋体" w:cs="宋体"/>
          <w:color w:val="auto"/>
          <w:sz w:val="24"/>
          <w:szCs w:val="24"/>
          <w:highlight w:val="none"/>
        </w:rPr>
        <w:t>本协议项下的各项义务和责任,甲方无须再向乙方支付其他任何费用。</w:t>
      </w:r>
    </w:p>
    <w:p w14:paraId="0A4FA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2、本次招标项目中标单位的报价为成交价。同时，成交价在合同实施期间不因市场变化因素而变动。</w:t>
      </w:r>
    </w:p>
    <w:p w14:paraId="5E9BF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3、投标单位应详细阅读招标文件的全部内容，根据项目需求，准确制定相关工作方案等，必须对本采购项目进行报价。如有漏项，视同对本项目的优惠。</w:t>
      </w:r>
    </w:p>
    <w:p w14:paraId="2E2F83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单位应依据招标需求清单，在报价时充分考虑实际情况和要求，合理选择材料配置，确保效果达到展示的要求。中标单位必须有详细的深化的设计方案，明确具体材质和相应规格要求，并向甲方进行专题汇报，甲方有权要求中标单位进行优化改进，中标单位必须无条件服从，相关费用由中标单位承担，结算时不予调整。</w:t>
      </w:r>
    </w:p>
    <w:p w14:paraId="41B677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如甲方需要增加或更改物料的型号、规格，经双方商议后价格由甲方确认，双方可签订补充协议，补充协议与本合同具有同等法律效力。</w:t>
      </w:r>
    </w:p>
    <w:p w14:paraId="20A837F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付款方式</w:t>
      </w:r>
    </w:p>
    <w:p w14:paraId="3FDE2F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按照合同约定的时间、要求制作</w:t>
      </w:r>
      <w:r>
        <w:rPr>
          <w:rFonts w:hint="eastAsia" w:ascii="宋体" w:hAnsi="宋体" w:eastAsia="宋体" w:cs="宋体"/>
          <w:color w:val="auto"/>
          <w:sz w:val="24"/>
          <w:szCs w:val="24"/>
          <w:highlight w:val="none"/>
        </w:rPr>
        <w:t>完毕，应向甲方提请验收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经甲方验收合格并完成结算手续后，凭甲方签字确认的验收单及乙方提供结算价款的全额增值税专用发票后，即甲方在</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个工作日内以转账或支票的方式向乙方支付合同结算</w:t>
      </w:r>
      <w:r>
        <w:rPr>
          <w:rFonts w:hint="eastAsia" w:ascii="宋体" w:hAnsi="宋体" w:eastAsia="宋体" w:cs="宋体"/>
          <w:color w:val="auto"/>
          <w:sz w:val="24"/>
          <w:szCs w:val="24"/>
          <w:highlight w:val="none"/>
          <w:lang w:val="en-US" w:eastAsia="zh-CN"/>
        </w:rPr>
        <w:t>金额</w:t>
      </w:r>
      <w:r>
        <w:rPr>
          <w:rFonts w:hint="eastAsia" w:ascii="宋体" w:hAnsi="宋体" w:eastAsia="宋体" w:cs="宋体"/>
          <w:color w:val="auto"/>
          <w:sz w:val="24"/>
          <w:szCs w:val="24"/>
          <w:highlight w:val="none"/>
        </w:rPr>
        <w:t>。</w:t>
      </w:r>
    </w:p>
    <w:p w14:paraId="52C817C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发票开具</w:t>
      </w:r>
    </w:p>
    <w:p w14:paraId="6144B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，保证能按照合同约定提供相应税率的增值税专用发票，具体开票信息如下：</w:t>
      </w:r>
    </w:p>
    <w:p w14:paraId="23EF621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甲方开票信息</w:t>
      </w:r>
    </w:p>
    <w:p w14:paraId="3193F9D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p w14:paraId="14E522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14:paraId="3557F7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税务登记地址：</w:t>
      </w:r>
    </w:p>
    <w:p w14:paraId="0ACD648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p>
    <w:p w14:paraId="049772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40FF4E1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14:paraId="1D639B6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B)乙方开票信息</w:t>
      </w:r>
    </w:p>
    <w:p w14:paraId="114C959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公司名称：</w:t>
      </w:r>
    </w:p>
    <w:p w14:paraId="42142C1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p w14:paraId="1AEBF42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税务登记地址：</w:t>
      </w:r>
    </w:p>
    <w:p w14:paraId="690148F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p>
    <w:p w14:paraId="71580C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9F0311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p w14:paraId="6E9771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2、乙方申请付款时，应开具税务部门认可的相应金额的增值税专用发票（下同，如发票无法分割的，应在第一次付款时全额提供）。乙方不得在付款金额尚未确认时就提前开具专用发票。</w:t>
      </w:r>
    </w:p>
    <w:p w14:paraId="42F00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3、乙方应在每次增值税专用发票开具后的30个工作日内向甲方提交相应增值税专用发票，否则甲方有权拒收发票。</w:t>
      </w:r>
    </w:p>
    <w:p w14:paraId="0D235B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4、甲方支付款项时，乙方应事先提交经甲方确认的合法的增值税专用发票等付款证明文件，甲方应在收到乙方全部付款证明文件的</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个工作日内，且增值税专用发票经税务机关交叉稽核比对确属合法有效后支付款项给乙方。</w:t>
      </w:r>
    </w:p>
    <w:p w14:paraId="208403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开具的增值税专用发票在送达甲方前如发生丢失、灭失或被盗等情况，导致相应票据未顺利送达甲方的，乙方应负责按相关税收法律法规的规定向甲方提供相应资料，以保证甲方顺利获得抵扣，否则，甲方有权拒绝支付货款/进度款。</w:t>
      </w:r>
    </w:p>
    <w:p w14:paraId="0397B5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必须严格遵照相关税收法规和文件，开具合法的增值税专用发票。如因乙方开具的增值税专用发票不符合税收法规与税务机关相关规定而给甲方造成经济损失的，乙方负责赔偿甲方一切损失，包括但不限于税金、附加费、罚金、滞纳金和法律费用。</w:t>
      </w:r>
    </w:p>
    <w:p w14:paraId="6E103D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7、乙方开具的增值税专用发票送达并经甲方签收后，若发生丢失，乙方应积极协助甲方，按照相关税收法规和文件的规定提供相应资料，以保证甲方顺利获得抵扣。</w:t>
      </w:r>
    </w:p>
    <w:p w14:paraId="0023738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条  双方的权利和义务</w:t>
      </w:r>
    </w:p>
    <w:p w14:paraId="22C8FEA0">
      <w:pPr>
        <w:spacing w:line="360" w:lineRule="auto"/>
        <w:ind w:firstLine="480" w:firstLineChars="200"/>
        <w:rPr>
          <w:rFonts w:hint="eastAsia" w:ascii="宋体" w:hAnsi="宋体" w:eastAsia="宋体" w:cs="宋体"/>
          <w:color w:val="auto"/>
          <w:sz w:val="24"/>
          <w:szCs w:val="24"/>
          <w:highlight w:val="none"/>
          <w:u w:val="none"/>
        </w:rPr>
      </w:pPr>
      <w:bookmarkStart w:id="8" w:name="OLE_LINK8"/>
      <w:r>
        <w:rPr>
          <w:rFonts w:hint="eastAsia" w:ascii="宋体" w:hAnsi="宋体" w:eastAsia="宋体" w:cs="宋体"/>
          <w:color w:val="auto"/>
          <w:sz w:val="24"/>
          <w:szCs w:val="24"/>
          <w:highlight w:val="none"/>
          <w:u w:val="none"/>
        </w:rPr>
        <w:t>1、甲方须在合同签订后，及时将制作要求交于乙方；乙方完成制作样品交予甲方后，甲方需</w:t>
      </w:r>
      <w:r>
        <w:rPr>
          <w:rFonts w:hint="eastAsia" w:ascii="宋体" w:hAnsi="宋体" w:eastAsia="宋体" w:cs="宋体"/>
          <w:color w:val="auto"/>
          <w:sz w:val="24"/>
          <w:szCs w:val="24"/>
          <w:highlight w:val="none"/>
          <w:u w:val="none"/>
          <w:lang w:val="en-US" w:eastAsia="zh-CN"/>
        </w:rPr>
        <w:t>及时</w:t>
      </w:r>
      <w:r>
        <w:rPr>
          <w:rFonts w:hint="eastAsia" w:ascii="宋体" w:hAnsi="宋体" w:eastAsia="宋体" w:cs="宋体"/>
          <w:color w:val="auto"/>
          <w:sz w:val="24"/>
          <w:szCs w:val="24"/>
          <w:highlight w:val="none"/>
          <w:u w:val="none"/>
        </w:rPr>
        <w:t>内确认样品</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若甲方对于样品材质或呈现效果不满意，有权要求乙方重新制作样品</w:t>
      </w:r>
      <w:r>
        <w:rPr>
          <w:rFonts w:hint="eastAsia" w:ascii="宋体" w:hAnsi="宋体" w:eastAsia="宋体" w:cs="宋体"/>
          <w:color w:val="auto"/>
          <w:sz w:val="24"/>
          <w:szCs w:val="24"/>
          <w:highlight w:val="none"/>
          <w:u w:val="none"/>
        </w:rPr>
        <w:t>。</w:t>
      </w:r>
    </w:p>
    <w:p w14:paraId="32FCB0E2">
      <w:pPr>
        <w:spacing w:line="360" w:lineRule="auto"/>
        <w:ind w:firstLine="410" w:firstLineChars="171"/>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2、在制作过程中，甲方</w:t>
      </w:r>
      <w:r>
        <w:rPr>
          <w:rFonts w:hint="eastAsia" w:ascii="宋体" w:hAnsi="宋体" w:eastAsia="宋体" w:cs="宋体"/>
          <w:color w:val="auto"/>
          <w:sz w:val="24"/>
          <w:szCs w:val="24"/>
          <w:highlight w:val="none"/>
          <w:u w:val="none"/>
          <w:lang w:val="en-US" w:eastAsia="zh-CN"/>
        </w:rPr>
        <w:t>可根据实际需求，对设计制作方案进行更改</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乙方应严格按甲方的要求按时、保质、保量完成制作安装工作。</w:t>
      </w:r>
    </w:p>
    <w:p w14:paraId="6363432E">
      <w:pPr>
        <w:spacing w:line="360" w:lineRule="auto"/>
        <w:ind w:firstLine="528" w:firstLineChars="220"/>
        <w:outlineLvl w:val="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乙方提供的</w:t>
      </w:r>
      <w:r>
        <w:rPr>
          <w:rFonts w:hint="eastAsia" w:ascii="宋体" w:hAnsi="宋体" w:eastAsia="宋体" w:cs="宋体"/>
          <w:color w:val="auto"/>
          <w:sz w:val="24"/>
          <w:szCs w:val="24"/>
          <w:highlight w:val="none"/>
          <w:u w:val="none"/>
        </w:rPr>
        <w:t>物料</w:t>
      </w:r>
      <w:r>
        <w:rPr>
          <w:rFonts w:hint="eastAsia" w:ascii="宋体" w:hAnsi="宋体" w:eastAsia="宋体" w:cs="宋体"/>
          <w:color w:val="auto"/>
          <w:sz w:val="24"/>
          <w:szCs w:val="24"/>
          <w:highlight w:val="none"/>
          <w:u w:val="none"/>
          <w:lang w:val="en-US" w:eastAsia="zh-CN"/>
        </w:rPr>
        <w:t>需为</w:t>
      </w:r>
      <w:r>
        <w:rPr>
          <w:rFonts w:hint="eastAsia" w:ascii="宋体" w:hAnsi="宋体" w:eastAsia="宋体" w:cs="宋体"/>
          <w:color w:val="auto"/>
          <w:sz w:val="24"/>
          <w:szCs w:val="24"/>
          <w:highlight w:val="none"/>
          <w:u w:val="none"/>
        </w:rPr>
        <w:t>优质、全新</w:t>
      </w:r>
      <w:r>
        <w:rPr>
          <w:rFonts w:hint="eastAsia" w:ascii="宋体" w:hAnsi="宋体" w:eastAsia="宋体" w:cs="宋体"/>
          <w:color w:val="auto"/>
          <w:sz w:val="24"/>
          <w:szCs w:val="24"/>
          <w:highlight w:val="none"/>
          <w:u w:val="none"/>
          <w:lang w:val="en-US" w:eastAsia="zh-CN"/>
        </w:rPr>
        <w:t>合格</w:t>
      </w:r>
      <w:r>
        <w:rPr>
          <w:rFonts w:hint="eastAsia" w:ascii="宋体" w:hAnsi="宋体" w:eastAsia="宋体" w:cs="宋体"/>
          <w:color w:val="auto"/>
          <w:sz w:val="24"/>
          <w:szCs w:val="24"/>
          <w:highlight w:val="none"/>
          <w:u w:val="none"/>
        </w:rPr>
        <w:t>产品；</w:t>
      </w:r>
      <w:r>
        <w:rPr>
          <w:rFonts w:hint="eastAsia" w:ascii="宋体" w:hAnsi="宋体" w:eastAsia="宋体" w:cs="宋体"/>
          <w:color w:val="auto"/>
          <w:sz w:val="24"/>
          <w:szCs w:val="24"/>
          <w:highlight w:val="none"/>
          <w:u w:val="none"/>
          <w:lang w:val="en-US" w:eastAsia="zh-CN"/>
        </w:rPr>
        <w:t>物料</w:t>
      </w:r>
      <w:r>
        <w:rPr>
          <w:rFonts w:hint="eastAsia" w:ascii="宋体" w:hAnsi="宋体" w:eastAsia="宋体" w:cs="宋体"/>
          <w:color w:val="auto"/>
          <w:sz w:val="24"/>
          <w:szCs w:val="24"/>
          <w:highlight w:val="none"/>
          <w:u w:val="none"/>
        </w:rPr>
        <w:t>质量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品牌</w:t>
      </w:r>
      <w:r>
        <w:rPr>
          <w:rFonts w:hint="eastAsia" w:ascii="宋体" w:hAnsi="宋体" w:eastAsia="宋体" w:cs="宋体"/>
          <w:color w:val="auto"/>
          <w:sz w:val="24"/>
          <w:szCs w:val="24"/>
          <w:highlight w:val="none"/>
          <w:u w:val="none"/>
        </w:rPr>
        <w:t>必须满足本合同及合同附件的各项要求</w:t>
      </w:r>
      <w:r>
        <w:rPr>
          <w:rFonts w:hint="eastAsia" w:ascii="宋体" w:hAnsi="宋体" w:eastAsia="宋体" w:cs="宋体"/>
          <w:color w:val="auto"/>
          <w:sz w:val="24"/>
          <w:szCs w:val="24"/>
          <w:highlight w:val="none"/>
          <w:u w:val="none"/>
          <w:lang w:eastAsia="zh-CN"/>
        </w:rPr>
        <w:t>。</w:t>
      </w:r>
    </w:p>
    <w:p w14:paraId="24B05058">
      <w:pPr>
        <w:spacing w:line="360" w:lineRule="auto"/>
        <w:ind w:firstLine="528" w:firstLineChars="220"/>
        <w:outlineLvl w:val="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4、乙方应从正规销售渠道采购物料，若采购物料为假冒伪劣产品或质量不合格，一切事故后果由乙方承担。</w:t>
      </w:r>
    </w:p>
    <w:p w14:paraId="3B1EB67C">
      <w:pPr>
        <w:spacing w:line="360" w:lineRule="auto"/>
        <w:ind w:firstLine="528" w:firstLineChars="220"/>
        <w:outlineLvl w:val="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乙方采购</w:t>
      </w:r>
      <w:r>
        <w:rPr>
          <w:rFonts w:hint="eastAsia" w:ascii="宋体" w:hAnsi="宋体" w:eastAsia="宋体" w:cs="宋体"/>
          <w:color w:val="auto"/>
          <w:sz w:val="24"/>
          <w:szCs w:val="24"/>
          <w:highlight w:val="none"/>
          <w:u w:val="none"/>
        </w:rPr>
        <w:t>物料必须符合封样样本和说明书所列的质量标准，必须符合国家与地方的产品规范以及行业质量技术标准。甲方保留在例行送检之外随时抽检及送检物料的权利，检验机构为政府法定检验机构。对于物料的任何技术及质量不合格，乙方承担检测费用，甲方有权拒收、部分拒收、退货、部分退货，并要求乙方支付因此造成的其他诸如工期、返工等损失。</w:t>
      </w:r>
    </w:p>
    <w:p w14:paraId="3DB862D6">
      <w:pPr>
        <w:spacing w:line="360" w:lineRule="auto"/>
        <w:ind w:firstLine="528" w:firstLineChars="220"/>
        <w:outlineLvl w:val="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、乙方所提供的物料如为进口物料，须提供物料的产地证明书、质量保证书及相关的进口报关手续和商检证明。</w:t>
      </w:r>
    </w:p>
    <w:p w14:paraId="6C1AC4EE">
      <w:pPr>
        <w:spacing w:line="360" w:lineRule="auto"/>
        <w:ind w:firstLine="528" w:firstLineChars="220"/>
        <w:outlineLvl w:val="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、如物料涉及系统操作，乙方负责培训甲方的需方人员掌握该系统的操作。</w:t>
      </w:r>
    </w:p>
    <w:p w14:paraId="2BE4FA20">
      <w:pPr>
        <w:spacing w:line="360" w:lineRule="auto"/>
        <w:ind w:firstLine="528" w:firstLineChars="220"/>
        <w:outlineLvl w:val="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8</w:t>
      </w:r>
      <w:r>
        <w:rPr>
          <w:rFonts w:hint="eastAsia" w:ascii="宋体" w:hAnsi="宋体" w:eastAsia="宋体" w:cs="宋体"/>
          <w:color w:val="auto"/>
          <w:sz w:val="24"/>
          <w:szCs w:val="24"/>
          <w:highlight w:val="none"/>
          <w:u w:val="none"/>
        </w:rPr>
        <w:t>、物料的包装由乙方负责，按适合运输及仓储的方式设计，费用包含在合同价款中。包装应根据物料特点具备防潮、防雨、防锈、防震、防腐蚀等的功能，乙方对包装的风险负责，因包装设计、制作、质量等原因造成物料损失的，由乙方承担责任。</w:t>
      </w:r>
    </w:p>
    <w:p w14:paraId="0D154596">
      <w:pPr>
        <w:spacing w:line="360" w:lineRule="auto"/>
        <w:ind w:firstLine="528" w:firstLineChars="220"/>
        <w:outlineLvl w:val="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9</w:t>
      </w:r>
      <w:r>
        <w:rPr>
          <w:rFonts w:hint="eastAsia" w:ascii="宋体" w:hAnsi="宋体" w:eastAsia="宋体" w:cs="宋体"/>
          <w:color w:val="auto"/>
          <w:sz w:val="24"/>
          <w:szCs w:val="24"/>
          <w:highlight w:val="none"/>
          <w:u w:val="none"/>
        </w:rPr>
        <w:t>、包装物上必须标明名称、规格型号、颜色、数量、等级、堆放要求、保存环境要求、生产商等资料标识，因标示缺少或不清导致施工、堆放、保管错误并造成的损失的，由乙方负责赔偿。</w:t>
      </w:r>
    </w:p>
    <w:p w14:paraId="1A2C2AF6">
      <w:pPr>
        <w:spacing w:line="360" w:lineRule="auto"/>
        <w:ind w:firstLine="528" w:firstLineChars="220"/>
        <w:outlineLvl w:val="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、运输：本合同物料的运输及风险由乙方负责，运输费用及运输保险费用包含在合同中，甲方对此不负任何责任。</w:t>
      </w:r>
    </w:p>
    <w:p w14:paraId="6AB03FD9">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、乙方负责施工现场的安全（含人身）保卫和施工人员的管理工作，并对由于施工造成的工程、财产损失和人身伤害负责，发生的一切费用均由乙方承担。</w:t>
      </w:r>
    </w:p>
    <w:p w14:paraId="52AF4C3A">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乙方须遵守当地政府和有关部门对交通、环境卫生、噪声、市政、安全、消防等方面的规定并承担相关的协调工作和费用；施工和使用过程中如发生违规或造成第三方及公众利益受损害，乙方应负全部法律责任包括但不限于相应赔偿责任和承担罚款等；如有隐蔽施工，乙方需做好记录并交甲方管理人员；乙方需做好施工现场工作，保持现场清洁、道路畅通，竣工后及时清理现场，做到工完场清。</w:t>
      </w:r>
    </w:p>
    <w:p w14:paraId="4CF0FEDE">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13</w:t>
      </w:r>
      <w:r>
        <w:rPr>
          <w:rFonts w:hint="eastAsia" w:ascii="宋体" w:hAnsi="宋体" w:eastAsia="宋体" w:cs="宋体"/>
          <w:color w:val="auto"/>
          <w:sz w:val="24"/>
          <w:szCs w:val="24"/>
          <w:highlight w:val="none"/>
          <w:u w:val="none"/>
        </w:rPr>
        <w:t>、如乙方施工未达到甲方规定要求，乙方负责返工并承担一切所发生的费用。</w:t>
      </w:r>
    </w:p>
    <w:p w14:paraId="10D43286">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14</w:t>
      </w:r>
      <w:r>
        <w:rPr>
          <w:rFonts w:hint="eastAsia" w:ascii="宋体" w:hAnsi="宋体" w:eastAsia="宋体" w:cs="宋体"/>
          <w:color w:val="auto"/>
          <w:sz w:val="24"/>
          <w:szCs w:val="24"/>
          <w:highlight w:val="none"/>
          <w:u w:val="none"/>
        </w:rPr>
        <w:t>、对于楼体广告</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看房通道包装等制作</w:t>
      </w:r>
      <w:r>
        <w:rPr>
          <w:rFonts w:hint="eastAsia" w:ascii="宋体" w:hAnsi="宋体" w:eastAsia="宋体" w:cs="宋体"/>
          <w:color w:val="auto"/>
          <w:sz w:val="24"/>
          <w:szCs w:val="24"/>
          <w:highlight w:val="none"/>
          <w:u w:val="none"/>
        </w:rPr>
        <w:t>安装及拆除，乙方应确保对所在楼体</w:t>
      </w:r>
      <w:r>
        <w:rPr>
          <w:rFonts w:hint="eastAsia" w:ascii="宋体" w:hAnsi="宋体" w:eastAsia="宋体" w:cs="宋体"/>
          <w:color w:val="auto"/>
          <w:sz w:val="24"/>
          <w:szCs w:val="24"/>
          <w:highlight w:val="none"/>
          <w:u w:val="none"/>
          <w:lang w:val="en-US" w:eastAsia="zh-CN"/>
        </w:rPr>
        <w:t>或墙面</w:t>
      </w:r>
      <w:r>
        <w:rPr>
          <w:rFonts w:hint="eastAsia" w:ascii="宋体" w:hAnsi="宋体" w:eastAsia="宋体" w:cs="宋体"/>
          <w:color w:val="auto"/>
          <w:sz w:val="24"/>
          <w:szCs w:val="24"/>
          <w:highlight w:val="none"/>
          <w:u w:val="none"/>
        </w:rPr>
        <w:t>不产生破坏及后期隐患，如造成破坏或伤害的（比如破坏外墙防水层），责任及费用均由乙方承担。</w:t>
      </w:r>
    </w:p>
    <w:p w14:paraId="158559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、在乙方按本合同履行义务的前提下，甲方应按照合同约定及时付款。</w:t>
      </w:r>
      <w:bookmarkEnd w:id="8"/>
    </w:p>
    <w:p w14:paraId="54842BF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条  验收</w:t>
      </w:r>
    </w:p>
    <w:p w14:paraId="6D96DF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乙方完工后向甲方提请验收，甲方签字同意，即为验收合格。对于甲方在验收中提出的问题，乙方应积极按照甲方的要求组织整改，保证工程质量。</w:t>
      </w:r>
    </w:p>
    <w:p w14:paraId="50182D21">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 xml:space="preserve">条  </w:t>
      </w:r>
      <w:r>
        <w:rPr>
          <w:rFonts w:hint="eastAsia" w:ascii="宋体" w:hAnsi="宋体" w:eastAsia="宋体" w:cs="宋体"/>
          <w:b/>
          <w:color w:val="auto"/>
          <w:sz w:val="24"/>
          <w:szCs w:val="24"/>
          <w:highlight w:val="none"/>
          <w:lang w:val="en-US" w:eastAsia="zh-CN"/>
        </w:rPr>
        <w:t>知识产权</w:t>
      </w:r>
    </w:p>
    <w:p w14:paraId="225F661C">
      <w:pPr>
        <w:numPr>
          <w:ilvl w:val="0"/>
          <w:numId w:val="0"/>
        </w:numPr>
        <w:spacing w:beforeLines="0" w:afterLines="0" w:line="360" w:lineRule="auto"/>
        <w:ind w:firstLine="480" w:firstLineChars="20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w:t>
      </w:r>
      <w:r>
        <w:rPr>
          <w:rFonts w:hint="eastAsia" w:ascii="宋体" w:hAnsi="宋体" w:eastAsia="宋体" w:cs="宋体"/>
          <w:bCs w:val="0"/>
          <w:color w:val="auto"/>
          <w:sz w:val="24"/>
          <w:szCs w:val="24"/>
          <w:highlight w:val="none"/>
          <w:lang w:val="en-US" w:eastAsia="zh-CN"/>
        </w:rPr>
        <w:t>方应保证向甲方交付的任何内容和形式的工作成果具有原创性、内容合法且不侵犯他人权利。乙方保证甲方对所有物料成果中的图片、字体、视频、动画等有合法的使用权。甲方对乙方交付工作成果的使用不会侵犯第三方权益。否则由乙方承担相应赔偿责任，并赔偿甲方因此遭受的损失。</w:t>
      </w:r>
    </w:p>
    <w:p w14:paraId="677A825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条  违约责任</w:t>
      </w:r>
    </w:p>
    <w:p w14:paraId="5DCFC43D">
      <w:pPr>
        <w:spacing w:line="360" w:lineRule="auto"/>
        <w:ind w:firstLine="480" w:firstLineChars="200"/>
        <w:rPr>
          <w:rFonts w:hint="eastAsia" w:ascii="宋体" w:hAnsi="宋体" w:eastAsia="宋体" w:cs="宋体"/>
          <w:color w:val="auto"/>
          <w:sz w:val="24"/>
          <w:szCs w:val="24"/>
          <w:highlight w:val="none"/>
        </w:rPr>
      </w:pPr>
      <w:bookmarkStart w:id="9" w:name="OLE_LINK11"/>
      <w:bookmarkStart w:id="10" w:name="OLE_LINK12"/>
      <w:r>
        <w:rPr>
          <w:rFonts w:hint="eastAsia" w:ascii="宋体" w:hAnsi="宋体" w:eastAsia="宋体" w:cs="宋体"/>
          <w:color w:val="auto"/>
          <w:sz w:val="24"/>
          <w:szCs w:val="24"/>
          <w:highlight w:val="none"/>
        </w:rPr>
        <w:t>1、合同签订后，若甲方因故停止</w:t>
      </w:r>
      <w:r>
        <w:rPr>
          <w:rFonts w:hint="eastAsia" w:ascii="宋体" w:hAnsi="宋体" w:eastAsia="宋体" w:cs="宋体"/>
          <w:color w:val="auto"/>
          <w:sz w:val="24"/>
          <w:szCs w:val="24"/>
          <w:highlight w:val="none"/>
          <w:lang w:val="en-US" w:eastAsia="zh-CN"/>
        </w:rPr>
        <w:t>物料制作安装</w:t>
      </w:r>
      <w:r>
        <w:rPr>
          <w:rFonts w:hint="eastAsia" w:ascii="宋体" w:hAnsi="宋体" w:eastAsia="宋体" w:cs="宋体"/>
          <w:color w:val="auto"/>
          <w:sz w:val="24"/>
          <w:szCs w:val="24"/>
          <w:highlight w:val="none"/>
        </w:rPr>
        <w:t>，需提前</w:t>
      </w:r>
      <w:r>
        <w:rPr>
          <w:rFonts w:hint="eastAsia" w:ascii="宋体" w:hAnsi="宋体" w:eastAsia="宋体" w:cs="宋体"/>
          <w:color w:val="auto"/>
          <w:kern w:val="2"/>
          <w:sz w:val="24"/>
          <w:szCs w:val="24"/>
          <w:highlight w:val="none"/>
          <w:u w:val="single"/>
          <w:lang w:val="en-US" w:eastAsia="zh-CN" w:bidi="ar-SA"/>
        </w:rPr>
        <w:t>1</w:t>
      </w:r>
      <w:r>
        <w:rPr>
          <w:rFonts w:hint="eastAsia" w:ascii="宋体" w:hAnsi="宋体" w:eastAsia="宋体" w:cs="宋体"/>
          <w:color w:val="auto"/>
          <w:sz w:val="24"/>
          <w:szCs w:val="24"/>
          <w:highlight w:val="none"/>
        </w:rPr>
        <w:t>个工作日通知乙方</w:t>
      </w:r>
      <w:r>
        <w:rPr>
          <w:rFonts w:hint="eastAsia" w:ascii="宋体" w:hAnsi="宋体" w:eastAsia="宋体" w:cs="宋体"/>
          <w:color w:val="auto"/>
          <w:sz w:val="24"/>
          <w:szCs w:val="24"/>
          <w:highlight w:val="none"/>
          <w:lang w:eastAsia="zh-CN"/>
        </w:rPr>
        <w:t>；</w:t>
      </w:r>
    </w:p>
    <w:p w14:paraId="237E32B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2、乙方未按本合同约定的期限、标准完成工作的，每逾期1天须向甲方支付合同总价款的</w:t>
      </w:r>
      <w:r>
        <w:rPr>
          <w:rFonts w:hint="eastAsia" w:ascii="宋体" w:hAnsi="宋体" w:eastAsia="宋体" w:cs="宋体"/>
          <w:color w:val="auto"/>
          <w:sz w:val="24"/>
          <w:szCs w:val="24"/>
          <w:highlight w:val="none"/>
          <w:lang w:val="en-US" w:eastAsia="zh-CN"/>
        </w:rPr>
        <w:t>10</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的违约金，因逾期造成甲方损失大于违约金的，乙方还应赔偿甲方损失与违约金差额部分；逾期超过</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天 ，除乙方须向甲方支付违约金、赔偿损失与违约金差额部分外，甲方还有权单方面解除合同，因单方面解除合同而造成甲方损失的，乙方仍应负责全额赔偿；甲方亦有权要求乙方按合同标准返工。</w:t>
      </w:r>
      <w:bookmarkEnd w:id="9"/>
      <w:bookmarkEnd w:id="10"/>
    </w:p>
    <w:p w14:paraId="38D226E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条  第三者责任</w:t>
      </w:r>
    </w:p>
    <w:p w14:paraId="712B48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在本项目制作、施工及保修期内，如有任何第三者的人身或财产受到损害，乙方都负有处理及解决的责任，并承担一切经济损失，甲方不负任何责任。</w:t>
      </w:r>
    </w:p>
    <w:p w14:paraId="247BF10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不可抗力</w:t>
      </w:r>
    </w:p>
    <w:p w14:paraId="41D9C8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有效期间，因自然原因或政府政策、政令（以正式文件为准）等人力不可抗拒的因素，造成本合同及其补充协议内容部分或全部不能履行，双方互不承担违约责任。但应在四十八小时内，将相关事件、可能引发后果等情况以书面形式通知另一方，并且在事件发生后的十五天内，向另一方提交有关权威部门的证明，及本合同（包括补充协议）约定义务与责任不能履行或需要延期的报告。因不可抗力的自然原因或政府政策、政令（以正式文件为准）导致不能履行合同义务的，双方协商解决。</w:t>
      </w:r>
    </w:p>
    <w:p w14:paraId="5AFAEE9E">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条  通知和送达</w:t>
      </w:r>
    </w:p>
    <w:p w14:paraId="67A10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送通知的方法，如用电话、传真、电子邮件通知时，凡涉及双方权利、义务的，应随之以书面形式通知。合同中所列甲乙方的地址即为各方的收件地址。如地址有更改，须及时以书面形式通知他方。凡按各方最后地址送达的通知或其他有关文件均视为有效送达。通过邮递送达的，应采用中国邮政特快专递（EMS）途径进行寄送。</w:t>
      </w:r>
    </w:p>
    <w:p w14:paraId="28E2FF05">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条  保密条款</w:t>
      </w:r>
    </w:p>
    <w:p w14:paraId="275E2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甲方提供的商业资料仅限于本合同范围内使用，未经甲方书面同意乙方不得随意使用，不得向第三方及公众泄露，由此而造成的损失由乙方全部承担。</w:t>
      </w:r>
    </w:p>
    <w:p w14:paraId="62C5E7A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条  附件</w:t>
      </w:r>
    </w:p>
    <w:p w14:paraId="5D558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本合同所涉及的设计图、资料、报价书、更改通知等均为合同的有效组成部分，具有同等法律效力。</w:t>
      </w:r>
    </w:p>
    <w:p w14:paraId="36197D7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条  合同争议</w:t>
      </w:r>
    </w:p>
    <w:p w14:paraId="0AEEF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在履行本合同过程中，如发生争议，双方应协商解决；如协商不成，一方可向甲方住所地有管辖权的人民法院提起诉讼。</w:t>
      </w:r>
    </w:p>
    <w:p w14:paraId="0CDAF1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本合同自甲乙双方法定代表人或其委托代理人签字并加盖公章后生效，至合同履约完毕结算后除有关保修条款仍生效外，其余条款即告终止；保修期满后有关保修条款终止。</w:t>
      </w:r>
    </w:p>
    <w:p w14:paraId="466F52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第十</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本合同未尽事宜，甲、乙双方本着友好互谅的精神，协商解决，另行签订补充协议。</w:t>
      </w:r>
    </w:p>
    <w:p w14:paraId="37ABB06A">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十七</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份，具有同等法律效力。</w:t>
      </w:r>
    </w:p>
    <w:p w14:paraId="509B975E">
      <w:pP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十八</w:t>
      </w:r>
      <w:r>
        <w:rPr>
          <w:rFonts w:hint="eastAsia" w:ascii="宋体" w:hAnsi="宋体" w:eastAsia="宋体" w:cs="宋体"/>
          <w:b/>
          <w:color w:val="auto"/>
          <w:sz w:val="24"/>
          <w:szCs w:val="24"/>
          <w:highlight w:val="none"/>
        </w:rPr>
        <w:t xml:space="preserve">条 </w:t>
      </w:r>
      <w:r>
        <w:rPr>
          <w:rFonts w:hint="eastAsia" w:ascii="宋体" w:hAnsi="宋体" w:eastAsia="宋体" w:cs="宋体"/>
          <w:color w:val="auto"/>
          <w:sz w:val="24"/>
          <w:szCs w:val="24"/>
          <w:highlight w:val="none"/>
        </w:rPr>
        <w:t>其它约定：</w:t>
      </w:r>
      <w:r>
        <w:rPr>
          <w:rFonts w:hint="eastAsia" w:ascii="宋体" w:hAnsi="宋体" w:eastAsia="宋体" w:cs="宋体"/>
          <w:color w:val="auto"/>
          <w:sz w:val="24"/>
          <w:szCs w:val="24"/>
          <w:highlight w:val="none"/>
          <w:u w:val="single"/>
          <w:lang w:val="en-US" w:eastAsia="zh-CN"/>
        </w:rPr>
        <w:t xml:space="preserve">     </w:t>
      </w:r>
    </w:p>
    <w:p w14:paraId="7C0AC836">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w:t>
      </w:r>
      <w:r>
        <w:rPr>
          <w:rFonts w:hint="eastAsia" w:ascii="宋体" w:hAnsi="宋体" w:eastAsia="宋体" w:cs="宋体"/>
          <w:b/>
          <w:color w:val="auto"/>
          <w:sz w:val="24"/>
          <w:szCs w:val="24"/>
          <w:highlight w:val="none"/>
          <w:lang w:val="en-US" w:eastAsia="zh-CN"/>
        </w:rPr>
        <w:t>十九</w:t>
      </w:r>
      <w:r>
        <w:rPr>
          <w:rFonts w:hint="eastAsia" w:ascii="宋体" w:hAnsi="宋体" w:eastAsia="宋体" w:cs="宋体"/>
          <w:b/>
          <w:color w:val="auto"/>
          <w:sz w:val="24"/>
          <w:szCs w:val="24"/>
          <w:highlight w:val="none"/>
        </w:rPr>
        <w:t>条 廉洁从业</w:t>
      </w:r>
    </w:p>
    <w:p w14:paraId="44AFC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员工不得接受乙方安排的的宴请、现金、礼品、有价证券/购物卡、土特产品，或参加乙方邀请的国内外参观考察/培训活动等可能对公正履行职责有影响的活动，乙方如发现甲方单位员工有类似行为的应及时向指定的监督部门举报。(《合规及廉洁交易承诺函》 详见附件）</w:t>
      </w:r>
    </w:p>
    <w:p w14:paraId="25C068A4">
      <w:pPr>
        <w:rPr>
          <w:rFonts w:hint="eastAsia" w:ascii="宋体" w:hAnsi="宋体" w:eastAsia="宋体" w:cs="宋体"/>
          <w:color w:val="auto"/>
          <w:sz w:val="24"/>
          <w:szCs w:val="24"/>
          <w:highlight w:val="none"/>
        </w:rPr>
      </w:pPr>
    </w:p>
    <w:p w14:paraId="617B22E8">
      <w:pPr>
        <w:rPr>
          <w:rFonts w:hint="eastAsia" w:ascii="宋体" w:hAnsi="宋体" w:eastAsia="宋体" w:cs="宋体"/>
          <w:color w:val="auto"/>
          <w:sz w:val="24"/>
          <w:szCs w:val="24"/>
          <w:highlight w:val="none"/>
        </w:rPr>
      </w:pPr>
    </w:p>
    <w:p w14:paraId="4BF71B7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甲方法定代表人（委托代理人）：                      （签、章） </w:t>
      </w:r>
    </w:p>
    <w:p w14:paraId="61E651E4">
      <w:pPr>
        <w:rPr>
          <w:rFonts w:hint="eastAsia" w:ascii="宋体" w:hAnsi="宋体" w:eastAsia="宋体" w:cs="宋体"/>
          <w:color w:val="auto"/>
          <w:sz w:val="24"/>
          <w:szCs w:val="24"/>
          <w:highlight w:val="none"/>
        </w:rPr>
      </w:pPr>
    </w:p>
    <w:p w14:paraId="5BE07C9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年             月              日  </w:t>
      </w:r>
    </w:p>
    <w:p w14:paraId="4E192BE9">
      <w:pPr>
        <w:rPr>
          <w:rFonts w:hint="eastAsia" w:ascii="宋体" w:hAnsi="宋体" w:eastAsia="宋体" w:cs="宋体"/>
          <w:color w:val="auto"/>
          <w:sz w:val="24"/>
          <w:szCs w:val="24"/>
          <w:highlight w:val="none"/>
        </w:rPr>
      </w:pPr>
    </w:p>
    <w:p w14:paraId="36B66F2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乙方法定代表人（委托代理人）：                      （签、章）  </w:t>
      </w:r>
    </w:p>
    <w:p w14:paraId="0FD3C98C">
      <w:pPr>
        <w:rPr>
          <w:rFonts w:hint="eastAsia" w:ascii="宋体" w:hAnsi="宋体" w:eastAsia="宋体" w:cs="宋体"/>
          <w:color w:val="auto"/>
          <w:sz w:val="24"/>
          <w:szCs w:val="24"/>
          <w:highlight w:val="none"/>
        </w:rPr>
      </w:pPr>
    </w:p>
    <w:p w14:paraId="4AE7BC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p>
    <w:p w14:paraId="372AECA8">
      <w:pPr>
        <w:rPr>
          <w:rFonts w:hint="eastAsia" w:ascii="宋体" w:hAnsi="宋体" w:eastAsia="宋体" w:cs="宋体"/>
          <w:color w:val="auto"/>
          <w:sz w:val="24"/>
          <w:szCs w:val="24"/>
          <w:highlight w:val="none"/>
        </w:rPr>
      </w:pPr>
    </w:p>
    <w:p w14:paraId="04C5A880">
      <w:pPr>
        <w:rPr>
          <w:rFonts w:hint="eastAsia" w:ascii="宋体" w:hAnsi="宋体" w:eastAsia="宋体" w:cs="宋体"/>
          <w:color w:val="auto"/>
          <w:sz w:val="24"/>
          <w:szCs w:val="24"/>
          <w:highlight w:val="none"/>
        </w:rPr>
      </w:pPr>
    </w:p>
    <w:p w14:paraId="65B72AC6">
      <w:pPr>
        <w:rPr>
          <w:rFonts w:hint="eastAsia" w:ascii="宋体" w:hAnsi="宋体" w:eastAsia="宋体" w:cs="宋体"/>
          <w:color w:val="auto"/>
          <w:sz w:val="24"/>
          <w:szCs w:val="24"/>
          <w:highlight w:val="none"/>
        </w:rPr>
      </w:pPr>
    </w:p>
    <w:p w14:paraId="4FF375DC">
      <w:pPr>
        <w:pStyle w:val="5"/>
        <w:rPr>
          <w:rFonts w:hint="eastAsia" w:ascii="宋体" w:hAnsi="宋体" w:eastAsia="宋体" w:cs="宋体"/>
          <w:color w:val="auto"/>
          <w:sz w:val="24"/>
          <w:szCs w:val="24"/>
          <w:highlight w:val="none"/>
        </w:rPr>
      </w:pPr>
    </w:p>
    <w:p w14:paraId="4772585E">
      <w:pPr>
        <w:pStyle w:val="5"/>
        <w:rPr>
          <w:rFonts w:hint="eastAsia" w:ascii="宋体" w:hAnsi="宋体" w:eastAsia="宋体" w:cs="宋体"/>
          <w:color w:val="auto"/>
          <w:sz w:val="24"/>
          <w:szCs w:val="24"/>
          <w:highlight w:val="none"/>
        </w:rPr>
      </w:pPr>
    </w:p>
    <w:p w14:paraId="13B5B703">
      <w:pPr>
        <w:pStyle w:val="5"/>
        <w:rPr>
          <w:rFonts w:hint="eastAsia" w:ascii="宋体" w:hAnsi="宋体" w:eastAsia="宋体" w:cs="宋体"/>
          <w:color w:val="auto"/>
          <w:sz w:val="24"/>
          <w:szCs w:val="24"/>
          <w:highlight w:val="none"/>
        </w:rPr>
      </w:pPr>
    </w:p>
    <w:p w14:paraId="6E63BE68">
      <w:pPr>
        <w:pStyle w:val="5"/>
        <w:rPr>
          <w:rFonts w:hint="eastAsia" w:ascii="宋体" w:hAnsi="宋体" w:eastAsia="宋体" w:cs="宋体"/>
          <w:color w:val="auto"/>
          <w:sz w:val="24"/>
          <w:szCs w:val="24"/>
          <w:highlight w:val="none"/>
        </w:rPr>
      </w:pPr>
    </w:p>
    <w:p w14:paraId="458542A6">
      <w:pPr>
        <w:pStyle w:val="5"/>
        <w:rPr>
          <w:rFonts w:hint="eastAsia" w:ascii="宋体" w:hAnsi="宋体" w:eastAsia="宋体" w:cs="宋体"/>
          <w:color w:val="auto"/>
          <w:sz w:val="24"/>
          <w:szCs w:val="24"/>
          <w:highlight w:val="none"/>
        </w:rPr>
      </w:pPr>
    </w:p>
    <w:p w14:paraId="4DFA8419">
      <w:pPr>
        <w:pStyle w:val="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附件一：需求服务清单</w:t>
      </w:r>
    </w:p>
    <w:p w14:paraId="5D2658DE">
      <w:pPr>
        <w:snapToGrid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需求</w:t>
      </w:r>
      <w:r>
        <w:rPr>
          <w:rFonts w:hint="eastAsia" w:ascii="宋体" w:hAnsi="宋体" w:eastAsia="宋体" w:cs="宋体"/>
          <w:b/>
          <w:bCs/>
          <w:color w:val="auto"/>
          <w:sz w:val="24"/>
          <w:szCs w:val="24"/>
          <w:highlight w:val="none"/>
        </w:rPr>
        <w:t>清单</w:t>
      </w:r>
    </w:p>
    <w:tbl>
      <w:tblPr>
        <w:tblStyle w:val="2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574"/>
        <w:gridCol w:w="1392"/>
        <w:gridCol w:w="909"/>
        <w:gridCol w:w="486"/>
        <w:gridCol w:w="544"/>
        <w:gridCol w:w="2593"/>
        <w:gridCol w:w="1561"/>
      </w:tblGrid>
      <w:tr w14:paraId="2AF7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14:paraId="7EB9608F">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
              </w:rPr>
              <w:t>序号</w:t>
            </w:r>
          </w:p>
        </w:tc>
        <w:tc>
          <w:tcPr>
            <w:tcW w:w="337" w:type="pct"/>
            <w:vAlign w:val="center"/>
          </w:tcPr>
          <w:p w14:paraId="61784B85">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类目</w:t>
            </w:r>
          </w:p>
        </w:tc>
        <w:tc>
          <w:tcPr>
            <w:tcW w:w="817" w:type="pct"/>
            <w:vAlign w:val="center"/>
          </w:tcPr>
          <w:p w14:paraId="20C6AB16">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rPr>
              <w:t>描述</w:t>
            </w:r>
          </w:p>
        </w:tc>
        <w:tc>
          <w:tcPr>
            <w:tcW w:w="533" w:type="pct"/>
            <w:vAlign w:val="center"/>
          </w:tcPr>
          <w:p w14:paraId="4D2C2B4A">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尺寸参数</w:t>
            </w:r>
          </w:p>
        </w:tc>
        <w:tc>
          <w:tcPr>
            <w:tcW w:w="285" w:type="pct"/>
            <w:vAlign w:val="center"/>
          </w:tcPr>
          <w:p w14:paraId="64DA0C52">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w:t>
            </w:r>
          </w:p>
        </w:tc>
        <w:tc>
          <w:tcPr>
            <w:tcW w:w="319" w:type="pct"/>
            <w:vAlign w:val="center"/>
          </w:tcPr>
          <w:p w14:paraId="3959257F">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522" w:type="pct"/>
            <w:vAlign w:val="center"/>
          </w:tcPr>
          <w:p w14:paraId="019560FC">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示例</w:t>
            </w:r>
          </w:p>
        </w:tc>
        <w:tc>
          <w:tcPr>
            <w:tcW w:w="917" w:type="pct"/>
            <w:vAlign w:val="center"/>
          </w:tcPr>
          <w:p w14:paraId="53997200">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14:paraId="3F1C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restart"/>
            <w:vAlign w:val="center"/>
          </w:tcPr>
          <w:p w14:paraId="38975D8A">
            <w:pPr>
              <w:snapToGrid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337" w:type="pct"/>
            <w:vMerge w:val="restart"/>
            <w:vAlign w:val="center"/>
          </w:tcPr>
          <w:p w14:paraId="66C738AE">
            <w:pPr>
              <w:tabs>
                <w:tab w:val="left" w:pos="425"/>
              </w:tabs>
              <w:snapToGrid w:val="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导视牌发布</w:t>
            </w:r>
          </w:p>
        </w:tc>
        <w:tc>
          <w:tcPr>
            <w:tcW w:w="817" w:type="pct"/>
            <w:vAlign w:val="center"/>
          </w:tcPr>
          <w:p w14:paraId="153BA27D">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通启路辅路——辐射市区客群</w:t>
            </w:r>
          </w:p>
        </w:tc>
        <w:tc>
          <w:tcPr>
            <w:tcW w:w="533" w:type="pct"/>
            <w:vAlign w:val="center"/>
          </w:tcPr>
          <w:p w14:paraId="413F2ABC">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长3m*高2m</w:t>
            </w:r>
          </w:p>
        </w:tc>
        <w:tc>
          <w:tcPr>
            <w:tcW w:w="285" w:type="pct"/>
            <w:vAlign w:val="center"/>
          </w:tcPr>
          <w:p w14:paraId="76D99AF4">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月</w:t>
            </w:r>
          </w:p>
        </w:tc>
        <w:tc>
          <w:tcPr>
            <w:tcW w:w="319" w:type="pct"/>
            <w:vAlign w:val="center"/>
          </w:tcPr>
          <w:p w14:paraId="4832D68D">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w:t>
            </w:r>
          </w:p>
        </w:tc>
        <w:tc>
          <w:tcPr>
            <w:tcW w:w="1522" w:type="pct"/>
            <w:vMerge w:val="restart"/>
            <w:vAlign w:val="center"/>
          </w:tcPr>
          <w:p w14:paraId="0AD121F2">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drawing>
                <wp:inline distT="0" distB="0" distL="114300" distR="114300">
                  <wp:extent cx="1515745" cy="789940"/>
                  <wp:effectExtent l="0" t="0" r="8255" b="2540"/>
                  <wp:docPr id="3" name="图片 3" descr="2f32f1bb2f1cc32d8a9a38ad627632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f32f1bb2f1cc32d8a9a38ad627632f1"/>
                          <pic:cNvPicPr>
                            <a:picLocks noChangeAspect="1"/>
                          </pic:cNvPicPr>
                        </pic:nvPicPr>
                        <pic:blipFill>
                          <a:blip r:embed="rId8"/>
                          <a:stretch>
                            <a:fillRect/>
                          </a:stretch>
                        </pic:blipFill>
                        <pic:spPr>
                          <a:xfrm>
                            <a:off x="0" y="0"/>
                            <a:ext cx="1515745" cy="789940"/>
                          </a:xfrm>
                          <a:prstGeom prst="rect">
                            <a:avLst/>
                          </a:prstGeom>
                        </pic:spPr>
                      </pic:pic>
                    </a:graphicData>
                  </a:graphic>
                </wp:inline>
              </w:drawing>
            </w:r>
          </w:p>
        </w:tc>
        <w:tc>
          <w:tcPr>
            <w:tcW w:w="917" w:type="pct"/>
            <w:vMerge w:val="restart"/>
            <w:vAlign w:val="center"/>
          </w:tcPr>
          <w:p w14:paraId="29129BA4">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包括</w:t>
            </w:r>
            <w:r>
              <w:rPr>
                <w:rFonts w:hint="eastAsia" w:ascii="宋体" w:hAnsi="宋体" w:eastAsia="宋体" w:cs="宋体"/>
                <w:b w:val="0"/>
                <w:bCs w:val="0"/>
                <w:color w:val="auto"/>
                <w:sz w:val="24"/>
                <w:szCs w:val="24"/>
                <w:highlight w:val="none"/>
                <w:lang w:eastAsia="zh-CN"/>
              </w:rPr>
              <w:t>城管局、交警部门以及市政园林管理处等政府部门管理发布费用（遇政府大型检查和不可抗力因素发布期顺延）</w:t>
            </w:r>
          </w:p>
        </w:tc>
      </w:tr>
      <w:tr w14:paraId="5B45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15E059AD">
            <w:pPr>
              <w:snapToGrid w:val="0"/>
              <w:jc w:val="center"/>
              <w:rPr>
                <w:rFonts w:hint="eastAsia" w:ascii="宋体" w:hAnsi="宋体" w:eastAsia="宋体" w:cs="宋体"/>
                <w:b w:val="0"/>
                <w:bCs w:val="0"/>
                <w:color w:val="auto"/>
                <w:sz w:val="24"/>
                <w:szCs w:val="24"/>
                <w:highlight w:val="none"/>
              </w:rPr>
            </w:pPr>
          </w:p>
        </w:tc>
        <w:tc>
          <w:tcPr>
            <w:tcW w:w="337" w:type="pct"/>
            <w:vMerge w:val="continue"/>
            <w:vAlign w:val="center"/>
          </w:tcPr>
          <w:p w14:paraId="3F58CB5E">
            <w:pPr>
              <w:snapToGrid w:val="0"/>
              <w:jc w:val="center"/>
              <w:rPr>
                <w:rFonts w:hint="eastAsia" w:ascii="宋体" w:hAnsi="宋体" w:eastAsia="宋体" w:cs="宋体"/>
                <w:b w:val="0"/>
                <w:bCs w:val="0"/>
                <w:color w:val="auto"/>
                <w:sz w:val="24"/>
                <w:szCs w:val="24"/>
                <w:highlight w:val="none"/>
                <w:lang w:val="en-US" w:eastAsia="zh-CN"/>
              </w:rPr>
            </w:pPr>
          </w:p>
        </w:tc>
        <w:tc>
          <w:tcPr>
            <w:tcW w:w="817" w:type="pct"/>
            <w:vAlign w:val="center"/>
          </w:tcPr>
          <w:p w14:paraId="2F7B2C3C">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通京大道南向道路辐射港闸及北部市县客群</w:t>
            </w:r>
          </w:p>
        </w:tc>
        <w:tc>
          <w:tcPr>
            <w:tcW w:w="533" w:type="pct"/>
            <w:vAlign w:val="center"/>
          </w:tcPr>
          <w:p w14:paraId="1D8A76C1">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长3m*高2m</w:t>
            </w:r>
          </w:p>
        </w:tc>
        <w:tc>
          <w:tcPr>
            <w:tcW w:w="285" w:type="pct"/>
            <w:shd w:val="clear" w:color="auto" w:fill="auto"/>
            <w:vAlign w:val="center"/>
          </w:tcPr>
          <w:p w14:paraId="20A5D46E">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月</w:t>
            </w:r>
          </w:p>
        </w:tc>
        <w:tc>
          <w:tcPr>
            <w:tcW w:w="319" w:type="pct"/>
            <w:shd w:val="clear" w:color="auto" w:fill="auto"/>
            <w:vAlign w:val="center"/>
          </w:tcPr>
          <w:p w14:paraId="643E9CFB">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12</w:t>
            </w:r>
          </w:p>
        </w:tc>
        <w:tc>
          <w:tcPr>
            <w:tcW w:w="1522" w:type="pct"/>
            <w:vMerge w:val="continue"/>
            <w:vAlign w:val="center"/>
          </w:tcPr>
          <w:p w14:paraId="291DFF09">
            <w:pPr>
              <w:snapToGrid w:val="0"/>
              <w:jc w:val="center"/>
              <w:rPr>
                <w:rFonts w:hint="eastAsia" w:ascii="宋体" w:hAnsi="宋体" w:eastAsia="宋体" w:cs="宋体"/>
                <w:b w:val="0"/>
                <w:bCs w:val="0"/>
                <w:color w:val="auto"/>
                <w:sz w:val="24"/>
                <w:szCs w:val="24"/>
                <w:highlight w:val="none"/>
                <w:lang w:eastAsia="zh-CN"/>
              </w:rPr>
            </w:pPr>
          </w:p>
        </w:tc>
        <w:tc>
          <w:tcPr>
            <w:tcW w:w="917" w:type="pct"/>
            <w:vMerge w:val="continue"/>
            <w:vAlign w:val="center"/>
          </w:tcPr>
          <w:p w14:paraId="616A9916">
            <w:pPr>
              <w:snapToGrid w:val="0"/>
              <w:jc w:val="center"/>
              <w:rPr>
                <w:rFonts w:hint="eastAsia" w:ascii="宋体" w:hAnsi="宋体" w:eastAsia="宋体" w:cs="宋体"/>
                <w:b w:val="0"/>
                <w:bCs w:val="0"/>
                <w:color w:val="auto"/>
                <w:sz w:val="24"/>
                <w:szCs w:val="24"/>
                <w:highlight w:val="none"/>
                <w:lang w:eastAsia="zh-CN"/>
              </w:rPr>
            </w:pPr>
          </w:p>
        </w:tc>
      </w:tr>
      <w:tr w14:paraId="4A61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Merge w:val="continue"/>
            <w:vAlign w:val="center"/>
          </w:tcPr>
          <w:p w14:paraId="26C09792">
            <w:pPr>
              <w:snapToGrid w:val="0"/>
              <w:jc w:val="center"/>
              <w:rPr>
                <w:rFonts w:hint="eastAsia" w:ascii="宋体" w:hAnsi="宋体" w:eastAsia="宋体" w:cs="宋体"/>
                <w:b w:val="0"/>
                <w:bCs w:val="0"/>
                <w:color w:val="auto"/>
                <w:sz w:val="24"/>
                <w:szCs w:val="24"/>
                <w:highlight w:val="none"/>
              </w:rPr>
            </w:pPr>
          </w:p>
        </w:tc>
        <w:tc>
          <w:tcPr>
            <w:tcW w:w="337" w:type="pct"/>
            <w:vMerge w:val="continue"/>
            <w:vAlign w:val="center"/>
          </w:tcPr>
          <w:p w14:paraId="72EBF386">
            <w:pPr>
              <w:snapToGrid w:val="0"/>
              <w:jc w:val="center"/>
              <w:rPr>
                <w:rFonts w:hint="eastAsia" w:ascii="宋体" w:hAnsi="宋体" w:eastAsia="宋体" w:cs="宋体"/>
                <w:b w:val="0"/>
                <w:bCs w:val="0"/>
                <w:color w:val="auto"/>
                <w:sz w:val="24"/>
                <w:szCs w:val="24"/>
                <w:highlight w:val="none"/>
                <w:lang w:val="en-US" w:eastAsia="zh-CN"/>
              </w:rPr>
            </w:pPr>
          </w:p>
        </w:tc>
        <w:tc>
          <w:tcPr>
            <w:tcW w:w="817" w:type="pct"/>
            <w:vAlign w:val="center"/>
          </w:tcPr>
          <w:p w14:paraId="45747DFF">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洪江路高架出口辐射中创及开发区客群</w:t>
            </w:r>
          </w:p>
        </w:tc>
        <w:tc>
          <w:tcPr>
            <w:tcW w:w="533" w:type="pct"/>
            <w:vAlign w:val="center"/>
          </w:tcPr>
          <w:p w14:paraId="08619240">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长3m*高2m</w:t>
            </w:r>
          </w:p>
        </w:tc>
        <w:tc>
          <w:tcPr>
            <w:tcW w:w="285" w:type="pct"/>
            <w:shd w:val="clear" w:color="auto" w:fill="auto"/>
            <w:vAlign w:val="center"/>
          </w:tcPr>
          <w:p w14:paraId="28946052">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月</w:t>
            </w:r>
          </w:p>
        </w:tc>
        <w:tc>
          <w:tcPr>
            <w:tcW w:w="319" w:type="pct"/>
            <w:shd w:val="clear" w:color="auto" w:fill="auto"/>
            <w:vAlign w:val="center"/>
          </w:tcPr>
          <w:p w14:paraId="3F0FCDAB">
            <w:pPr>
              <w:snapToGrid w:val="0"/>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12</w:t>
            </w:r>
          </w:p>
        </w:tc>
        <w:tc>
          <w:tcPr>
            <w:tcW w:w="1522" w:type="pct"/>
            <w:vMerge w:val="continue"/>
            <w:vAlign w:val="center"/>
          </w:tcPr>
          <w:p w14:paraId="27713E9B">
            <w:pPr>
              <w:snapToGrid w:val="0"/>
              <w:jc w:val="center"/>
              <w:rPr>
                <w:rFonts w:hint="eastAsia" w:ascii="宋体" w:hAnsi="宋体" w:eastAsia="宋体" w:cs="宋体"/>
                <w:b w:val="0"/>
                <w:bCs w:val="0"/>
                <w:color w:val="auto"/>
                <w:sz w:val="24"/>
                <w:szCs w:val="24"/>
                <w:highlight w:val="none"/>
                <w:lang w:eastAsia="zh-CN"/>
              </w:rPr>
            </w:pPr>
          </w:p>
        </w:tc>
        <w:tc>
          <w:tcPr>
            <w:tcW w:w="917" w:type="pct"/>
            <w:vMerge w:val="continue"/>
            <w:vAlign w:val="center"/>
          </w:tcPr>
          <w:p w14:paraId="13A56DDD">
            <w:pPr>
              <w:snapToGrid w:val="0"/>
              <w:jc w:val="center"/>
              <w:rPr>
                <w:rFonts w:hint="eastAsia" w:ascii="宋体" w:hAnsi="宋体" w:eastAsia="宋体" w:cs="宋体"/>
                <w:b w:val="0"/>
                <w:bCs w:val="0"/>
                <w:color w:val="auto"/>
                <w:sz w:val="24"/>
                <w:szCs w:val="24"/>
                <w:highlight w:val="none"/>
                <w:lang w:eastAsia="zh-CN"/>
              </w:rPr>
            </w:pPr>
          </w:p>
        </w:tc>
      </w:tr>
      <w:tr w14:paraId="6434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 w:type="pct"/>
            <w:vAlign w:val="center"/>
          </w:tcPr>
          <w:p w14:paraId="057BF0F4">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37" w:type="pct"/>
            <w:vAlign w:val="center"/>
          </w:tcPr>
          <w:p w14:paraId="06AD29A7">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导视牌制作</w:t>
            </w:r>
          </w:p>
        </w:tc>
        <w:tc>
          <w:tcPr>
            <w:tcW w:w="817" w:type="pct"/>
            <w:vAlign w:val="center"/>
          </w:tcPr>
          <w:p w14:paraId="54610DA2">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面板2.0铝板，20cm镀锌圆管，蓝白警示烤漆，混凝土浇筑</w:t>
            </w:r>
          </w:p>
        </w:tc>
        <w:tc>
          <w:tcPr>
            <w:tcW w:w="533" w:type="pct"/>
            <w:vAlign w:val="center"/>
          </w:tcPr>
          <w:p w14:paraId="2F6776F0">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长3m*高2m</w:t>
            </w:r>
          </w:p>
        </w:tc>
        <w:tc>
          <w:tcPr>
            <w:tcW w:w="285" w:type="pct"/>
            <w:vAlign w:val="center"/>
          </w:tcPr>
          <w:p w14:paraId="29F6D509">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块</w:t>
            </w:r>
          </w:p>
        </w:tc>
        <w:tc>
          <w:tcPr>
            <w:tcW w:w="319" w:type="pct"/>
            <w:vAlign w:val="center"/>
          </w:tcPr>
          <w:p w14:paraId="53BAD460">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522" w:type="pct"/>
            <w:vAlign w:val="center"/>
          </w:tcPr>
          <w:p w14:paraId="5D03734B">
            <w:pPr>
              <w:snapToGrid w:val="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drawing>
                <wp:inline distT="0" distB="0" distL="114300" distR="114300">
                  <wp:extent cx="1450340" cy="1081405"/>
                  <wp:effectExtent l="0" t="0" r="12700" b="635"/>
                  <wp:docPr id="4" name="图片 4" descr="8a31500a42c92d76554427cd60930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a31500a42c92d76554427cd60930378"/>
                          <pic:cNvPicPr>
                            <a:picLocks noChangeAspect="1"/>
                          </pic:cNvPicPr>
                        </pic:nvPicPr>
                        <pic:blipFill>
                          <a:blip r:embed="rId9"/>
                          <a:stretch>
                            <a:fillRect/>
                          </a:stretch>
                        </pic:blipFill>
                        <pic:spPr>
                          <a:xfrm>
                            <a:off x="0" y="0"/>
                            <a:ext cx="1450340" cy="1081405"/>
                          </a:xfrm>
                          <a:prstGeom prst="rect">
                            <a:avLst/>
                          </a:prstGeom>
                        </pic:spPr>
                      </pic:pic>
                    </a:graphicData>
                  </a:graphic>
                </wp:inline>
              </w:drawing>
            </w:r>
          </w:p>
        </w:tc>
        <w:tc>
          <w:tcPr>
            <w:tcW w:w="917" w:type="pct"/>
            <w:vAlign w:val="center"/>
          </w:tcPr>
          <w:p w14:paraId="006A766D">
            <w:pPr>
              <w:snapToGrid w:val="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包括交通运输、人员安装、安装设备租赁、辅材、设备调试等费用</w:t>
            </w:r>
          </w:p>
        </w:tc>
      </w:tr>
      <w:tr w14:paraId="317C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1B249C0F">
            <w:pPr>
              <w:snapToGrid w:val="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备注：</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示</w:t>
            </w:r>
            <w:r>
              <w:rPr>
                <w:rFonts w:hint="eastAsia" w:ascii="宋体" w:hAnsi="宋体" w:eastAsia="宋体" w:cs="宋体"/>
                <w:b w:val="0"/>
                <w:bCs w:val="0"/>
                <w:color w:val="auto"/>
                <w:sz w:val="24"/>
                <w:szCs w:val="24"/>
                <w:highlight w:val="none"/>
              </w:rPr>
              <w:t>例仅供</w:t>
            </w:r>
            <w:r>
              <w:rPr>
                <w:rFonts w:hint="eastAsia" w:ascii="宋体" w:hAnsi="宋体" w:eastAsia="宋体" w:cs="宋体"/>
                <w:b w:val="0"/>
                <w:bCs w:val="0"/>
                <w:color w:val="auto"/>
                <w:sz w:val="24"/>
                <w:szCs w:val="24"/>
                <w:highlight w:val="none"/>
                <w:lang w:val="en-US" w:eastAsia="zh-CN"/>
              </w:rPr>
              <w:t>形式</w:t>
            </w:r>
            <w:r>
              <w:rPr>
                <w:rFonts w:hint="eastAsia" w:ascii="宋体" w:hAnsi="宋体" w:eastAsia="宋体" w:cs="宋体"/>
                <w:b w:val="0"/>
                <w:bCs w:val="0"/>
                <w:color w:val="auto"/>
                <w:sz w:val="24"/>
                <w:szCs w:val="24"/>
                <w:highlight w:val="none"/>
              </w:rPr>
              <w:t>参考，需根据项目出相应的</w:t>
            </w:r>
            <w:r>
              <w:rPr>
                <w:rFonts w:hint="eastAsia" w:ascii="宋体" w:hAnsi="宋体" w:eastAsia="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rPr>
              <w:t>方案，保证实际呈现的统一性</w:t>
            </w:r>
            <w:r>
              <w:rPr>
                <w:rFonts w:hint="eastAsia" w:ascii="宋体" w:hAnsi="宋体" w:eastAsia="宋体" w:cs="宋体"/>
                <w:b w:val="0"/>
                <w:bCs w:val="0"/>
                <w:color w:val="auto"/>
                <w:sz w:val="24"/>
                <w:szCs w:val="24"/>
                <w:highlight w:val="none"/>
                <w:lang w:eastAsia="zh-CN"/>
              </w:rPr>
              <w:t>。</w:t>
            </w:r>
          </w:p>
          <w:p w14:paraId="04F7B994">
            <w:pPr>
              <w:snapToGrid w:val="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报价需包含人工、运输</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素材、安装、拆除、维护等</w:t>
            </w:r>
            <w:r>
              <w:rPr>
                <w:rFonts w:hint="eastAsia" w:ascii="宋体" w:hAnsi="宋体" w:eastAsia="宋体" w:cs="宋体"/>
                <w:b w:val="0"/>
                <w:bCs w:val="0"/>
                <w:color w:val="auto"/>
                <w:sz w:val="24"/>
                <w:szCs w:val="24"/>
                <w:highlight w:val="none"/>
              </w:rPr>
              <w:t>费用</w:t>
            </w:r>
            <w:r>
              <w:rPr>
                <w:rFonts w:hint="eastAsia" w:ascii="宋体" w:hAnsi="宋体" w:eastAsia="宋体" w:cs="宋体"/>
                <w:b w:val="0"/>
                <w:bCs w:val="0"/>
                <w:color w:val="auto"/>
                <w:sz w:val="24"/>
                <w:szCs w:val="24"/>
                <w:highlight w:val="none"/>
                <w:lang w:val="en-US" w:eastAsia="zh-CN"/>
              </w:rPr>
              <w:t>及指示牌拆除后回收残值</w:t>
            </w:r>
            <w:r>
              <w:rPr>
                <w:rFonts w:hint="eastAsia" w:ascii="宋体" w:hAnsi="宋体" w:eastAsia="宋体" w:cs="宋体"/>
                <w:b w:val="0"/>
                <w:bCs w:val="0"/>
                <w:color w:val="auto"/>
                <w:sz w:val="24"/>
                <w:szCs w:val="24"/>
                <w:highlight w:val="none"/>
                <w:lang w:eastAsia="zh-CN"/>
              </w:rPr>
              <w:t>。</w:t>
            </w:r>
          </w:p>
        </w:tc>
      </w:tr>
    </w:tbl>
    <w:p w14:paraId="64F4EC12">
      <w:pPr>
        <w:snapToGrid w:val="0"/>
        <w:jc w:val="center"/>
        <w:rPr>
          <w:rFonts w:hint="eastAsia" w:ascii="宋体" w:hAnsi="宋体" w:eastAsia="宋体" w:cs="宋体"/>
          <w:color w:val="auto"/>
          <w:sz w:val="24"/>
          <w:szCs w:val="24"/>
          <w:highlight w:val="none"/>
        </w:rPr>
      </w:pPr>
    </w:p>
    <w:p w14:paraId="3570AF19">
      <w:pPr>
        <w:pStyle w:val="5"/>
        <w:rPr>
          <w:rFonts w:hint="eastAsia" w:ascii="宋体" w:hAnsi="宋体" w:eastAsia="宋体" w:cs="宋体"/>
          <w:color w:val="auto"/>
          <w:sz w:val="24"/>
          <w:szCs w:val="24"/>
          <w:highlight w:val="none"/>
          <w:lang w:val="en-US" w:eastAsia="zh-CN"/>
        </w:rPr>
      </w:pPr>
    </w:p>
    <w:p w14:paraId="4B996067">
      <w:pPr>
        <w:pStyle w:val="5"/>
        <w:rPr>
          <w:rFonts w:hint="eastAsia" w:ascii="宋体" w:hAnsi="宋体" w:eastAsia="宋体" w:cs="宋体"/>
          <w:color w:val="auto"/>
          <w:sz w:val="24"/>
          <w:szCs w:val="24"/>
          <w:highlight w:val="none"/>
          <w:lang w:val="en-US" w:eastAsia="zh-CN"/>
        </w:rPr>
      </w:pPr>
    </w:p>
    <w:p w14:paraId="7EBADC1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47120B3">
      <w:pPr>
        <w:widowControl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附件二：建设工程廉政责任书</w:t>
      </w:r>
    </w:p>
    <w:p w14:paraId="737E34E7">
      <w:pPr>
        <w:widowControl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建设工程廉政责任书</w:t>
      </w:r>
    </w:p>
    <w:p w14:paraId="7E8A603D">
      <w:pPr>
        <w:spacing w:line="218" w:lineRule="auto"/>
        <w:ind w:left="6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甲方：</w:t>
      </w:r>
      <w:r>
        <w:rPr>
          <w:rFonts w:hint="eastAsia" w:ascii="宋体" w:hAnsi="宋体" w:eastAsia="宋体" w:cs="宋体"/>
          <w:color w:val="auto"/>
          <w:sz w:val="24"/>
          <w:szCs w:val="24"/>
          <w:highlight w:val="none"/>
          <w:lang w:eastAsia="zh-CN"/>
        </w:rPr>
        <w:t> </w:t>
      </w:r>
    </w:p>
    <w:p w14:paraId="3B6752E8">
      <w:pPr>
        <w:spacing w:before="137" w:line="218" w:lineRule="auto"/>
        <w:ind w:left="6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乙方：</w:t>
      </w:r>
      <w:r>
        <w:rPr>
          <w:rFonts w:hint="eastAsia" w:ascii="宋体" w:hAnsi="宋体" w:eastAsia="宋体" w:cs="宋体"/>
          <w:color w:val="auto"/>
          <w:spacing w:val="-2"/>
          <w:sz w:val="24"/>
          <w:szCs w:val="24"/>
          <w:highlight w:val="none"/>
          <w:lang w:eastAsia="zh-CN"/>
        </w:rPr>
        <w:t> </w:t>
      </w:r>
    </w:p>
    <w:p w14:paraId="1CE4801D">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为加强建设工程廉政建设，规范建设工程各项活动中甲、乙双方的行为，防止谋取不正当利益的违法违纪现象的发生，保护国家、集体和当事人的合法权益，根据国家有关工程建设的法律法规和廉政建设的有关规定，订立本廉政责任书。</w:t>
      </w:r>
    </w:p>
    <w:p w14:paraId="70EF4835">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一、双方的责任</w:t>
      </w:r>
    </w:p>
    <w:p w14:paraId="3E40C10A">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1.1应严格遵守国家关于建设工程的有关法律、法规，相关政策，以及廉政建设的各项规定。</w:t>
      </w:r>
    </w:p>
    <w:p w14:paraId="60AD72B2">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1.2严格执行建设工程合同文件，自觉按合同办事。</w:t>
      </w:r>
    </w:p>
    <w:p w14:paraId="0940CBA7">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1.3各项活动必须坚持公开、公平、公正、诚信、透明的原则(除法律法规另有规定者外)，不得为获取不正当的利益，损害国家、集体和对方利益，不得违反建设工程管理的规章制度。</w:t>
      </w:r>
    </w:p>
    <w:p w14:paraId="6E6236C0">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1.4发现对方在业务活动中有违规、违纪、违法行为的，应及时提醒对方，情节严重的，应向其上级主管部门或纪检监察、司法等有关机关举报。</w:t>
      </w:r>
    </w:p>
    <w:p w14:paraId="76254149">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二、甲方责任</w:t>
      </w:r>
    </w:p>
    <w:p w14:paraId="20DD36BD">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甲方的领导和从事该建设工程项目的工作人员，在工程建设的事前、事中、事后应遵守以下规定：</w:t>
      </w:r>
    </w:p>
    <w:p w14:paraId="5C48CEF4">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2.1不得向乙方和相关单位索要或接受回扣、礼金、有价证券、贵重物品和好处费、感谢费等。</w:t>
      </w:r>
    </w:p>
    <w:p w14:paraId="5E4A99DD">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2.2不得在乙方和相关单位报销任何应由甲方或个人支付的费用。</w:t>
      </w:r>
    </w:p>
    <w:p w14:paraId="25BE24E2">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2.3不得要求、暗示或接受乙方和相关单位为个人装修住房、婚丧嫁娶、配偶子女的工作安排以及出国(境)、旅游等提供方便。</w:t>
      </w:r>
    </w:p>
    <w:p w14:paraId="420EEA77">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2.4不得参加有可能影响公正执行公务的乙方和相关单位的宴请、健身、娱乐等活动。</w:t>
      </w:r>
    </w:p>
    <w:p w14:paraId="3632B89D">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2.5不得向乙方和相关单位介绍或为配偶、子女、亲属参与同甲方工程建设管理合同有关的业务活动；不得以任何理由要求乙方和相关单位使用某种产品、材料和设备。</w:t>
      </w:r>
    </w:p>
    <w:p w14:paraId="43A8BDDB">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三、乙方责任</w:t>
      </w:r>
    </w:p>
    <w:p w14:paraId="2D72B605">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应与甲方保持正常的业务交往，按照有关法律法规和程序开展业务工作，严格执行工程建设的有关方针、政策，执行工程建设强制性标准，并遵守以下规定：</w:t>
      </w:r>
    </w:p>
    <w:p w14:paraId="6DEAA404">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3.1不得以任何理由向甲方及其工作人员索要、接受或赠送礼金、有价证券、贵重物品及回扣、好处费、感谢费等。</w:t>
      </w:r>
    </w:p>
    <w:p w14:paraId="49B62859">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3.2不得以任何理由为甲方和相关单位报销应由对方或个人支付的费用。</w:t>
      </w:r>
    </w:p>
    <w:p w14:paraId="645E3A9F">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3.3不得接受或暗示为甲方、相关单位或个人装修住房、婚丧嫁娶、配偶子女的工作安排以及出国(境)、旅游等提供方便。</w:t>
      </w:r>
    </w:p>
    <w:p w14:paraId="3412F0DF">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3.4不得以任何理由为甲方、相关单位或个人组织有可能影响公正执行公务的宴请、健身、娱乐等活动。</w:t>
      </w:r>
    </w:p>
    <w:p w14:paraId="25E8CBB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四、违约责任</w:t>
      </w:r>
    </w:p>
    <w:p w14:paraId="28B22488">
      <w:pPr>
        <w:widowControl w:val="0"/>
        <w:spacing w:line="360" w:lineRule="auto"/>
        <w:jc w:val="both"/>
        <w:rPr>
          <w:rFonts w:hint="eastAsia" w:ascii="宋体" w:hAnsi="宋体" w:eastAsia="宋体" w:cs="宋体"/>
          <w:color w:val="auto"/>
          <w:sz w:val="24"/>
          <w:szCs w:val="24"/>
          <w:highlight w:val="none"/>
          <w:lang w:eastAsia="zh-CN"/>
        </w:rPr>
      </w:pPr>
      <w:r>
        <w:rPr>
          <w:rStyle w:val="79"/>
          <w:rFonts w:hint="eastAsia" w:ascii="宋体" w:hAnsi="宋体" w:eastAsia="宋体" w:cs="宋体"/>
          <w:color w:val="auto"/>
          <w:sz w:val="24"/>
          <w:szCs w:val="24"/>
          <w:highlight w:val="none"/>
          <w:lang w:eastAsia="zh-CN"/>
        </w:rPr>
        <w:t>4.1甲方工作人员有违反本责任书第一、二条责任行为的，依据有关法律、法规给予处理；涉嫌犯罪的，移交司法机关追究刑事责任；给乙方单位造成经济损失的，应予以赔偿。</w:t>
      </w:r>
    </w:p>
    <w:p w14:paraId="143E780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4.2乙方工作人员有违反本责任书第一、三条责任行为的，依据有关法律法规处理；涉嫌犯罪的，移交司法机关追究刑事责任；给甲方单位造成经济损失的，应予以赔偿。</w:t>
      </w:r>
    </w:p>
    <w:p w14:paraId="5C618C6E">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4.3本责任书作为建设工程合同的组成部分，与建设工程合同具有同等法律效力。经双方签署后立即生效。</w:t>
      </w:r>
    </w:p>
    <w:p w14:paraId="16F2D2AE">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五、责任书有效期</w:t>
      </w:r>
    </w:p>
    <w:p w14:paraId="0ECC6481">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本责任书的有效期为双方签署之日起至该工程项目竣工验收合格时止。</w:t>
      </w:r>
    </w:p>
    <w:p w14:paraId="544FBAB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六、责任书份数</w:t>
      </w:r>
    </w:p>
    <w:p w14:paraId="66E7C436">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本责任书一式肆份，甲方乙方各执贰份，具有同等效力。</w:t>
      </w:r>
    </w:p>
    <w:p w14:paraId="3692B134">
      <w:pPr>
        <w:widowControl w:val="0"/>
        <w:spacing w:line="360" w:lineRule="auto"/>
        <w:jc w:val="both"/>
        <w:rPr>
          <w:rFonts w:hint="eastAsia" w:ascii="宋体" w:hAnsi="宋体" w:eastAsia="宋体" w:cs="宋体"/>
          <w:color w:val="auto"/>
          <w:sz w:val="24"/>
          <w:szCs w:val="24"/>
          <w:highlight w:val="none"/>
          <w:lang w:eastAsia="zh-CN"/>
        </w:rPr>
      </w:pPr>
    </w:p>
    <w:p w14:paraId="0EDA67A1">
      <w:pPr>
        <w:widowControl w:val="0"/>
        <w:spacing w:line="360" w:lineRule="auto"/>
        <w:jc w:val="both"/>
        <w:rPr>
          <w:rFonts w:hint="eastAsia" w:ascii="宋体" w:hAnsi="宋体" w:eastAsia="宋体" w:cs="宋体"/>
          <w:color w:val="auto"/>
          <w:sz w:val="24"/>
          <w:szCs w:val="24"/>
          <w:highlight w:val="none"/>
          <w:lang w:eastAsia="zh-CN"/>
        </w:rPr>
      </w:pPr>
    </w:p>
    <w:p w14:paraId="4ECCCEF8">
      <w:pPr>
        <w:spacing w:line="218" w:lineRule="auto"/>
        <w:ind w:left="6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甲方：</w:t>
      </w:r>
      <w:r>
        <w:rPr>
          <w:rFonts w:hint="eastAsia" w:ascii="宋体" w:hAnsi="宋体" w:eastAsia="宋体" w:cs="宋体"/>
          <w:color w:val="auto"/>
          <w:sz w:val="24"/>
          <w:szCs w:val="24"/>
          <w:highlight w:val="none"/>
        </w:rPr>
        <w:t>                    </w:t>
      </w:r>
      <w:r>
        <w:rPr>
          <w:rFonts w:hint="eastAsia" w:ascii="宋体" w:hAnsi="宋体" w:eastAsia="宋体" w:cs="宋体"/>
          <w:b/>
          <w:bCs/>
          <w:color w:val="auto"/>
          <w:sz w:val="24"/>
          <w:szCs w:val="24"/>
          <w:highlight w:val="none"/>
        </w:rPr>
        <w:t>乙方：</w:t>
      </w:r>
      <w:r>
        <w:rPr>
          <w:rFonts w:hint="eastAsia" w:ascii="宋体" w:hAnsi="宋体" w:eastAsia="宋体" w:cs="宋体"/>
          <w:color w:val="auto"/>
          <w:spacing w:val="-2"/>
          <w:sz w:val="24"/>
          <w:szCs w:val="24"/>
          <w:highlight w:val="none"/>
        </w:rPr>
        <w:t> </w:t>
      </w:r>
      <w:r>
        <w:rPr>
          <w:rFonts w:hint="eastAsia" w:ascii="宋体" w:hAnsi="宋体" w:eastAsia="宋体" w:cs="宋体"/>
          <w:color w:val="auto"/>
          <w:sz w:val="24"/>
          <w:szCs w:val="24"/>
          <w:highlight w:val="none"/>
        </w:rPr>
        <w:t xml:space="preserve"> </w:t>
      </w:r>
    </w:p>
    <w:p w14:paraId="3594849B">
      <w:pPr>
        <w:spacing w:line="360" w:lineRule="auto"/>
        <w:ind w:firstLine="480" w:firstLineChars="200"/>
        <w:rPr>
          <w:rFonts w:hint="eastAsia" w:ascii="宋体" w:hAnsi="宋体" w:eastAsia="宋体" w:cs="宋体"/>
          <w:color w:val="auto"/>
          <w:sz w:val="24"/>
          <w:szCs w:val="24"/>
          <w:highlight w:val="none"/>
        </w:rPr>
      </w:pPr>
    </w:p>
    <w:p w14:paraId="08D10708">
      <w:pPr>
        <w:pStyle w:val="80"/>
        <w:spacing w:after="156" w:afterLines="50" w:line="360" w:lineRule="auto"/>
        <w:ind w:firstLine="480" w:firstLineChars="200"/>
        <w:jc w:val="center"/>
        <w:rPr>
          <w:rFonts w:hint="eastAsia" w:ascii="宋体" w:hAnsi="宋体" w:eastAsia="宋体" w:cs="宋体"/>
          <w:color w:val="auto"/>
          <w:sz w:val="24"/>
          <w:szCs w:val="24"/>
          <w:highlight w:val="none"/>
        </w:rPr>
      </w:pPr>
    </w:p>
    <w:p w14:paraId="6EF52838">
      <w:pPr>
        <w:pStyle w:val="80"/>
        <w:spacing w:after="156" w:afterLines="50" w:line="360" w:lineRule="auto"/>
        <w:ind w:firstLine="480" w:firstLineChars="200"/>
        <w:jc w:val="center"/>
        <w:rPr>
          <w:rFonts w:hint="eastAsia" w:ascii="宋体" w:hAnsi="宋体" w:eastAsia="宋体" w:cs="宋体"/>
          <w:color w:val="auto"/>
          <w:sz w:val="24"/>
          <w:szCs w:val="24"/>
          <w:highlight w:val="none"/>
        </w:rPr>
      </w:pPr>
    </w:p>
    <w:p w14:paraId="208666DB">
      <w:pPr>
        <w:snapToGrid w:val="0"/>
        <w:spacing w:before="120" w:after="120" w:line="360" w:lineRule="auto"/>
        <w:rPr>
          <w:rFonts w:hint="eastAsia" w:ascii="宋体" w:hAnsi="宋体" w:eastAsia="宋体" w:cs="宋体"/>
          <w:color w:val="auto"/>
          <w:sz w:val="24"/>
          <w:szCs w:val="24"/>
          <w:highlight w:val="none"/>
        </w:rPr>
      </w:pPr>
      <w:r>
        <w:rPr>
          <w:rStyle w:val="42"/>
          <w:rFonts w:hint="eastAsia" w:ascii="宋体" w:hAnsi="宋体" w:eastAsia="宋体" w:cs="宋体"/>
          <w:color w:val="auto"/>
          <w:sz w:val="24"/>
          <w:szCs w:val="24"/>
          <w:highlight w:val="none"/>
        </w:rPr>
        <w:t>附件</w:t>
      </w:r>
      <w:r>
        <w:rPr>
          <w:rStyle w:val="42"/>
          <w:rFonts w:hint="eastAsia" w:ascii="宋体" w:hAnsi="宋体" w:eastAsia="宋体" w:cs="宋体"/>
          <w:color w:val="auto"/>
          <w:sz w:val="24"/>
          <w:szCs w:val="24"/>
          <w:highlight w:val="none"/>
          <w:lang w:val="en-US" w:eastAsia="zh-CN"/>
        </w:rPr>
        <w:t>三</w:t>
      </w:r>
      <w:r>
        <w:rPr>
          <w:rStyle w:val="42"/>
          <w:rFonts w:hint="eastAsia" w:ascii="宋体" w:hAnsi="宋体" w:eastAsia="宋体" w:cs="宋体"/>
          <w:color w:val="auto"/>
          <w:sz w:val="24"/>
          <w:szCs w:val="24"/>
          <w:highlight w:val="none"/>
        </w:rPr>
        <w:t>：安全协议</w:t>
      </w:r>
    </w:p>
    <w:p w14:paraId="0E1012B2">
      <w:pPr>
        <w:tabs>
          <w:tab w:val="left" w:pos="2304"/>
          <w:tab w:val="center" w:pos="4807"/>
        </w:tabs>
        <w:adjustRightInd w:val="0"/>
        <w:snapToGrid w:val="0"/>
        <w:spacing w:line="360" w:lineRule="auto"/>
        <w:ind w:firstLine="388" w:firstLineChars="16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安全协议</w:t>
      </w:r>
    </w:p>
    <w:p w14:paraId="47207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p>
    <w:p w14:paraId="35D4E4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乙方：</w:t>
      </w:r>
    </w:p>
    <w:p w14:paraId="5C614FAB">
      <w:pPr>
        <w:spacing w:line="360" w:lineRule="auto"/>
        <w:ind w:firstLine="480" w:firstLineChars="200"/>
        <w:jc w:val="left"/>
        <w:rPr>
          <w:rFonts w:hint="eastAsia" w:ascii="宋体" w:hAnsi="宋体" w:eastAsia="宋体" w:cs="宋体"/>
          <w:color w:val="auto"/>
          <w:sz w:val="24"/>
          <w:szCs w:val="24"/>
          <w:highlight w:val="none"/>
        </w:rPr>
      </w:pPr>
    </w:p>
    <w:p w14:paraId="49AABF9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为了进一步贯彻落实“安全第一、预防为主”的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"http://zhidao.baidu.com/search?word=%E5%AE%89%E5%85%A8%E7%94%9F%E4%BA%A7%E6%96%B9%E9%92%88&amp;fr=qb_search_exp&amp;ie=utf8"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安全生产方针</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，严格执行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"http://zhidao.baidu.com/search?word=%E5%8A%B3%E5%8A%A8%E4%BF%9D%E6%8A%A4&amp;fr=qb_search_exp&amp;ie=utf8"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劳动保护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"http://zhidao.baidu.com/search?word=%E5%AE%89%E5%85%A8%E7%94%9F%E4%BA%A7&amp;fr=qb_search_exp&amp;ie=utf8"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安全生产</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的法令、法规，强化</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"http://zhidao.baidu.com/search?word=%E5%AE%89%E5%85%A8%E7%94%9F%E4%BA%A7%E7%AE%A1%E7%90%86&amp;fr=qb_search_exp&amp;ie=utf8"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安全生产管理</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，落实</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"http://zhidao.baidu.com/search?word=%E5%AE%89%E5%85%A8%E7%94%9F%E4%BA%A7%E8%B4%A3%E4%BB%BB%E5%88%B6&amp;fr=qb_search_exp&amp;ie=utf8"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安全生产责任制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依法从严治理施工现场，确保施工现场操作人员的安全与健康，促进施工顺利进行。经甲乙双方协商，一致同意签订本施工现场安全生产协议。本协议为工程合同补充条款，与工程合同具有同等法律效力，双方应认真履行。</w:t>
      </w:r>
    </w:p>
    <w:p w14:paraId="5DD31FC2">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一、乙方管理目标</w:t>
      </w:r>
    </w:p>
    <w:p w14:paraId="0C956A3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1、杜绝重大安全事故发生，死亡事故为零。</w:t>
      </w:r>
    </w:p>
    <w:p w14:paraId="604D39B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2、重伤事故频率控制为零。</w:t>
      </w:r>
    </w:p>
    <w:p w14:paraId="55317A8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3、施工现场内的安全隐患整改率达到100%。</w:t>
      </w:r>
    </w:p>
    <w:p w14:paraId="51C26C7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4、施工现场内不发生火灾事故、治安事件，防范措施达到100%。</w:t>
      </w:r>
    </w:p>
    <w:p w14:paraId="7ABDB61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5、保证作业人员佩戴防护用品，高空作业、临时电、动火作业等危险作业防护措施达到100%。</w:t>
      </w:r>
    </w:p>
    <w:p w14:paraId="711F751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6、职工消防、安全生产培训率达到100%，特种设备操作人员和特种作业人员须持有效上岗证上岗达到100%。</w:t>
      </w:r>
    </w:p>
    <w:p w14:paraId="598ED4A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7、重大危险源控制率达到100%。</w:t>
      </w:r>
    </w:p>
    <w:p w14:paraId="74378052">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8、施工现场内不发生危险品中毒、食物中毒以及群发性传染病。</w:t>
      </w:r>
    </w:p>
    <w:p w14:paraId="2ACE5E6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9、创建文明安全施工工地。</w:t>
      </w:r>
    </w:p>
    <w:p w14:paraId="29CA4646">
      <w:pPr>
        <w:pStyle w:val="13"/>
        <w:ind w:right="0"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乙方承诺投保内容:施工场地内所有从事危险作业人员的意外伤害险、所有作业人员的生命财产险、所有第三人人员的生命财产险、施工机械设备的财产险、运至施工场地内用于工程的材料和待安装设备的财产险。</w:t>
      </w:r>
    </w:p>
    <w:p w14:paraId="257CB2FE">
      <w:pPr>
        <w:pStyle w:val="5"/>
        <w:widowControl/>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11、乙方不得聘请60周岁及以上的作业人员，施工前开展对人员的安全教育和安全指导，确保安全；提供所有工作人员的近半年内的体检报告、身份信息、相关作业证书及用工合同复印件于甲方。</w:t>
      </w:r>
    </w:p>
    <w:p w14:paraId="1C31EB67">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"http://zhidao.baidu.com/search?word=%E5%AE%89%E5%85%A8%E7%94%9F%E4%BA%A7&amp;fr=qb_search_exp&amp;ie=utf8" \t "_blank"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安全生产</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t>要求</w:t>
      </w:r>
    </w:p>
    <w:p w14:paraId="16920B6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坚持“安全第一、预防为主”的方针，不得违章指挥和违章作业，在组织施工生产时必须落实安全技术措施，防止事故发生。对本单位的施工人员应登记造册，如实向甲方报告，切实做好入场前的三级安全教育，不得录用无身份证的人员和未满十六岁未成人。</w:t>
      </w:r>
    </w:p>
    <w:p w14:paraId="4ED9B9D3">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2、乙方必须虚心接受甲方的各项安全隐患排查、安全管理标准及整改规定，建立自身的定期和不定期的安全生产自查排查机制，并且严格贯彻实施，否则造成的罚款等损失均由乙方承担。</w:t>
      </w:r>
    </w:p>
    <w:p w14:paraId="53702F1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3、乙方必须采取一切严密的、符合安全标准的预防措施，确保所有施工场所的安全，不得存在危及本公司及其他施工方人员的</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"http://zhidao.baidu.com/search?word=%E4%BA%BA%E8%BA%AB%E5%AE%89%E5%85%A8&amp;fr=qb_search_exp&amp;ie=utf8" \t "_blank"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人身安全</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和健康，并保证施工现场所有人员或附近人员免遭施工现场可能发生的一切危险。否则造成的一切后果由乙方负责。</w:t>
      </w:r>
    </w:p>
    <w:p w14:paraId="399E56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现场和施工人员的操作场所，必须严格按国家、政府规定的安全生产、文明施工标准做好防护工作，保证施工人员有安全可靠、卫生的工作环境。对不符合安全规定、违章操作的，甲方或监理单位有权要求停工和强行整改使之达到安全标准，所须费用从乙方单位工程款中扣除。</w:t>
      </w:r>
    </w:p>
    <w:p w14:paraId="0887B270">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5、对电气焊等特种作业人员应持上岗，并坚持现场检查验收制度，禁止非特种作业人员从事特种作业。</w:t>
      </w:r>
    </w:p>
    <w:p w14:paraId="402653B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凡重要的劳动防护用品，购买必须符合国家标准。如：安全帽、安全带、安全网、漏电保护器、电焊机二次线保护器、配电箱、电缆、脚手架扣件等。乙方应给现场施工人员提供必须的和有效的安全用品，由于乙方防护用品不符合要求或安全防护用具不到位，所造成的安全事故均有乙方自行负责。</w:t>
      </w:r>
    </w:p>
    <w:p w14:paraId="4C60B74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7、乙方必须指定至少一名合格的且有经验的安全人员负责安全生产检查和防护措施落实，并配合甲方安全管理人员共同抓好安全工作。</w:t>
      </w:r>
    </w:p>
    <w:p w14:paraId="5603CC0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应严格按照甲方的消防安全管理制度以及施工现场的特殊要求组织施工，并接受甲方的安全检查。对甲方或监理单位所签发的隐患整改通知，乙方应在甲方指定的期限内立即整改完毕，逾期不改或整改不符合要求的，甲方或监理单位有权按规定对乙方进行经济处罚。</w:t>
      </w:r>
    </w:p>
    <w:p w14:paraId="79BBFAAC">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9、发生事故应立即釆取措施，保护现场，抢救伤员，防止事故扩大，并及时报告甲方和上级主管部门，组织事故调查小组，查清事故原因，确定事故责任，按照“四不放过” 原则制定改进措施，提出对事故责任者的处理意见。</w:t>
      </w:r>
    </w:p>
    <w:p w14:paraId="53DDAC8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乙方因管理不善以及自身防范措施不力或施工人员责任造成的火灾、交通，人身伤亡等灾害事故。事故经济责任、事故法律责任以及事故的善后处理均由乙方独自承担。因此给甲方造成的经济损失由乙方负责赔偿。</w:t>
      </w:r>
    </w:p>
    <w:p w14:paraId="5DD419D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11、满足现场作业人员必要的生活条件，职员的膳食、饮水符合卫生要求，由于乙方管理不到位，所造成安全事故均有乙方自行负责。</w:t>
      </w:r>
    </w:p>
    <w:p w14:paraId="488AFF1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12、所进入施工现场的化学品、易燃易爆等危险品，必须经门卫进行登记，仓库储存须有专人负责保管。由于乙方管理不到位，所造成安全事故均有乙方自行负责。</w:t>
      </w:r>
    </w:p>
    <w:p w14:paraId="4515332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施工现场需动用明火时要按照规定严格执行动火审批制度，临时动火时要做到“五有”：有动火证、有防火责任人、有安全监护人、有足够的消防器材、有可靠的安全措施。因乙方未按规定程序要求操作，所造成安全事故均有乙方自行负责。</w:t>
      </w:r>
    </w:p>
    <w:p w14:paraId="70348051">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14、施工现场临时用电必须由现场专业电工统一接线，其他人员不得私自搭接临时电线，否则发生一切后果由乙方负责。</w:t>
      </w:r>
    </w:p>
    <w:p w14:paraId="487418A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三、处罚</w:t>
      </w:r>
    </w:p>
    <w:p w14:paraId="513DCDC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认真接受甲方和监理单位对安全生产、文明施工的监督管理。凡安全隐患问题屡教不改的或整改措施不力的，每项每次对施工单位处于500-5000元以下的罚款，对施工方负责人及当事人给予经济处罚,处罚金额也从工程款中扣除，乙方对此无异议；如因乙方管理责任或操作人员违反操作规范、规程发生人员伤亡事故或建设工地发生火灾事故，对施工单位处1-2万以下罚款，从工程款中扣除，对施工负责人及当事人给予经济处罚，处罚金额也从工程款中扣除，乙方对此无异议。</w:t>
      </w:r>
    </w:p>
    <w:p w14:paraId="427052AA">
      <w:pPr>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四、其他</w:t>
      </w:r>
    </w:p>
    <w:p w14:paraId="0A71166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本协议有效期自双方签字或盖章之日起至施工结束退场完毕时终止。</w:t>
      </w:r>
    </w:p>
    <w:p w14:paraId="4447FF68">
      <w:pPr>
        <w:spacing w:line="360" w:lineRule="auto"/>
        <w:ind w:firstLine="480" w:firstLineChars="200"/>
        <w:jc w:val="left"/>
        <w:rPr>
          <w:rFonts w:hint="eastAsia" w:ascii="宋体" w:hAnsi="宋体" w:eastAsia="宋体" w:cs="宋体"/>
          <w:color w:val="auto"/>
          <w:sz w:val="24"/>
          <w:szCs w:val="24"/>
          <w:highlight w:val="none"/>
        </w:rPr>
      </w:pPr>
    </w:p>
    <w:p w14:paraId="499DC976">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                     乙方：（盖章）</w:t>
      </w:r>
    </w:p>
    <w:p w14:paraId="67DC41C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代表签字：                         代表签字：</w:t>
      </w:r>
    </w:p>
    <w:p w14:paraId="6BDCB083">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日期：年月日                       日期：年月日</w:t>
      </w:r>
    </w:p>
    <w:p w14:paraId="75ED47A1">
      <w:pPr>
        <w:pStyle w:val="9"/>
        <w:ind w:left="1680"/>
        <w:rPr>
          <w:color w:val="auto"/>
          <w:highlight w:val="none"/>
        </w:rPr>
        <w:sectPr>
          <w:pgSz w:w="11906" w:h="16838"/>
          <w:pgMar w:top="1440" w:right="1800" w:bottom="1440" w:left="1800" w:header="851" w:footer="992" w:gutter="0"/>
          <w:cols w:space="425" w:num="1"/>
          <w:docGrid w:type="lines" w:linePitch="312" w:charSpace="0"/>
        </w:sectPr>
      </w:pPr>
    </w:p>
    <w:p w14:paraId="06BCEBEC">
      <w:pPr>
        <w:snapToGrid w:val="0"/>
        <w:spacing w:line="30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第六章 合同授予</w:t>
      </w:r>
    </w:p>
    <w:p w14:paraId="28B5CD90">
      <w:pPr>
        <w:snapToGrid w:val="0"/>
        <w:spacing w:line="440" w:lineRule="exact"/>
        <w:ind w:firstLine="442" w:firstLineChars="200"/>
        <w:contextualSpacing/>
        <w:rPr>
          <w:rFonts w:ascii="宋体" w:hAnsi="宋体" w:cs="宋体"/>
          <w:color w:val="auto"/>
          <w:sz w:val="22"/>
          <w:szCs w:val="22"/>
          <w:highlight w:val="none"/>
        </w:rPr>
      </w:pPr>
      <w:r>
        <w:rPr>
          <w:rFonts w:hint="eastAsia" w:ascii="宋体" w:hAnsi="宋体" w:cs="宋体"/>
          <w:b/>
          <w:color w:val="auto"/>
          <w:sz w:val="22"/>
          <w:szCs w:val="22"/>
          <w:highlight w:val="none"/>
        </w:rPr>
        <w:t>一</w:t>
      </w:r>
      <w:r>
        <w:rPr>
          <w:rFonts w:hint="eastAsia" w:ascii="宋体" w:hAnsi="宋体" w:cs="宋体"/>
          <w:color w:val="auto"/>
          <w:sz w:val="22"/>
          <w:szCs w:val="22"/>
          <w:highlight w:val="none"/>
        </w:rPr>
        <w:t>、中标供应商和采购人需在《中标通知书》发出之日起</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日内签订合同。合同签订后中标供应商方可履约，否则引起的一切后果由中标供应商自行承担。</w:t>
      </w:r>
      <w:r>
        <w:rPr>
          <w:rFonts w:hint="eastAsia" w:ascii="宋体" w:hAnsi="宋体" w:cs="宋体"/>
          <w:b/>
          <w:color w:val="auto"/>
          <w:sz w:val="22"/>
          <w:szCs w:val="22"/>
          <w:highlight w:val="none"/>
        </w:rPr>
        <w:t>纸质合同一式</w:t>
      </w:r>
      <w:r>
        <w:rPr>
          <w:rFonts w:hint="eastAsia" w:ascii="宋体" w:hAnsi="宋体" w:cs="宋体"/>
          <w:b/>
          <w:color w:val="auto"/>
          <w:sz w:val="22"/>
          <w:szCs w:val="22"/>
          <w:highlight w:val="none"/>
          <w:lang w:val="en-US" w:eastAsia="zh-CN"/>
        </w:rPr>
        <w:t>捌</w:t>
      </w:r>
      <w:r>
        <w:rPr>
          <w:rFonts w:hint="eastAsia" w:ascii="宋体" w:hAnsi="宋体" w:cs="宋体"/>
          <w:b/>
          <w:color w:val="auto"/>
          <w:sz w:val="22"/>
          <w:szCs w:val="22"/>
          <w:highlight w:val="none"/>
        </w:rPr>
        <w:t>份，采购人执</w:t>
      </w:r>
      <w:r>
        <w:rPr>
          <w:rFonts w:hint="eastAsia" w:ascii="宋体" w:hAnsi="宋体" w:cs="宋体"/>
          <w:b/>
          <w:color w:val="auto"/>
          <w:sz w:val="22"/>
          <w:szCs w:val="22"/>
          <w:highlight w:val="none"/>
          <w:lang w:val="en-US" w:eastAsia="zh-CN"/>
        </w:rPr>
        <w:t>肆</w:t>
      </w:r>
      <w:r>
        <w:rPr>
          <w:rFonts w:hint="eastAsia" w:ascii="宋体" w:hAnsi="宋体" w:cs="宋体"/>
          <w:b/>
          <w:color w:val="auto"/>
          <w:sz w:val="22"/>
          <w:szCs w:val="22"/>
          <w:highlight w:val="none"/>
        </w:rPr>
        <w:t>份、供应商执</w:t>
      </w:r>
      <w:r>
        <w:rPr>
          <w:rFonts w:hint="eastAsia" w:ascii="宋体" w:hAnsi="宋体" w:cs="宋体"/>
          <w:b/>
          <w:color w:val="auto"/>
          <w:sz w:val="22"/>
          <w:szCs w:val="22"/>
          <w:highlight w:val="none"/>
          <w:lang w:val="en-US" w:eastAsia="zh-CN"/>
        </w:rPr>
        <w:t>肆</w:t>
      </w:r>
      <w:r>
        <w:rPr>
          <w:rFonts w:hint="eastAsia" w:ascii="宋体" w:hAnsi="宋体" w:cs="宋体"/>
          <w:b/>
          <w:color w:val="auto"/>
          <w:sz w:val="22"/>
          <w:szCs w:val="22"/>
          <w:highlight w:val="none"/>
        </w:rPr>
        <w:t>份。</w:t>
      </w:r>
      <w:r>
        <w:rPr>
          <w:rFonts w:hint="eastAsia" w:ascii="宋体" w:hAnsi="宋体" w:cs="宋体"/>
          <w:color w:val="auto"/>
          <w:sz w:val="22"/>
          <w:szCs w:val="22"/>
          <w:highlight w:val="none"/>
          <w:lang w:val="zh-CN"/>
        </w:rPr>
        <w:t>所签合同不得对采购文件作实质性修改</w:t>
      </w:r>
      <w:r>
        <w:rPr>
          <w:rFonts w:hint="eastAsia" w:ascii="宋体" w:hAnsi="宋体" w:cs="宋体"/>
          <w:color w:val="auto"/>
          <w:sz w:val="22"/>
          <w:szCs w:val="22"/>
          <w:highlight w:val="none"/>
        </w:rPr>
        <w:t>。采购人不得向中标供应商提出不合理的要求作为签订合同的条件，不得与中标供应商私下订立背离采购文件实质性内容的协议。</w:t>
      </w:r>
    </w:p>
    <w:p w14:paraId="19BD7DC1">
      <w:pPr>
        <w:snapToGrid w:val="0"/>
        <w:spacing w:line="440" w:lineRule="exact"/>
        <w:ind w:firstLine="442" w:firstLineChars="200"/>
        <w:contextualSpacing/>
        <w:rPr>
          <w:rFonts w:ascii="宋体" w:hAnsi="宋体" w:cs="宋体"/>
          <w:color w:val="auto"/>
          <w:sz w:val="22"/>
          <w:szCs w:val="22"/>
          <w:highlight w:val="none"/>
        </w:rPr>
      </w:pPr>
      <w:r>
        <w:rPr>
          <w:rFonts w:hint="eastAsia" w:ascii="宋体" w:hAnsi="宋体" w:cs="宋体"/>
          <w:b/>
          <w:color w:val="auto"/>
          <w:sz w:val="22"/>
          <w:szCs w:val="22"/>
          <w:highlight w:val="none"/>
        </w:rPr>
        <w:t>二</w:t>
      </w:r>
      <w:r>
        <w:rPr>
          <w:rFonts w:hint="eastAsia" w:ascii="宋体" w:hAnsi="宋体" w:cs="宋体"/>
          <w:color w:val="auto"/>
          <w:sz w:val="22"/>
          <w:szCs w:val="22"/>
          <w:highlight w:val="none"/>
        </w:rPr>
        <w:t>、</w:t>
      </w:r>
      <w:bookmarkStart w:id="11" w:name="OLE_LINK2"/>
      <w:bookmarkStart w:id="12" w:name="OLE_LINK1"/>
      <w:r>
        <w:rPr>
          <w:rFonts w:hint="eastAsia" w:ascii="宋体" w:hAnsi="宋体" w:cs="宋体"/>
          <w:color w:val="auto"/>
          <w:sz w:val="22"/>
          <w:szCs w:val="22"/>
          <w:highlight w:val="none"/>
        </w:rPr>
        <w:t>采购人按合同约定积极配合中标供应商履约，中标供应商履约到位后，请以书面形式向采购人提出验收申请，采购人接到申请后及时组织相关专业技术人员，必要时邀请专家、质检等部门共同参与验收，并出具验收报告，验收合格的支付相应款项。</w:t>
      </w:r>
    </w:p>
    <w:p w14:paraId="1EC5B09B">
      <w:pPr>
        <w:snapToGrid w:val="0"/>
        <w:spacing w:line="440" w:lineRule="exact"/>
        <w:ind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1C7618DF">
      <w:pPr>
        <w:snapToGrid w:val="0"/>
        <w:spacing w:line="440" w:lineRule="exact"/>
        <w:ind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67DCDD77">
      <w:pPr>
        <w:snapToGrid w:val="0"/>
        <w:spacing w:line="440" w:lineRule="exact"/>
        <w:ind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五、不响应付款方式的，视同无效投标处理。实际付款方式以最终签订采购合同为准。</w:t>
      </w:r>
    </w:p>
    <w:p w14:paraId="429575AB">
      <w:pPr>
        <w:snapToGrid w:val="0"/>
        <w:spacing w:line="440" w:lineRule="exact"/>
        <w:ind w:firstLine="440" w:firstLineChars="200"/>
        <w:contextualSpacing/>
        <w:rPr>
          <w:rFonts w:ascii="宋体" w:hAnsi="宋体" w:cs="宋体"/>
          <w:color w:val="auto"/>
          <w:sz w:val="22"/>
          <w:szCs w:val="22"/>
          <w:highlight w:val="none"/>
        </w:rPr>
      </w:pPr>
      <w:r>
        <w:rPr>
          <w:rFonts w:hint="eastAsia" w:ascii="宋体" w:hAnsi="宋体" w:cs="宋体"/>
          <w:color w:val="auto"/>
          <w:sz w:val="22"/>
          <w:szCs w:val="22"/>
          <w:highlight w:val="none"/>
        </w:rPr>
        <w:t>款项由采购人按相关财务支付规定办理支付手续。不得故意拖延支付时间</w:t>
      </w:r>
      <w:bookmarkEnd w:id="11"/>
      <w:bookmarkEnd w:id="12"/>
      <w:r>
        <w:rPr>
          <w:rFonts w:hint="eastAsia" w:ascii="宋体" w:hAnsi="宋体" w:cs="宋体"/>
          <w:color w:val="auto"/>
          <w:sz w:val="22"/>
          <w:szCs w:val="22"/>
          <w:highlight w:val="none"/>
        </w:rPr>
        <w:t>。</w:t>
      </w:r>
    </w:p>
    <w:p w14:paraId="2A42B886">
      <w:pPr>
        <w:spacing w:line="261" w:lineRule="auto"/>
        <w:rPr>
          <w:color w:val="auto"/>
          <w:highlight w:val="none"/>
        </w:rPr>
      </w:pPr>
    </w:p>
    <w:p w14:paraId="06579107">
      <w:pPr>
        <w:spacing w:line="261" w:lineRule="auto"/>
        <w:rPr>
          <w:color w:val="auto"/>
          <w:highlight w:val="none"/>
        </w:rPr>
      </w:pPr>
    </w:p>
    <w:p w14:paraId="2C2C5327">
      <w:pPr>
        <w:spacing w:line="261" w:lineRule="auto"/>
        <w:rPr>
          <w:color w:val="auto"/>
          <w:highlight w:val="none"/>
        </w:rPr>
      </w:pPr>
    </w:p>
    <w:p w14:paraId="4236924E">
      <w:pPr>
        <w:pStyle w:val="5"/>
        <w:rPr>
          <w:color w:val="auto"/>
          <w:highlight w:val="none"/>
        </w:rPr>
      </w:pPr>
    </w:p>
    <w:p w14:paraId="78662174">
      <w:pPr>
        <w:pStyle w:val="38"/>
        <w:rPr>
          <w:color w:val="auto"/>
          <w:highlight w:val="none"/>
        </w:rPr>
      </w:pPr>
    </w:p>
    <w:p w14:paraId="5784E097">
      <w:pPr>
        <w:rPr>
          <w:color w:val="auto"/>
          <w:highlight w:val="none"/>
        </w:rPr>
      </w:pPr>
    </w:p>
    <w:p w14:paraId="75430092">
      <w:pPr>
        <w:pStyle w:val="5"/>
        <w:rPr>
          <w:color w:val="auto"/>
          <w:highlight w:val="none"/>
        </w:rPr>
      </w:pPr>
    </w:p>
    <w:p w14:paraId="3B7EF480">
      <w:pPr>
        <w:pStyle w:val="38"/>
        <w:rPr>
          <w:color w:val="auto"/>
          <w:highlight w:val="none"/>
        </w:rPr>
      </w:pPr>
    </w:p>
    <w:p w14:paraId="2C73EF5A">
      <w:pPr>
        <w:rPr>
          <w:color w:val="auto"/>
          <w:highlight w:val="none"/>
        </w:rPr>
      </w:pPr>
    </w:p>
    <w:p w14:paraId="5E1DE58B">
      <w:pPr>
        <w:pStyle w:val="5"/>
        <w:rPr>
          <w:color w:val="auto"/>
          <w:highlight w:val="none"/>
        </w:rPr>
      </w:pPr>
    </w:p>
    <w:p w14:paraId="567CC77C">
      <w:pPr>
        <w:pStyle w:val="38"/>
        <w:rPr>
          <w:color w:val="auto"/>
          <w:highlight w:val="none"/>
        </w:rPr>
      </w:pPr>
    </w:p>
    <w:p w14:paraId="2C824175">
      <w:pPr>
        <w:rPr>
          <w:color w:val="auto"/>
          <w:highlight w:val="none"/>
        </w:rPr>
      </w:pPr>
    </w:p>
    <w:p w14:paraId="17B8C1DB">
      <w:pPr>
        <w:rPr>
          <w:color w:val="auto"/>
          <w:highlight w:val="none"/>
        </w:rPr>
      </w:pPr>
      <w:r>
        <w:rPr>
          <w:color w:val="auto"/>
          <w:highlight w:val="none"/>
        </w:rPr>
        <w:br w:type="page"/>
      </w:r>
    </w:p>
    <w:p w14:paraId="0B2CE016">
      <w:pPr>
        <w:pStyle w:val="73"/>
        <w:spacing w:before="312" w:after="312" w:line="360" w:lineRule="auto"/>
        <w:rPr>
          <w:rFonts w:ascii="宋体" w:eastAsia="宋体"/>
          <w:color w:val="auto"/>
          <w:sz w:val="36"/>
          <w:szCs w:val="36"/>
          <w:highlight w:val="none"/>
        </w:rPr>
      </w:pPr>
      <w:r>
        <w:rPr>
          <w:rFonts w:hint="eastAsia" w:ascii="宋体" w:eastAsia="宋体"/>
          <w:color w:val="auto"/>
          <w:sz w:val="36"/>
          <w:szCs w:val="36"/>
          <w:highlight w:val="none"/>
        </w:rPr>
        <w:t xml:space="preserve">第七章 </w:t>
      </w:r>
      <w:r>
        <w:rPr>
          <w:rFonts w:hint="eastAsia" w:ascii="宋体" w:eastAsia="宋体"/>
          <w:color w:val="auto"/>
          <w:sz w:val="36"/>
          <w:szCs w:val="36"/>
          <w:highlight w:val="none"/>
          <w:lang w:eastAsia="zh-CN"/>
        </w:rPr>
        <w:t>异议</w:t>
      </w:r>
      <w:r>
        <w:rPr>
          <w:rFonts w:hint="eastAsia" w:ascii="宋体" w:eastAsia="宋体"/>
          <w:color w:val="auto"/>
          <w:sz w:val="36"/>
          <w:szCs w:val="36"/>
          <w:highlight w:val="none"/>
        </w:rPr>
        <w:t>与投诉</w:t>
      </w:r>
    </w:p>
    <w:p w14:paraId="12ED7F1E">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的提出</w:t>
      </w:r>
    </w:p>
    <w:p w14:paraId="7837233B">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人必须是直接参加本次投标活动的当事人。</w:t>
      </w:r>
    </w:p>
    <w:p w14:paraId="31A5E5B6">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2、下载招标文件的投标人应根据第二章“投标人须知”中第一条第4款的约定提出；响应文件接收截止后，投标人未进行投标登记的，不能就响应文件接收截止后的招投标过程、中标结果提出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；在投标过程中，凡主持人或评标小组明确提出须由投标人确认的事项，投标人当场无异议的，事后不得提出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w:t>
      </w:r>
    </w:p>
    <w:p w14:paraId="6AB40989">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时，必须坚持“谁主张，谁举证”、“实事求是”的原则，不能臆测。属于须由法定部门调查、侦查或先行作出相关认定的事项，</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人应当依法申请具有法定职权的部门查清、认定，并将相关结果提供给招标人或代理机构。招标人或代理机构不具有法定调查、认定权限。</w:t>
      </w:r>
    </w:p>
    <w:p w14:paraId="2A202195">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4、对本次招标有</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的，实行实名制，不得进行虚假、恶意</w:t>
      </w:r>
      <w:r>
        <w:rPr>
          <w:rFonts w:hint="eastAsia" w:ascii="宋体" w:hAnsi="宋体" w:cs="宋体"/>
          <w:color w:val="auto"/>
          <w:sz w:val="24"/>
          <w:highlight w:val="none"/>
          <w:lang w:eastAsia="zh-CN"/>
        </w:rPr>
        <w:t>异议</w:t>
      </w:r>
      <w:r>
        <w:rPr>
          <w:rFonts w:hint="eastAsia" w:ascii="宋体" w:hAnsi="宋体" w:cs="宋体"/>
          <w:color w:val="auto"/>
          <w:sz w:val="24"/>
          <w:highlight w:val="none"/>
        </w:rPr>
        <w:t>。</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人应在</w:t>
      </w:r>
      <w:r>
        <w:rPr>
          <w:rFonts w:hint="eastAsia" w:ascii="宋体" w:hAnsi="宋体" w:cs="宋体"/>
          <w:color w:val="auto"/>
          <w:sz w:val="24"/>
          <w:highlight w:val="none"/>
          <w:lang w:eastAsia="zh-CN"/>
        </w:rPr>
        <w:t>异议</w:t>
      </w:r>
      <w:r>
        <w:rPr>
          <w:rFonts w:hint="eastAsia" w:ascii="宋体" w:hAnsi="宋体" w:cs="宋体"/>
          <w:color w:val="auto"/>
          <w:sz w:val="24"/>
          <w:highlight w:val="none"/>
        </w:rPr>
        <w:t>有效期内以书面形式提出《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函》（格式请下载），《</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函》内容应包括</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事项、主要内容、事实依据、适</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法规条款、佐证材料等。同时，</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人应保证其提出的</w:t>
      </w:r>
      <w:r>
        <w:rPr>
          <w:rFonts w:hint="eastAsia" w:ascii="宋体" w:hAnsi="宋体" w:cs="宋体"/>
          <w:color w:val="auto"/>
          <w:sz w:val="24"/>
          <w:highlight w:val="none"/>
          <w:lang w:eastAsia="zh-CN"/>
        </w:rPr>
        <w:t>异议</w:t>
      </w:r>
      <w:r>
        <w:rPr>
          <w:rFonts w:hint="eastAsia" w:ascii="宋体" w:hAnsi="宋体" w:cs="宋体"/>
          <w:color w:val="auto"/>
          <w:sz w:val="24"/>
          <w:highlight w:val="none"/>
        </w:rPr>
        <w:t>内容及相关佐证材料的真实性及来源的合法性，并承担相应的法律责任。</w:t>
      </w:r>
    </w:p>
    <w:p w14:paraId="4CB08985">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对不能提供相关佐证材料的、涉及商业秘密的、非书面形式的、非送达的、匿名的《</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函》将不予受理。</w:t>
      </w:r>
    </w:p>
    <w:p w14:paraId="2C9C80D2">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相关佐证材料要具备客观性、关联性、合法性，无法查实的（如宣传册、媒体报道、猜测、推理等）不能作为佐证材料。</w:t>
      </w:r>
    </w:p>
    <w:p w14:paraId="16A11DC3">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招标人或代理机构不负责搜集相关佐证材料等工作。</w:t>
      </w:r>
    </w:p>
    <w:p w14:paraId="5CD6F9C2">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函》的受理和回复</w:t>
      </w:r>
    </w:p>
    <w:p w14:paraId="6BBF4DE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函》须由</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人的法定代表人或参加本次投标授权人送达招标人和代理机构。</w:t>
      </w:r>
    </w:p>
    <w:p w14:paraId="1C0BAF5A">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2、对符合提出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要求的，招标人、代理机构签收并出具《</w:t>
      </w:r>
      <w:r>
        <w:rPr>
          <w:rFonts w:hint="eastAsia" w:ascii="宋体" w:hAnsi="宋体" w:cs="宋体"/>
          <w:color w:val="auto"/>
          <w:sz w:val="24"/>
          <w:highlight w:val="none"/>
          <w:lang w:eastAsia="zh-CN"/>
        </w:rPr>
        <w:t>异议</w:t>
      </w:r>
      <w:r>
        <w:rPr>
          <w:rFonts w:hint="eastAsia" w:ascii="宋体" w:hAnsi="宋体" w:cs="宋体"/>
          <w:color w:val="auto"/>
          <w:sz w:val="24"/>
          <w:highlight w:val="none"/>
        </w:rPr>
        <w:t>受理通知书》。在处理过程中，发现需要</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人进一步补充相关佐证材料的，请</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人在规定的时间内提供，</w:t>
      </w:r>
      <w:r>
        <w:rPr>
          <w:rFonts w:hint="eastAsia" w:ascii="宋体" w:hAnsi="宋体" w:cs="宋体"/>
          <w:color w:val="auto"/>
          <w:sz w:val="24"/>
          <w:highlight w:val="none"/>
          <w:lang w:eastAsia="zh-CN"/>
        </w:rPr>
        <w:t>异议</w:t>
      </w:r>
      <w:r>
        <w:rPr>
          <w:rFonts w:hint="eastAsia" w:ascii="宋体" w:hAnsi="宋体" w:cs="宋体"/>
          <w:color w:val="auto"/>
          <w:sz w:val="24"/>
          <w:highlight w:val="none"/>
        </w:rPr>
        <w:t>回复时间相应顺延。</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人不能按时提供相关佐证材料的，视同放弃</w:t>
      </w:r>
      <w:r>
        <w:rPr>
          <w:rFonts w:hint="eastAsia" w:ascii="宋体" w:hAnsi="宋体" w:cs="宋体"/>
          <w:color w:val="auto"/>
          <w:sz w:val="24"/>
          <w:highlight w:val="none"/>
          <w:lang w:eastAsia="zh-CN"/>
        </w:rPr>
        <w:t>异议</w:t>
      </w:r>
      <w:r>
        <w:rPr>
          <w:rFonts w:hint="eastAsia" w:ascii="宋体" w:hAnsi="宋体" w:cs="宋体"/>
          <w:color w:val="auto"/>
          <w:sz w:val="24"/>
          <w:highlight w:val="none"/>
        </w:rPr>
        <w:t>。</w:t>
      </w:r>
    </w:p>
    <w:p w14:paraId="0DCF3CB6">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3、对不符合提出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要求的，出具《</w:t>
      </w:r>
      <w:r>
        <w:rPr>
          <w:rFonts w:hint="eastAsia" w:ascii="宋体" w:hAnsi="宋体" w:cs="宋体"/>
          <w:color w:val="auto"/>
          <w:sz w:val="24"/>
          <w:highlight w:val="none"/>
          <w:lang w:eastAsia="zh-CN"/>
        </w:rPr>
        <w:t>异议</w:t>
      </w:r>
      <w:r>
        <w:rPr>
          <w:rFonts w:hint="eastAsia" w:ascii="宋体" w:hAnsi="宋体" w:cs="宋体"/>
          <w:color w:val="auto"/>
          <w:sz w:val="24"/>
          <w:highlight w:val="none"/>
        </w:rPr>
        <w:t>退回通知书》并提出相关补充材料要求，</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人未在规定的时间内提供补充佐证材料的，视同放弃</w:t>
      </w:r>
      <w:r>
        <w:rPr>
          <w:rFonts w:hint="eastAsia" w:ascii="宋体" w:hAnsi="宋体" w:cs="宋体"/>
          <w:color w:val="auto"/>
          <w:sz w:val="24"/>
          <w:highlight w:val="none"/>
          <w:lang w:eastAsia="zh-CN"/>
        </w:rPr>
        <w:t>异议</w:t>
      </w:r>
      <w:r>
        <w:rPr>
          <w:rFonts w:hint="eastAsia" w:ascii="宋体" w:hAnsi="宋体" w:cs="宋体"/>
          <w:color w:val="auto"/>
          <w:sz w:val="24"/>
          <w:highlight w:val="none"/>
        </w:rPr>
        <w:t>。</w:t>
      </w:r>
    </w:p>
    <w:p w14:paraId="1BD9D8C2">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4、招标人、代理机构负责将</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人提出的</w:t>
      </w:r>
      <w:r>
        <w:rPr>
          <w:rFonts w:hint="eastAsia" w:ascii="宋体" w:hAnsi="宋体" w:cs="宋体"/>
          <w:color w:val="auto"/>
          <w:sz w:val="24"/>
          <w:highlight w:val="none"/>
          <w:lang w:eastAsia="zh-CN"/>
        </w:rPr>
        <w:t>异议</w:t>
      </w:r>
      <w:r>
        <w:rPr>
          <w:rFonts w:hint="eastAsia" w:ascii="宋体" w:hAnsi="宋体" w:cs="宋体"/>
          <w:color w:val="auto"/>
          <w:sz w:val="24"/>
          <w:highlight w:val="none"/>
        </w:rPr>
        <w:t>相关材料提供给相关专家或评标小组审核，并将审核意见回复</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w:t>
      </w:r>
    </w:p>
    <w:p w14:paraId="49163C4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必要时，可向被</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人转发《</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函》及相关佐证材料。被</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人应当在要求的时间内，以书面形式作出说明，并提交相关证据。被</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人在规定时间内，无正当理由未提交相关证据的，视同放弃说明权利，认可被</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事项。</w:t>
      </w:r>
    </w:p>
    <w:p w14:paraId="20A7FEF5">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5、因</w:t>
      </w:r>
      <w:r>
        <w:rPr>
          <w:rFonts w:hint="eastAsia" w:ascii="宋体" w:hAnsi="宋体" w:cs="宋体"/>
          <w:color w:val="auto"/>
          <w:sz w:val="24"/>
          <w:highlight w:val="none"/>
          <w:lang w:eastAsia="zh-CN"/>
        </w:rPr>
        <w:t>异议</w:t>
      </w:r>
      <w:r>
        <w:rPr>
          <w:rFonts w:hint="eastAsia" w:ascii="宋体" w:hAnsi="宋体" w:cs="宋体"/>
          <w:color w:val="auto"/>
          <w:sz w:val="24"/>
          <w:highlight w:val="none"/>
        </w:rPr>
        <w:t>情况复杂，组织论证或审查时间较长的，招标人、代理机构以书面形式通知</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人，可适当延长</w:t>
      </w:r>
      <w:r>
        <w:rPr>
          <w:rFonts w:hint="eastAsia" w:ascii="宋体" w:hAnsi="宋体" w:cs="宋体"/>
          <w:color w:val="auto"/>
          <w:sz w:val="24"/>
          <w:highlight w:val="none"/>
          <w:lang w:eastAsia="zh-CN"/>
        </w:rPr>
        <w:t>异议</w:t>
      </w:r>
      <w:r>
        <w:rPr>
          <w:rFonts w:hint="eastAsia" w:ascii="宋体" w:hAnsi="宋体" w:cs="宋体"/>
          <w:color w:val="auto"/>
          <w:sz w:val="24"/>
          <w:highlight w:val="none"/>
        </w:rPr>
        <w:t>回复处理时间。</w:t>
      </w:r>
    </w:p>
    <w:p w14:paraId="3A0B9DA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lang w:eastAsia="zh-CN"/>
        </w:rPr>
        <w:t>异议</w:t>
      </w:r>
      <w:r>
        <w:rPr>
          <w:rFonts w:hint="eastAsia" w:ascii="宋体" w:hAnsi="宋体" w:cs="宋体"/>
          <w:color w:val="auto"/>
          <w:sz w:val="24"/>
          <w:highlight w:val="none"/>
        </w:rPr>
        <w:t>处理</w:t>
      </w:r>
    </w:p>
    <w:p w14:paraId="59981CB6">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异议</w:t>
      </w:r>
      <w:r>
        <w:rPr>
          <w:rFonts w:hint="eastAsia" w:ascii="宋体" w:hAnsi="宋体" w:cs="宋体"/>
          <w:color w:val="auto"/>
          <w:sz w:val="24"/>
          <w:highlight w:val="none"/>
        </w:rPr>
        <w:t>成立的处理。招标人或代理机构终止采购，并建议有关部门给相关当事人予以处理。</w:t>
      </w:r>
    </w:p>
    <w:p w14:paraId="5F877F8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异议</w:t>
      </w:r>
      <w:r>
        <w:rPr>
          <w:rFonts w:hint="eastAsia" w:ascii="宋体" w:hAnsi="宋体" w:cs="宋体"/>
          <w:color w:val="auto"/>
          <w:sz w:val="24"/>
          <w:highlight w:val="none"/>
        </w:rPr>
        <w:t>不成立的处理。</w:t>
      </w:r>
    </w:p>
    <w:p w14:paraId="07BEF7D9">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人书面《申请撤回</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函》的，不作违约处理。</w:t>
      </w:r>
    </w:p>
    <w:p w14:paraId="28D2C7F0">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人在规定的时间内不配合进行</w:t>
      </w:r>
      <w:r>
        <w:rPr>
          <w:rFonts w:hint="eastAsia" w:ascii="宋体" w:hAnsi="宋体" w:cs="宋体"/>
          <w:color w:val="auto"/>
          <w:sz w:val="24"/>
          <w:highlight w:val="none"/>
          <w:lang w:eastAsia="zh-CN"/>
        </w:rPr>
        <w:t>异议</w:t>
      </w:r>
      <w:r>
        <w:rPr>
          <w:rFonts w:hint="eastAsia" w:ascii="宋体" w:hAnsi="宋体" w:cs="宋体"/>
          <w:color w:val="auto"/>
          <w:sz w:val="24"/>
          <w:highlight w:val="none"/>
        </w:rPr>
        <w:t>调查处理的，按自动撤回《</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函》处理。</w:t>
      </w:r>
    </w:p>
    <w:p w14:paraId="229498F1">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人不按《</w:t>
      </w:r>
      <w:r>
        <w:rPr>
          <w:rFonts w:hint="eastAsia" w:ascii="宋体" w:hAnsi="宋体" w:cs="宋体"/>
          <w:color w:val="auto"/>
          <w:sz w:val="24"/>
          <w:highlight w:val="none"/>
          <w:lang w:eastAsia="zh-CN"/>
        </w:rPr>
        <w:t>异议</w:t>
      </w:r>
      <w:r>
        <w:rPr>
          <w:rFonts w:hint="eastAsia" w:ascii="宋体" w:hAnsi="宋体" w:cs="宋体"/>
          <w:color w:val="auto"/>
          <w:sz w:val="24"/>
          <w:highlight w:val="none"/>
        </w:rPr>
        <w:t>函》格式就提出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的，作违约处理。同时，视情列入不良投标人名单。</w:t>
      </w:r>
    </w:p>
    <w:p w14:paraId="11CB9603">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人虽提供了相关佐证材料，但不能证明其</w:t>
      </w:r>
      <w:r>
        <w:rPr>
          <w:rFonts w:hint="eastAsia" w:ascii="宋体" w:hAnsi="宋体" w:cs="宋体"/>
          <w:color w:val="auto"/>
          <w:sz w:val="24"/>
          <w:highlight w:val="none"/>
          <w:lang w:eastAsia="zh-CN"/>
        </w:rPr>
        <w:t>异议</w:t>
      </w:r>
      <w:r>
        <w:rPr>
          <w:rFonts w:hint="eastAsia" w:ascii="宋体" w:hAnsi="宋体" w:cs="宋体"/>
          <w:color w:val="auto"/>
          <w:sz w:val="24"/>
          <w:highlight w:val="none"/>
        </w:rPr>
        <w:t>成立的，招标人或代理机构请</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人补充相关佐证材料，仍不能证明其</w:t>
      </w:r>
      <w:r>
        <w:rPr>
          <w:rFonts w:hint="eastAsia" w:ascii="宋体" w:hAnsi="宋体" w:cs="宋体"/>
          <w:color w:val="auto"/>
          <w:sz w:val="24"/>
          <w:highlight w:val="none"/>
          <w:lang w:eastAsia="zh-CN"/>
        </w:rPr>
        <w:t>异议</w:t>
      </w:r>
      <w:r>
        <w:rPr>
          <w:rFonts w:hint="eastAsia" w:ascii="宋体" w:hAnsi="宋体" w:cs="宋体"/>
          <w:color w:val="auto"/>
          <w:sz w:val="24"/>
          <w:highlight w:val="none"/>
        </w:rPr>
        <w:t>成立的，作违约处理。并将其列入不良投标人名单。</w:t>
      </w:r>
    </w:p>
    <w:p w14:paraId="5BED19BF">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人不能提供相关佐证材料的，招标人、代理机构已指出，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人仍然坚持提出</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的，作违约处理。同时，列入不良投标人名单。</w:t>
      </w:r>
    </w:p>
    <w:p w14:paraId="2318A099">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6）对明显有违事实的、经相关专家或评标小组认定无依据的、经其他投标人举证无依据的</w:t>
      </w:r>
      <w:r>
        <w:rPr>
          <w:rFonts w:hint="eastAsia" w:ascii="宋体" w:hAnsi="宋体" w:cs="宋体"/>
          <w:color w:val="auto"/>
          <w:sz w:val="24"/>
          <w:highlight w:val="none"/>
          <w:lang w:eastAsia="zh-CN"/>
        </w:rPr>
        <w:t>异议</w:t>
      </w:r>
      <w:r>
        <w:rPr>
          <w:rFonts w:hint="eastAsia" w:ascii="宋体" w:hAnsi="宋体" w:cs="宋体"/>
          <w:color w:val="auto"/>
          <w:sz w:val="24"/>
          <w:highlight w:val="none"/>
        </w:rPr>
        <w:t>，作违约处理，列入不良投标人名单。</w:t>
      </w:r>
    </w:p>
    <w:p w14:paraId="2E40D783">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异议</w:t>
      </w:r>
      <w:r>
        <w:rPr>
          <w:rFonts w:hint="eastAsia" w:ascii="宋体" w:hAnsi="宋体" w:cs="宋体"/>
          <w:color w:val="auto"/>
          <w:sz w:val="24"/>
          <w:highlight w:val="none"/>
        </w:rPr>
        <w:t>人承担使用虚假材料或恶意方式</w:t>
      </w:r>
      <w:r>
        <w:rPr>
          <w:rFonts w:hint="eastAsia" w:ascii="宋体" w:hAnsi="宋体" w:cs="宋体"/>
          <w:color w:val="auto"/>
          <w:sz w:val="24"/>
          <w:highlight w:val="none"/>
          <w:lang w:eastAsia="zh-CN"/>
        </w:rPr>
        <w:t>异议</w:t>
      </w:r>
      <w:r>
        <w:rPr>
          <w:rFonts w:hint="eastAsia" w:ascii="宋体" w:hAnsi="宋体" w:cs="宋体"/>
          <w:color w:val="auto"/>
          <w:sz w:val="24"/>
          <w:highlight w:val="none"/>
        </w:rPr>
        <w:t>的法律责任。</w:t>
      </w:r>
    </w:p>
    <w:p w14:paraId="765F8D51">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四、无佐证材料的举报作违约处理。投标人不得进行不提供相关佐证材料（含无法查实的如宣传册、媒体报道、猜测、推理等）向有关部门的举报，否则作违约处理。同时对其在1至3年内禁入由招标人组织的招标活动的违约处理。</w:t>
      </w:r>
    </w:p>
    <w:p w14:paraId="79A73A04">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五、投诉不成立的作违约处理。投标人进行</w:t>
      </w:r>
      <w:r>
        <w:rPr>
          <w:rFonts w:hint="eastAsia" w:ascii="宋体" w:hAnsi="宋体" w:cs="宋体"/>
          <w:color w:val="auto"/>
          <w:sz w:val="24"/>
          <w:highlight w:val="none"/>
          <w:lang w:eastAsia="zh-CN"/>
        </w:rPr>
        <w:t>异议</w:t>
      </w:r>
      <w:r>
        <w:rPr>
          <w:rFonts w:hint="eastAsia" w:ascii="宋体" w:hAnsi="宋体" w:cs="宋体"/>
          <w:color w:val="auto"/>
          <w:sz w:val="24"/>
          <w:highlight w:val="none"/>
        </w:rPr>
        <w:t>后，招标人回复</w:t>
      </w:r>
      <w:r>
        <w:rPr>
          <w:rFonts w:hint="eastAsia" w:ascii="宋体" w:hAnsi="宋体" w:cs="宋体"/>
          <w:color w:val="auto"/>
          <w:sz w:val="24"/>
          <w:highlight w:val="none"/>
          <w:lang w:eastAsia="zh-CN"/>
        </w:rPr>
        <w:t>异议</w:t>
      </w:r>
      <w:r>
        <w:rPr>
          <w:rFonts w:hint="eastAsia" w:ascii="宋体" w:hAnsi="宋体" w:cs="宋体"/>
          <w:color w:val="auto"/>
          <w:sz w:val="24"/>
          <w:highlight w:val="none"/>
        </w:rPr>
        <w:t>不成立，投标人仍进行投诉的，并最终投诉不成立的，作违约处理。招标人有权对其在1至3年内禁入由招标人组织的招标活动的违约处理。</w:t>
      </w:r>
    </w:p>
    <w:p w14:paraId="711804E5">
      <w:pPr>
        <w:pStyle w:val="15"/>
        <w:spacing w:line="480" w:lineRule="exact"/>
        <w:ind w:firstLine="480" w:firstLineChars="200"/>
        <w:contextualSpacing/>
        <w:rPr>
          <w:rFonts w:ascii="宋体" w:hAnsi="宋体" w:cs="宋体"/>
          <w:color w:val="auto"/>
          <w:sz w:val="21"/>
          <w:szCs w:val="21"/>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w:t>
      </w:r>
      <w:r>
        <w:rPr>
          <w:rFonts w:hint="eastAsia" w:ascii="宋体" w:hAnsi="宋体" w:cs="宋体"/>
          <w:color w:val="auto"/>
          <w:sz w:val="24"/>
          <w:highlight w:val="none"/>
          <w:lang w:eastAsia="zh-CN"/>
        </w:rPr>
        <w:t>异议</w:t>
      </w:r>
      <w:r>
        <w:rPr>
          <w:rFonts w:hint="eastAsia" w:ascii="宋体" w:hAnsi="宋体" w:cs="宋体"/>
          <w:color w:val="auto"/>
          <w:sz w:val="24"/>
          <w:highlight w:val="none"/>
        </w:rPr>
        <w:t>投标人对招标人或代理机构的答复不满意或者招标人或代理机构未在规定的时间内作出答复的，可以在答复期满后15个工作日内向有关部门投诉。</w:t>
      </w:r>
    </w:p>
    <w:p w14:paraId="1684957E">
      <w:pPr>
        <w:snapToGrid w:val="0"/>
        <w:spacing w:line="300" w:lineRule="auto"/>
        <w:contextualSpacing/>
        <w:rPr>
          <w:rFonts w:ascii="宋体" w:hAnsi="宋体" w:cs="宋体"/>
          <w:color w:val="auto"/>
          <w:szCs w:val="21"/>
          <w:highlight w:val="none"/>
        </w:rPr>
      </w:pPr>
    </w:p>
    <w:p w14:paraId="7DB93DBC">
      <w:pPr>
        <w:pStyle w:val="73"/>
        <w:spacing w:beforeLines="0" w:afterLines="0" w:line="360" w:lineRule="auto"/>
        <w:rPr>
          <w:rFonts w:ascii="宋体" w:eastAsia="宋体"/>
          <w:color w:val="auto"/>
          <w:sz w:val="36"/>
          <w:szCs w:val="36"/>
          <w:highlight w:val="none"/>
        </w:rPr>
      </w:pPr>
      <w:r>
        <w:rPr>
          <w:rFonts w:hint="eastAsia" w:ascii="宋体"/>
          <w:b w:val="0"/>
          <w:color w:val="auto"/>
          <w:szCs w:val="21"/>
          <w:highlight w:val="none"/>
        </w:rPr>
        <w:br w:type="page"/>
      </w:r>
      <w:r>
        <w:rPr>
          <w:rFonts w:hint="eastAsia" w:ascii="宋体" w:eastAsia="宋体"/>
          <w:color w:val="auto"/>
          <w:sz w:val="36"/>
          <w:szCs w:val="36"/>
          <w:highlight w:val="none"/>
        </w:rPr>
        <w:t>第八章 投标文件组成及格式</w:t>
      </w:r>
    </w:p>
    <w:p w14:paraId="1687BBD5">
      <w:pPr>
        <w:adjustRightInd w:val="0"/>
        <w:snapToGrid w:val="0"/>
        <w:spacing w:line="360" w:lineRule="auto"/>
        <w:ind w:firstLine="470" w:firstLineChars="196"/>
        <w:contextualSpacing/>
        <w:rPr>
          <w:rFonts w:ascii="宋体" w:hAnsi="宋体"/>
          <w:color w:val="auto"/>
          <w:sz w:val="24"/>
          <w:highlight w:val="none"/>
        </w:rPr>
      </w:pPr>
      <w:r>
        <w:rPr>
          <w:rFonts w:hint="eastAsia" w:ascii="宋体" w:hAnsi="宋体"/>
          <w:color w:val="auto"/>
          <w:sz w:val="24"/>
          <w:highlight w:val="none"/>
        </w:rPr>
        <w:t>投标文件由资格审查文件和价格标</w:t>
      </w:r>
      <w:r>
        <w:rPr>
          <w:rFonts w:hint="eastAsia" w:ascii="宋体" w:hAnsi="宋体"/>
          <w:color w:val="auto"/>
          <w:sz w:val="24"/>
          <w:highlight w:val="none"/>
          <w:lang w:val="en-US" w:eastAsia="zh-CN"/>
        </w:rPr>
        <w:t>两</w:t>
      </w:r>
      <w:r>
        <w:rPr>
          <w:rFonts w:hint="eastAsia" w:ascii="宋体" w:hAnsi="宋体"/>
          <w:color w:val="auto"/>
          <w:sz w:val="24"/>
          <w:highlight w:val="none"/>
        </w:rPr>
        <w:t>部分组成。本次招标采用资格后审方式。</w:t>
      </w:r>
    </w:p>
    <w:p w14:paraId="10B76EB7">
      <w:pPr>
        <w:adjustRightInd w:val="0"/>
        <w:snapToGrid w:val="0"/>
        <w:spacing w:line="360" w:lineRule="auto"/>
        <w:ind w:firstLine="472" w:firstLineChars="196"/>
        <w:contextualSpacing/>
        <w:rPr>
          <w:rFonts w:ascii="宋体" w:hAnsi="宋体"/>
          <w:b/>
          <w:bCs/>
          <w:color w:val="auto"/>
          <w:spacing w:val="-6"/>
          <w:sz w:val="24"/>
          <w:highlight w:val="none"/>
        </w:rPr>
      </w:pPr>
      <w:r>
        <w:rPr>
          <w:rFonts w:hint="eastAsia" w:ascii="宋体" w:hAnsi="宋体"/>
          <w:b/>
          <w:bCs/>
          <w:color w:val="auto"/>
          <w:sz w:val="24"/>
          <w:highlight w:val="none"/>
        </w:rPr>
        <w:t>本项目资格审查文件和价格标</w:t>
      </w:r>
      <w:r>
        <w:rPr>
          <w:rFonts w:hint="eastAsia" w:ascii="宋体" w:hAnsi="宋体"/>
          <w:b/>
          <w:bCs/>
          <w:color w:val="auto"/>
          <w:spacing w:val="-6"/>
          <w:sz w:val="24"/>
          <w:highlight w:val="none"/>
        </w:rPr>
        <w:t>请分别装订、分别单独密封后一起递交。</w:t>
      </w:r>
    </w:p>
    <w:p w14:paraId="4172117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一、资格审查文件    </w:t>
      </w:r>
    </w:p>
    <w:p w14:paraId="7977BDB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1、投标人必须是具有独立承担民事能力的法人、其他组织或自然人(法人或其他组织的营业执照等证明文件，自然人的身份证明)；</w:t>
      </w:r>
    </w:p>
    <w:p w14:paraId="229D1400">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法定代表人参加投标的，必须提供法定代表人身份证明及法定代表人本人身份证复印件；非法定代表人参加投标的，必须提供法定代表人签字或盖章的授权委托书及法定代表人、被授权人的两人身份证的复印件。</w:t>
      </w:r>
    </w:p>
    <w:p w14:paraId="0EC70A19">
      <w:pPr>
        <w:widowControl/>
        <w:spacing w:line="360" w:lineRule="auto"/>
        <w:ind w:firstLine="480" w:firstLineChars="200"/>
        <w:jc w:val="left"/>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3、近三年内无发生骗取中标行为或严重违约行为或重大服务质量问题、提供信誉承诺函(格式自拟)；</w:t>
      </w:r>
    </w:p>
    <w:p w14:paraId="35E27941">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、关于资格文件的声明函（格式参见第八章）。</w:t>
      </w:r>
    </w:p>
    <w:p w14:paraId="47E034F0">
      <w:pPr>
        <w:adjustRightInd w:val="0"/>
        <w:snapToGrid w:val="0"/>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r>
        <w:rPr>
          <w:rFonts w:hint="eastAsia" w:ascii="宋体" w:hAnsi="宋体" w:cs="宋体"/>
          <w:bCs/>
          <w:color w:val="auto"/>
          <w:sz w:val="24"/>
          <w:szCs w:val="24"/>
          <w:highlight w:val="none"/>
        </w:rPr>
        <w:t>诚信承诺书</w:t>
      </w:r>
      <w:r>
        <w:rPr>
          <w:rFonts w:hint="eastAsia" w:ascii="宋体" w:hAnsi="宋体" w:cs="宋体"/>
          <w:color w:val="auto"/>
          <w:kern w:val="0"/>
          <w:sz w:val="24"/>
          <w:highlight w:val="none"/>
        </w:rPr>
        <w:t>（格式参见第八章）。</w:t>
      </w:r>
    </w:p>
    <w:p w14:paraId="370F02B4">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u w:val="thick" w:color="FF0000"/>
        </w:rPr>
        <w:t>注：以上材料如为复印件或扫描件均须加盖投标人公章</w:t>
      </w:r>
      <w:r>
        <w:rPr>
          <w:rFonts w:hint="eastAsia" w:ascii="宋体" w:hAnsi="宋体" w:cs="宋体"/>
          <w:b/>
          <w:bCs/>
          <w:color w:val="auto"/>
          <w:sz w:val="24"/>
          <w:highlight w:val="none"/>
        </w:rPr>
        <w:t>。</w:t>
      </w:r>
    </w:p>
    <w:p w14:paraId="25B6608A">
      <w:pPr>
        <w:snapToGrid w:val="0"/>
        <w:spacing w:line="360" w:lineRule="auto"/>
        <w:ind w:firstLine="463" w:firstLineChars="192"/>
        <w:contextualSpacing/>
        <w:rPr>
          <w:rFonts w:ascii="宋体" w:hAnsi="宋体" w:cs="宋体"/>
          <w:b/>
          <w:bCs/>
          <w:color w:val="auto"/>
          <w:kern w:val="0"/>
          <w:sz w:val="24"/>
          <w:highlight w:val="none"/>
          <w:lang w:val="zh-CN"/>
        </w:rPr>
      </w:pPr>
      <w:r>
        <w:rPr>
          <w:rFonts w:hint="eastAsia" w:ascii="宋体" w:hAnsi="宋体" w:cs="宋体"/>
          <w:b/>
          <w:bCs/>
          <w:color w:val="auto"/>
          <w:kern w:val="0"/>
          <w:sz w:val="24"/>
          <w:highlight w:val="none"/>
          <w:lang w:val="en-US" w:eastAsia="zh-CN"/>
        </w:rPr>
        <w:t>二</w:t>
      </w:r>
      <w:r>
        <w:rPr>
          <w:rFonts w:hint="eastAsia" w:ascii="宋体" w:hAnsi="宋体" w:cs="宋体"/>
          <w:b/>
          <w:bCs/>
          <w:color w:val="auto"/>
          <w:kern w:val="0"/>
          <w:sz w:val="24"/>
          <w:highlight w:val="none"/>
          <w:lang w:val="zh-CN"/>
        </w:rPr>
        <w:t>、</w:t>
      </w:r>
      <w:r>
        <w:rPr>
          <w:rFonts w:hint="eastAsia" w:ascii="宋体" w:hAnsi="宋体" w:cs="宋体"/>
          <w:b/>
          <w:bCs/>
          <w:color w:val="auto"/>
          <w:kern w:val="0"/>
          <w:sz w:val="24"/>
          <w:highlight w:val="none"/>
        </w:rPr>
        <w:t>价格标文件</w:t>
      </w:r>
    </w:p>
    <w:p w14:paraId="5655459F">
      <w:pPr>
        <w:spacing w:line="360" w:lineRule="auto"/>
        <w:ind w:firstLine="480" w:firstLineChars="200"/>
        <w:rPr>
          <w:rFonts w:ascii="宋体" w:hAnsi="宋体"/>
          <w:color w:val="auto"/>
          <w:sz w:val="24"/>
          <w:highlight w:val="none"/>
        </w:rPr>
      </w:pPr>
      <w:r>
        <w:rPr>
          <w:rFonts w:ascii="宋体" w:hAnsi="宋体"/>
          <w:color w:val="auto"/>
          <w:sz w:val="24"/>
          <w:highlight w:val="none"/>
        </w:rPr>
        <w:t>1、投标响应报价总表</w:t>
      </w:r>
      <w:r>
        <w:rPr>
          <w:rFonts w:hint="eastAsia" w:ascii="宋体" w:hAnsi="宋体"/>
          <w:color w:val="auto"/>
          <w:sz w:val="24"/>
          <w:highlight w:val="none"/>
        </w:rPr>
        <w:t>（格式参见第八章）。</w:t>
      </w:r>
    </w:p>
    <w:p w14:paraId="638AD99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2、投标响应报价明细表</w:t>
      </w:r>
      <w:r>
        <w:rPr>
          <w:rFonts w:hint="eastAsia" w:ascii="宋体" w:hAnsi="宋体"/>
          <w:color w:val="auto"/>
          <w:sz w:val="24"/>
          <w:highlight w:val="none"/>
        </w:rPr>
        <w:t>（格式参见第八章）</w:t>
      </w:r>
      <w:r>
        <w:rPr>
          <w:rFonts w:hint="eastAsia" w:ascii="宋体" w:hAnsi="宋体" w:cs="宋体"/>
          <w:color w:val="auto"/>
          <w:kern w:val="0"/>
          <w:sz w:val="24"/>
          <w:highlight w:val="none"/>
          <w:lang w:val="zh-CN"/>
        </w:rPr>
        <w:t>。</w:t>
      </w:r>
    </w:p>
    <w:p w14:paraId="0B0C51C7">
      <w:pPr>
        <w:spacing w:line="360" w:lineRule="auto"/>
        <w:ind w:firstLine="643" w:firstLineChars="200"/>
        <w:rPr>
          <w:rFonts w:ascii="Calibri" w:hAnsi="Calibri"/>
          <w:b/>
          <w:bCs/>
          <w:color w:val="auto"/>
          <w:sz w:val="32"/>
          <w:szCs w:val="32"/>
          <w:highlight w:val="none"/>
        </w:rPr>
      </w:pPr>
      <w:r>
        <w:rPr>
          <w:rFonts w:ascii="Calibri" w:hAnsi="Calibri"/>
          <w:b/>
          <w:bCs/>
          <w:color w:val="auto"/>
          <w:sz w:val="32"/>
          <w:szCs w:val="32"/>
          <w:highlight w:val="none"/>
        </w:rPr>
        <w:br w:type="page"/>
      </w:r>
      <w:r>
        <w:rPr>
          <w:rFonts w:hint="eastAsia" w:ascii="Calibri" w:hAnsi="Calibri"/>
          <w:b/>
          <w:bCs/>
          <w:color w:val="auto"/>
          <w:sz w:val="32"/>
          <w:szCs w:val="32"/>
          <w:highlight w:val="none"/>
        </w:rPr>
        <w:t>附件：</w:t>
      </w:r>
    </w:p>
    <w:p w14:paraId="43E1961D">
      <w:pPr>
        <w:spacing w:line="360" w:lineRule="auto"/>
        <w:jc w:val="center"/>
        <w:rPr>
          <w:rFonts w:hint="eastAsia" w:ascii="宋体" w:hAnsi="宋体" w:cs="宋体"/>
          <w:b/>
          <w:color w:val="auto"/>
          <w:sz w:val="24"/>
          <w:highlight w:val="none"/>
          <w:u w:val="single"/>
        </w:rPr>
      </w:pPr>
    </w:p>
    <w:p w14:paraId="0B1F366A">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u w:val="single"/>
        </w:rPr>
        <w:t xml:space="preserve">          封面           </w:t>
      </w:r>
      <w:r>
        <w:rPr>
          <w:rFonts w:hint="eastAsia" w:ascii="宋体" w:hAnsi="宋体" w:cs="宋体"/>
          <w:b/>
          <w:bCs/>
          <w:color w:val="auto"/>
          <w:sz w:val="24"/>
          <w:highlight w:val="none"/>
        </w:rPr>
        <w:t>（项目名称）</w:t>
      </w:r>
    </w:p>
    <w:p w14:paraId="561826B6">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 xml:space="preserve"> </w:t>
      </w:r>
    </w:p>
    <w:p w14:paraId="0B276AE0">
      <w:pPr>
        <w:spacing w:line="360" w:lineRule="auto"/>
        <w:ind w:firstLine="2400" w:firstLineChars="1000"/>
        <w:rPr>
          <w:rFonts w:ascii="宋体" w:hAnsi="宋体" w:cs="宋体"/>
          <w:color w:val="auto"/>
          <w:sz w:val="24"/>
          <w:highlight w:val="none"/>
        </w:rPr>
      </w:pPr>
    </w:p>
    <w:p w14:paraId="49F1ABFA">
      <w:pPr>
        <w:spacing w:line="360" w:lineRule="auto"/>
        <w:rPr>
          <w:rFonts w:ascii="宋体" w:hAnsi="宋体" w:cs="宋体"/>
          <w:color w:val="auto"/>
          <w:sz w:val="24"/>
          <w:highlight w:val="none"/>
        </w:rPr>
      </w:pPr>
    </w:p>
    <w:p w14:paraId="5AA31F58">
      <w:pPr>
        <w:spacing w:line="360" w:lineRule="auto"/>
        <w:rPr>
          <w:rFonts w:ascii="宋体" w:hAnsi="宋体" w:cs="宋体"/>
          <w:color w:val="auto"/>
          <w:sz w:val="24"/>
          <w:highlight w:val="none"/>
        </w:rPr>
      </w:pPr>
    </w:p>
    <w:p w14:paraId="056E5D9B">
      <w:pPr>
        <w:spacing w:line="360" w:lineRule="auto"/>
        <w:rPr>
          <w:rFonts w:ascii="宋体" w:hAnsi="宋体" w:cs="宋体"/>
          <w:color w:val="auto"/>
          <w:sz w:val="24"/>
          <w:highlight w:val="none"/>
        </w:rPr>
      </w:pPr>
    </w:p>
    <w:p w14:paraId="5FD189A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投标文件</w:t>
      </w:r>
    </w:p>
    <w:p w14:paraId="4ED478BF">
      <w:pPr>
        <w:spacing w:line="360" w:lineRule="auto"/>
        <w:rPr>
          <w:rFonts w:ascii="宋体" w:hAnsi="宋体" w:cs="宋体"/>
          <w:color w:val="auto"/>
          <w:sz w:val="24"/>
          <w:highlight w:val="none"/>
        </w:rPr>
      </w:pPr>
    </w:p>
    <w:p w14:paraId="4982B617">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对应投标文件填写：资格审查文件</w:t>
      </w:r>
    </w:p>
    <w:p w14:paraId="37B72A3F">
      <w:pPr>
        <w:spacing w:line="360" w:lineRule="auto"/>
        <w:ind w:firstLine="1920" w:firstLineChars="800"/>
        <w:rPr>
          <w:rFonts w:ascii="宋体" w:hAnsi="宋体" w:cs="宋体"/>
          <w:color w:val="auto"/>
          <w:sz w:val="24"/>
          <w:highlight w:val="none"/>
        </w:rPr>
      </w:pPr>
      <w:r>
        <w:rPr>
          <w:rFonts w:hint="eastAsia" w:ascii="宋体" w:hAnsi="宋体" w:cs="宋体"/>
          <w:color w:val="auto"/>
          <w:sz w:val="24"/>
          <w:highlight w:val="none"/>
        </w:rPr>
        <w:t>对应投标文件填写：价格标文件</w:t>
      </w:r>
    </w:p>
    <w:p w14:paraId="69A4E9F5">
      <w:pPr>
        <w:jc w:val="center"/>
        <w:rPr>
          <w:rFonts w:ascii="宋体" w:hAnsi="宋体" w:cs="宋体"/>
          <w:b/>
          <w:color w:val="auto"/>
          <w:sz w:val="24"/>
          <w:highlight w:val="none"/>
        </w:rPr>
      </w:pPr>
      <w:r>
        <w:rPr>
          <w:rFonts w:hint="eastAsia" w:ascii="宋体" w:hAnsi="宋体" w:cs="宋体"/>
          <w:b/>
          <w:color w:val="auto"/>
          <w:sz w:val="24"/>
          <w:highlight w:val="none"/>
        </w:rPr>
        <w:t>（资格后审）</w:t>
      </w:r>
    </w:p>
    <w:p w14:paraId="238E256E">
      <w:pPr>
        <w:jc w:val="center"/>
        <w:rPr>
          <w:rFonts w:ascii="宋体" w:hAnsi="宋体" w:cs="宋体"/>
          <w:b/>
          <w:color w:val="auto"/>
          <w:sz w:val="24"/>
          <w:highlight w:val="none"/>
        </w:rPr>
      </w:pPr>
    </w:p>
    <w:p w14:paraId="68FE4D09">
      <w:pPr>
        <w:snapToGrid w:val="0"/>
        <w:spacing w:line="520" w:lineRule="exact"/>
        <w:jc w:val="center"/>
        <w:rPr>
          <w:rFonts w:ascii="宋体" w:hAnsi="宋体" w:cs="宋体"/>
          <w:b/>
          <w:color w:val="auto"/>
          <w:sz w:val="24"/>
          <w:highlight w:val="none"/>
        </w:rPr>
      </w:pPr>
    </w:p>
    <w:p w14:paraId="44C53988">
      <w:pPr>
        <w:spacing w:line="360" w:lineRule="auto"/>
        <w:rPr>
          <w:rFonts w:ascii="宋体" w:hAnsi="宋体" w:cs="宋体"/>
          <w:color w:val="auto"/>
          <w:sz w:val="24"/>
          <w:highlight w:val="none"/>
        </w:rPr>
      </w:pPr>
    </w:p>
    <w:p w14:paraId="0CF60CFA">
      <w:pPr>
        <w:spacing w:line="360" w:lineRule="auto"/>
        <w:rPr>
          <w:rFonts w:ascii="宋体" w:hAnsi="宋体" w:cs="宋体"/>
          <w:color w:val="auto"/>
          <w:sz w:val="24"/>
          <w:highlight w:val="none"/>
        </w:rPr>
      </w:pPr>
    </w:p>
    <w:p w14:paraId="7E377F96">
      <w:pPr>
        <w:spacing w:line="360" w:lineRule="auto"/>
        <w:rPr>
          <w:rFonts w:ascii="宋体" w:hAnsi="宋体" w:cs="宋体"/>
          <w:color w:val="auto"/>
          <w:sz w:val="24"/>
          <w:highlight w:val="none"/>
        </w:rPr>
      </w:pPr>
    </w:p>
    <w:p w14:paraId="5ED0B284">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投标人：参加投标人全称（公章）</w:t>
      </w:r>
    </w:p>
    <w:p w14:paraId="21AE48FC">
      <w:pPr>
        <w:spacing w:line="360" w:lineRule="auto"/>
        <w:ind w:firstLine="1440" w:firstLineChars="600"/>
        <w:rPr>
          <w:rFonts w:ascii="宋体" w:hAnsi="宋体" w:cs="宋体"/>
          <w:color w:val="auto"/>
          <w:sz w:val="24"/>
          <w:highlight w:val="none"/>
        </w:rPr>
      </w:pPr>
      <w:r>
        <w:rPr>
          <w:rFonts w:hint="eastAsia" w:ascii="宋体" w:hAnsi="宋体" w:cs="宋体"/>
          <w:color w:val="auto"/>
          <w:sz w:val="24"/>
          <w:highlight w:val="none"/>
        </w:rPr>
        <w:t>日  期：      年  月  日</w:t>
      </w:r>
    </w:p>
    <w:p w14:paraId="49CCD2AF">
      <w:pPr>
        <w:jc w:val="left"/>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一、资格审查文件相关的格式文件及表格</w:t>
      </w:r>
    </w:p>
    <w:p w14:paraId="01F3E1B1">
      <w:pPr>
        <w:snapToGrid w:val="0"/>
        <w:spacing w:line="360" w:lineRule="auto"/>
        <w:jc w:val="center"/>
        <w:outlineLvl w:val="4"/>
        <w:rPr>
          <w:rFonts w:ascii="宋体" w:hAnsi="宋体" w:cs="宋体"/>
          <w:b/>
          <w:bCs/>
          <w:color w:val="auto"/>
          <w:sz w:val="24"/>
          <w:highlight w:val="none"/>
        </w:rPr>
      </w:pPr>
    </w:p>
    <w:p w14:paraId="0973CC9F">
      <w:pPr>
        <w:spacing w:line="360" w:lineRule="auto"/>
        <w:jc w:val="center"/>
        <w:rPr>
          <w:rFonts w:ascii="宋体" w:hAnsi="宋体"/>
          <w:b/>
          <w:bCs/>
          <w:color w:val="auto"/>
          <w:sz w:val="24"/>
          <w:highlight w:val="none"/>
        </w:rPr>
      </w:pPr>
      <w:r>
        <w:rPr>
          <w:rFonts w:hint="eastAsia" w:ascii="宋体" w:hAnsi="宋体"/>
          <w:b/>
          <w:bCs/>
          <w:color w:val="auto"/>
          <w:sz w:val="24"/>
          <w:highlight w:val="none"/>
        </w:rPr>
        <w:t>1、法定代表人身份证明</w:t>
      </w:r>
    </w:p>
    <w:p w14:paraId="4D8367AC">
      <w:pPr>
        <w:spacing w:line="360" w:lineRule="auto"/>
        <w:jc w:val="center"/>
        <w:rPr>
          <w:rFonts w:ascii="宋体" w:hAnsi="宋体"/>
          <w:color w:val="auto"/>
          <w:sz w:val="24"/>
          <w:highlight w:val="none"/>
        </w:rPr>
      </w:pPr>
      <w:r>
        <w:rPr>
          <w:rFonts w:hint="eastAsia" w:ascii="宋体" w:hAnsi="宋体" w:cs="宋体"/>
          <w:color w:val="auto"/>
          <w:sz w:val="24"/>
          <w:highlight w:val="none"/>
          <w:u w:val="single"/>
        </w:rPr>
        <w:t>（法定代表人参加投标时，须出示此证明）</w:t>
      </w:r>
    </w:p>
    <w:p w14:paraId="5A2D2A14">
      <w:pPr>
        <w:spacing w:line="360" w:lineRule="auto"/>
        <w:rPr>
          <w:rFonts w:ascii="宋体" w:hAnsi="宋体"/>
          <w:color w:val="auto"/>
          <w:sz w:val="24"/>
          <w:highlight w:val="none"/>
        </w:rPr>
      </w:pPr>
      <w:r>
        <w:rPr>
          <w:rFonts w:hint="eastAsia" w:ascii="宋体" w:hAnsi="宋体"/>
          <w:color w:val="auto"/>
          <w:sz w:val="24"/>
          <w:highlight w:val="none"/>
          <w:lang w:eastAsia="zh-CN"/>
        </w:rPr>
        <w:t>南通天玖置业有限公司</w:t>
      </w:r>
      <w:r>
        <w:rPr>
          <w:rFonts w:hint="eastAsia" w:ascii="宋体" w:hAnsi="宋体"/>
          <w:color w:val="auto"/>
          <w:sz w:val="24"/>
          <w:highlight w:val="none"/>
        </w:rPr>
        <w:t xml:space="preserve">   ：</w:t>
      </w:r>
    </w:p>
    <w:p w14:paraId="709FC85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我公司法定代表人参加贵单位组织的</w:t>
      </w:r>
      <w:r>
        <w:rPr>
          <w:rFonts w:hint="eastAsia" w:ascii="宋体" w:hAnsi="宋体"/>
          <w:color w:val="auto"/>
          <w:sz w:val="24"/>
          <w:highlight w:val="none"/>
          <w:u w:val="single"/>
        </w:rPr>
        <w:t>（招标项目名称</w:t>
      </w:r>
      <w:r>
        <w:rPr>
          <w:rFonts w:hint="eastAsia" w:ascii="宋体" w:hAnsi="宋体"/>
          <w:color w:val="auto"/>
          <w:sz w:val="24"/>
          <w:highlight w:val="none"/>
          <w:u w:val="single"/>
          <w:lang w:eastAsia="zh-CN"/>
        </w:rPr>
        <w:t>）</w:t>
      </w:r>
      <w:r>
        <w:rPr>
          <w:rFonts w:hint="eastAsia" w:ascii="宋体" w:hAnsi="宋体"/>
          <w:color w:val="auto"/>
          <w:sz w:val="24"/>
          <w:highlight w:val="none"/>
        </w:rPr>
        <w:t>项目公开招标活动，全权代表我公司处理投标的有关事宜。</w:t>
      </w:r>
    </w:p>
    <w:p w14:paraId="5700FCFA">
      <w:pPr>
        <w:spacing w:line="360" w:lineRule="auto"/>
        <w:ind w:firstLine="480" w:firstLineChars="200"/>
        <w:rPr>
          <w:rFonts w:ascii="宋体" w:hAnsi="宋体"/>
          <w:color w:val="auto"/>
          <w:sz w:val="24"/>
          <w:highlight w:val="none"/>
        </w:rPr>
      </w:pPr>
    </w:p>
    <w:p w14:paraId="13495046">
      <w:pPr>
        <w:spacing w:line="360" w:lineRule="auto"/>
        <w:rPr>
          <w:rFonts w:ascii="宋体" w:hAnsi="宋体"/>
          <w:color w:val="auto"/>
          <w:sz w:val="24"/>
          <w:highlight w:val="none"/>
        </w:rPr>
      </w:pPr>
      <w:r>
        <w:rPr>
          <w:rFonts w:hint="eastAsia" w:ascii="宋体" w:hAnsi="宋体"/>
          <w:color w:val="auto"/>
          <w:sz w:val="24"/>
          <w:highlight w:val="none"/>
        </w:rPr>
        <w:t>附：法定代表人情况：</w:t>
      </w:r>
    </w:p>
    <w:p w14:paraId="27558D41">
      <w:pPr>
        <w:spacing w:line="360" w:lineRule="auto"/>
        <w:rPr>
          <w:rFonts w:ascii="宋体" w:hAnsi="宋体"/>
          <w:color w:val="auto"/>
          <w:sz w:val="24"/>
          <w:highlight w:val="none"/>
          <w:u w:val="single"/>
        </w:rPr>
      </w:pPr>
      <w:r>
        <w:rPr>
          <w:rFonts w:hint="eastAsia" w:ascii="宋体" w:hAnsi="宋体"/>
          <w:color w:val="auto"/>
          <w:sz w:val="24"/>
          <w:highlight w:val="none"/>
        </w:rPr>
        <w:t>姓名： 性别： 年龄：  职务：</w:t>
      </w:r>
    </w:p>
    <w:p w14:paraId="28B2DA8B">
      <w:pPr>
        <w:spacing w:line="360" w:lineRule="auto"/>
        <w:rPr>
          <w:rFonts w:ascii="宋体" w:hAnsi="宋体"/>
          <w:color w:val="auto"/>
          <w:sz w:val="24"/>
          <w:highlight w:val="none"/>
        </w:rPr>
      </w:pPr>
      <w:r>
        <w:rPr>
          <w:rFonts w:hint="eastAsia" w:ascii="宋体" w:hAnsi="宋体"/>
          <w:color w:val="auto"/>
          <w:sz w:val="24"/>
          <w:highlight w:val="none"/>
        </w:rPr>
        <w:t>身份证号码：</w:t>
      </w:r>
    </w:p>
    <w:p w14:paraId="3478DED9">
      <w:pPr>
        <w:spacing w:line="360" w:lineRule="auto"/>
        <w:rPr>
          <w:rFonts w:ascii="宋体" w:hAnsi="宋体"/>
          <w:color w:val="auto"/>
          <w:sz w:val="24"/>
          <w:highlight w:val="none"/>
        </w:rPr>
      </w:pPr>
      <w:r>
        <w:rPr>
          <w:rFonts w:hint="eastAsia" w:ascii="宋体" w:hAnsi="宋体"/>
          <w:color w:val="auto"/>
          <w:sz w:val="24"/>
          <w:highlight w:val="none"/>
        </w:rPr>
        <w:t>手机：   传真：</w:t>
      </w:r>
    </w:p>
    <w:p w14:paraId="4987FCEB">
      <w:pPr>
        <w:keepNext/>
        <w:keepLines/>
        <w:spacing w:before="260" w:after="260" w:line="416" w:lineRule="auto"/>
        <w:outlineLvl w:val="2"/>
        <w:rPr>
          <w:rFonts w:ascii="宋体" w:hAnsi="宋体"/>
          <w:b/>
          <w:bCs/>
          <w:color w:val="auto"/>
          <w:sz w:val="24"/>
          <w:szCs w:val="32"/>
          <w:highlight w:val="none"/>
        </w:rPr>
      </w:pPr>
    </w:p>
    <w:p w14:paraId="30804D44">
      <w:pPr>
        <w:rPr>
          <w:color w:val="auto"/>
          <w:highlight w:val="none"/>
        </w:rPr>
      </w:pPr>
    </w:p>
    <w:p w14:paraId="6298CD4E">
      <w:pPr>
        <w:spacing w:line="360" w:lineRule="auto"/>
        <w:rPr>
          <w:rFonts w:ascii="宋体" w:hAnsi="宋体"/>
          <w:color w:val="auto"/>
          <w:sz w:val="24"/>
          <w:highlight w:val="none"/>
        </w:rPr>
      </w:pPr>
      <w:r>
        <w:rPr>
          <w:rFonts w:hint="eastAsia" w:ascii="宋体" w:hAnsi="宋体"/>
          <w:color w:val="auto"/>
          <w:sz w:val="24"/>
          <w:highlight w:val="none"/>
        </w:rPr>
        <w:t>单位名称（公章）             法定代表人（签字或盖章）</w:t>
      </w:r>
    </w:p>
    <w:p w14:paraId="0C1F946D">
      <w:pPr>
        <w:spacing w:line="360" w:lineRule="auto"/>
        <w:ind w:firstLine="1200" w:firstLineChars="500"/>
        <w:rPr>
          <w:rFonts w:ascii="宋体" w:hAnsi="宋体"/>
          <w:color w:val="auto"/>
          <w:sz w:val="24"/>
          <w:highlight w:val="none"/>
        </w:rPr>
      </w:pPr>
      <w:r>
        <w:rPr>
          <w:rFonts w:hint="eastAsia" w:ascii="宋体" w:hAnsi="宋体"/>
          <w:color w:val="auto"/>
          <w:sz w:val="24"/>
          <w:highlight w:val="none"/>
        </w:rPr>
        <w:t xml:space="preserve">年   月   日                 年   月    日  </w:t>
      </w:r>
    </w:p>
    <w:p w14:paraId="35DB7A5F">
      <w:pPr>
        <w:spacing w:line="360" w:lineRule="auto"/>
        <w:rPr>
          <w:rFonts w:ascii="宋体" w:hAnsi="宋体"/>
          <w:color w:val="auto"/>
          <w:sz w:val="24"/>
          <w:highlight w:val="none"/>
        </w:rPr>
      </w:pPr>
    </w:p>
    <w:p w14:paraId="44FF614D">
      <w:pPr>
        <w:spacing w:line="360" w:lineRule="auto"/>
        <w:rPr>
          <w:rFonts w:ascii="宋体" w:hAnsi="宋体"/>
          <w:color w:val="auto"/>
          <w:sz w:val="24"/>
          <w:highlight w:val="none"/>
        </w:rPr>
      </w:pPr>
      <w:r>
        <w:rPr>
          <w:rFonts w:ascii="宋体" w:hAnsi="宋体"/>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72390</wp:posOffset>
                </wp:positionH>
                <wp:positionV relativeFrom="paragraph">
                  <wp:posOffset>183515</wp:posOffset>
                </wp:positionV>
                <wp:extent cx="5524500" cy="1752600"/>
                <wp:effectExtent l="4445" t="4445" r="18415" b="10795"/>
                <wp:wrapNone/>
                <wp:docPr id="5" name="矩形 2"/>
                <wp:cNvGraphicFramePr/>
                <a:graphic xmlns:a="http://schemas.openxmlformats.org/drawingml/2006/main">
                  <a:graphicData uri="http://schemas.microsoft.com/office/word/2010/wordprocessingShape">
                    <wps:wsp>
                      <wps:cNvSpPr/>
                      <wps:spPr>
                        <a:xfrm>
                          <a:off x="0" y="0"/>
                          <a:ext cx="5524500" cy="17526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6D3B1F0"/>
                        </w:txbxContent>
                      </wps:txbx>
                      <wps:bodyPr upright="1"/>
                    </wps:wsp>
                  </a:graphicData>
                </a:graphic>
              </wp:anchor>
            </w:drawing>
          </mc:Choice>
          <mc:Fallback>
            <w:pict>
              <v:rect id="矩形 2" o:spid="_x0000_s1026" o:spt="1" style="position:absolute;left:0pt;margin-left:5.7pt;margin-top:14.45pt;height:138pt;width:435pt;z-index:-251656192;mso-width-relative:page;mso-height-relative:page;" fillcolor="#FFFFFF" filled="t" stroked="t" coordsize="21600,21600" o:gfxdata="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A7bKPWAAAACQEAAA8AAAAAAAAAAQAgAAAAIgAAAGRycy9k&#10;b3ducmV2LnhtbFBLAQIUABQAAAAIAIdO4kDh1pyKBAIAADgEAAAOAAAAAAAAAAEAIAAAACUBAABk&#10;cnMvZTJvRG9jLnhtbFBLBQYAAAAABgAGAFkBAACbBQAAAAA=&#10;">
                <v:fill on="t" focussize="0,0"/>
                <v:stroke color="#000000" joinstyle="miter"/>
                <v:imagedata o:title=""/>
                <o:lock v:ext="edit" aspectratio="f"/>
                <v:textbox>
                  <w:txbxContent>
                    <w:p w14:paraId="76D3B1F0"/>
                  </w:txbxContent>
                </v:textbox>
              </v:rect>
            </w:pict>
          </mc:Fallback>
        </mc:AlternateContent>
      </w:r>
    </w:p>
    <w:p w14:paraId="217494EA">
      <w:pPr>
        <w:spacing w:line="360" w:lineRule="auto"/>
        <w:rPr>
          <w:rFonts w:ascii="宋体" w:hAnsi="宋体"/>
          <w:color w:val="auto"/>
          <w:sz w:val="24"/>
          <w:highlight w:val="none"/>
        </w:rPr>
      </w:pPr>
    </w:p>
    <w:p w14:paraId="7A73630F">
      <w:pPr>
        <w:spacing w:line="360" w:lineRule="auto"/>
        <w:rPr>
          <w:rFonts w:ascii="宋体" w:hAnsi="宋体"/>
          <w:color w:val="auto"/>
          <w:sz w:val="24"/>
          <w:highlight w:val="none"/>
        </w:rPr>
      </w:pPr>
    </w:p>
    <w:p w14:paraId="3D67D671">
      <w:pPr>
        <w:spacing w:line="360" w:lineRule="auto"/>
        <w:ind w:firstLine="3000" w:firstLineChars="1250"/>
        <w:rPr>
          <w:rFonts w:ascii="宋体" w:hAnsi="宋体"/>
          <w:color w:val="auto"/>
          <w:sz w:val="24"/>
          <w:highlight w:val="none"/>
        </w:rPr>
      </w:pPr>
      <w:r>
        <w:rPr>
          <w:rFonts w:hint="eastAsia" w:ascii="宋体" w:hAnsi="宋体"/>
          <w:color w:val="auto"/>
          <w:sz w:val="24"/>
          <w:highlight w:val="none"/>
        </w:rPr>
        <w:t>法定代表人身份证复印件</w:t>
      </w:r>
    </w:p>
    <w:p w14:paraId="3292A5C5">
      <w:pPr>
        <w:spacing w:line="360" w:lineRule="auto"/>
        <w:rPr>
          <w:rFonts w:ascii="宋体" w:hAnsi="宋体"/>
          <w:color w:val="auto"/>
          <w:sz w:val="24"/>
          <w:highlight w:val="none"/>
        </w:rPr>
      </w:pPr>
    </w:p>
    <w:p w14:paraId="2CFA3151">
      <w:pPr>
        <w:spacing w:line="360" w:lineRule="auto"/>
        <w:ind w:firstLine="2289" w:firstLineChars="950"/>
        <w:rPr>
          <w:rFonts w:ascii="宋体" w:hAnsi="宋体"/>
          <w:b/>
          <w:bCs/>
          <w:color w:val="auto"/>
          <w:sz w:val="24"/>
          <w:highlight w:val="none"/>
        </w:rPr>
      </w:pPr>
    </w:p>
    <w:p w14:paraId="25FF41B5">
      <w:pPr>
        <w:spacing w:line="360" w:lineRule="auto"/>
        <w:rPr>
          <w:rFonts w:ascii="宋体" w:hAnsi="宋体"/>
          <w:b/>
          <w:bCs/>
          <w:color w:val="auto"/>
          <w:sz w:val="24"/>
          <w:highlight w:val="none"/>
        </w:rPr>
      </w:pPr>
    </w:p>
    <w:p w14:paraId="7F566FF1">
      <w:pPr>
        <w:spacing w:line="360" w:lineRule="auto"/>
        <w:rPr>
          <w:rFonts w:ascii="宋体" w:hAnsi="宋体"/>
          <w:b/>
          <w:bCs/>
          <w:color w:val="auto"/>
          <w:sz w:val="24"/>
          <w:highlight w:val="none"/>
        </w:rPr>
      </w:pPr>
    </w:p>
    <w:p w14:paraId="5B155631">
      <w:pPr>
        <w:spacing w:line="360" w:lineRule="auto"/>
        <w:rPr>
          <w:rFonts w:ascii="宋体" w:hAnsi="宋体"/>
          <w:color w:val="auto"/>
          <w:highlight w:val="none"/>
        </w:rPr>
      </w:pPr>
      <w:r>
        <w:rPr>
          <w:rFonts w:hint="eastAsia" w:ascii="宋体" w:hAnsi="宋体"/>
          <w:b/>
          <w:bCs/>
          <w:color w:val="auto"/>
          <w:sz w:val="24"/>
          <w:highlight w:val="none"/>
        </w:rPr>
        <w:t>注：如为法定代表人参加投标时，须将身份证原件带至开标现场备查</w:t>
      </w:r>
      <w:r>
        <w:rPr>
          <w:rFonts w:hint="eastAsia" w:ascii="宋体" w:hAnsi="宋体"/>
          <w:b/>
          <w:bCs/>
          <w:color w:val="auto"/>
          <w:sz w:val="28"/>
          <w:szCs w:val="28"/>
          <w:highlight w:val="none"/>
        </w:rPr>
        <w:t>。</w:t>
      </w:r>
    </w:p>
    <w:p w14:paraId="7658276C">
      <w:pPr>
        <w:spacing w:line="360" w:lineRule="auto"/>
        <w:jc w:val="center"/>
        <w:rPr>
          <w:rFonts w:ascii="宋体" w:hAnsi="宋体"/>
          <w:b/>
          <w:bCs/>
          <w:color w:val="auto"/>
          <w:sz w:val="24"/>
          <w:highlight w:val="none"/>
        </w:rPr>
      </w:pPr>
      <w:r>
        <w:rPr>
          <w:rFonts w:hint="eastAsia" w:ascii="宋体" w:hAnsi="宋体"/>
          <w:b/>
          <w:bCs/>
          <w:color w:val="auto"/>
          <w:sz w:val="24"/>
          <w:highlight w:val="none"/>
        </w:rPr>
        <w:br w:type="page"/>
      </w:r>
    </w:p>
    <w:p w14:paraId="30DEB6F6">
      <w:pPr>
        <w:spacing w:line="360" w:lineRule="auto"/>
        <w:jc w:val="center"/>
        <w:rPr>
          <w:rFonts w:ascii="宋体" w:hAnsi="宋体"/>
          <w:b/>
          <w:bCs/>
          <w:color w:val="auto"/>
          <w:sz w:val="24"/>
          <w:highlight w:val="none"/>
        </w:rPr>
      </w:pPr>
      <w:r>
        <w:rPr>
          <w:rFonts w:hint="eastAsia" w:ascii="宋体" w:hAnsi="宋体"/>
          <w:b/>
          <w:bCs/>
          <w:color w:val="auto"/>
          <w:sz w:val="24"/>
          <w:highlight w:val="none"/>
        </w:rPr>
        <w:t>2、授权委托书</w:t>
      </w:r>
    </w:p>
    <w:p w14:paraId="72F0D1B5">
      <w:pPr>
        <w:snapToGrid w:val="0"/>
        <w:spacing w:line="360" w:lineRule="auto"/>
        <w:jc w:val="center"/>
        <w:rPr>
          <w:rFonts w:ascii="宋体" w:hAnsi="宋体" w:cs="宋体"/>
          <w:color w:val="auto"/>
          <w:sz w:val="24"/>
          <w:highlight w:val="none"/>
          <w:u w:val="single"/>
        </w:rPr>
      </w:pPr>
      <w:r>
        <w:rPr>
          <w:rFonts w:hint="eastAsia" w:ascii="宋体" w:hAnsi="宋体" w:cs="宋体"/>
          <w:color w:val="auto"/>
          <w:sz w:val="24"/>
          <w:highlight w:val="none"/>
          <w:u w:val="single"/>
        </w:rPr>
        <w:t>（被授权人参加投标时，须出示此证明）</w:t>
      </w:r>
    </w:p>
    <w:p w14:paraId="179B155F">
      <w:pPr>
        <w:snapToGrid w:val="0"/>
        <w:spacing w:line="360" w:lineRule="auto"/>
        <w:rPr>
          <w:rFonts w:ascii="宋体" w:hAnsi="宋体"/>
          <w:bCs/>
          <w:color w:val="auto"/>
          <w:sz w:val="24"/>
          <w:highlight w:val="none"/>
        </w:rPr>
      </w:pPr>
    </w:p>
    <w:p w14:paraId="674E22ED">
      <w:pPr>
        <w:snapToGrid w:val="0"/>
        <w:spacing w:line="360" w:lineRule="auto"/>
        <w:rPr>
          <w:rFonts w:ascii="宋体" w:hAnsi="宋体"/>
          <w:bCs/>
          <w:color w:val="auto"/>
          <w:sz w:val="24"/>
          <w:highlight w:val="none"/>
        </w:rPr>
      </w:pPr>
      <w:r>
        <w:rPr>
          <w:rFonts w:hint="eastAsia" w:ascii="宋体" w:hAnsi="宋体"/>
          <w:bCs/>
          <w:color w:val="auto"/>
          <w:sz w:val="24"/>
          <w:highlight w:val="none"/>
          <w:lang w:eastAsia="zh-CN"/>
        </w:rPr>
        <w:t>南通天玖置业有限公司</w:t>
      </w:r>
      <w:r>
        <w:rPr>
          <w:rFonts w:hint="eastAsia" w:ascii="宋体" w:hAnsi="宋体"/>
          <w:bCs/>
          <w:color w:val="auto"/>
          <w:sz w:val="24"/>
          <w:highlight w:val="none"/>
        </w:rPr>
        <w:t xml:space="preserve">   ：</w:t>
      </w:r>
    </w:p>
    <w:p w14:paraId="607CCCF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被授权人的姓名）代表我公司参加</w:t>
      </w:r>
      <w:r>
        <w:rPr>
          <w:rFonts w:hint="eastAsia" w:ascii="宋体" w:hAnsi="宋体"/>
          <w:color w:val="auto"/>
          <w:sz w:val="24"/>
          <w:highlight w:val="none"/>
          <w:u w:val="single"/>
        </w:rPr>
        <w:t>（招标项目名称</w:t>
      </w:r>
      <w:r>
        <w:rPr>
          <w:rFonts w:hint="eastAsia" w:ascii="宋体" w:hAnsi="宋体"/>
          <w:color w:val="auto"/>
          <w:sz w:val="24"/>
          <w:highlight w:val="none"/>
          <w:u w:val="single"/>
          <w:lang w:eastAsia="zh-CN"/>
        </w:rPr>
        <w:t>）</w:t>
      </w:r>
      <w:r>
        <w:rPr>
          <w:rFonts w:hint="eastAsia" w:ascii="宋体" w:hAnsi="宋体"/>
          <w:color w:val="auto"/>
          <w:sz w:val="24"/>
          <w:highlight w:val="none"/>
        </w:rPr>
        <w:t>项目的招标活动，全权处理一切与该项目公开招标有关的事务。其在办理上述事宜过程中所签署的所有文件我公司均予以承认。</w:t>
      </w:r>
    </w:p>
    <w:p w14:paraId="3EC51C03">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被授权人无转委托权，特此委托。</w:t>
      </w:r>
    </w:p>
    <w:p w14:paraId="4EF9B948">
      <w:pPr>
        <w:adjustRightInd w:val="0"/>
        <w:snapToGrid w:val="0"/>
        <w:spacing w:line="360" w:lineRule="auto"/>
        <w:ind w:firstLine="480" w:firstLineChars="200"/>
        <w:jc w:val="left"/>
        <w:rPr>
          <w:rFonts w:ascii="宋体" w:hAnsi="宋体"/>
          <w:color w:val="auto"/>
          <w:sz w:val="24"/>
          <w:highlight w:val="none"/>
        </w:rPr>
      </w:pPr>
    </w:p>
    <w:p w14:paraId="6250D45D">
      <w:pPr>
        <w:spacing w:line="360" w:lineRule="auto"/>
        <w:rPr>
          <w:rFonts w:ascii="宋体" w:hAnsi="宋体"/>
          <w:color w:val="auto"/>
          <w:sz w:val="24"/>
          <w:highlight w:val="none"/>
        </w:rPr>
      </w:pPr>
      <w:r>
        <w:rPr>
          <w:rFonts w:hint="eastAsia" w:ascii="宋体" w:hAnsi="宋体"/>
          <w:color w:val="auto"/>
          <w:sz w:val="24"/>
          <w:highlight w:val="none"/>
        </w:rPr>
        <w:t>附：被授权人情况：</w:t>
      </w:r>
    </w:p>
    <w:p w14:paraId="5FA202AA">
      <w:pPr>
        <w:spacing w:line="360" w:lineRule="auto"/>
        <w:rPr>
          <w:rFonts w:ascii="宋体" w:hAnsi="宋体"/>
          <w:color w:val="auto"/>
          <w:sz w:val="24"/>
          <w:highlight w:val="none"/>
          <w:u w:val="single"/>
        </w:rPr>
      </w:pPr>
      <w:r>
        <w:rPr>
          <w:rFonts w:hint="eastAsia" w:ascii="宋体" w:hAnsi="宋体"/>
          <w:color w:val="auto"/>
          <w:sz w:val="24"/>
          <w:highlight w:val="none"/>
        </w:rPr>
        <w:t>姓名： 性别： 年龄： 职务：</w:t>
      </w:r>
    </w:p>
    <w:p w14:paraId="175F1BD0">
      <w:pPr>
        <w:spacing w:line="360" w:lineRule="auto"/>
        <w:rPr>
          <w:rFonts w:ascii="宋体" w:hAnsi="宋体"/>
          <w:color w:val="auto"/>
          <w:sz w:val="24"/>
          <w:highlight w:val="none"/>
        </w:rPr>
      </w:pPr>
      <w:r>
        <w:rPr>
          <w:rFonts w:hint="eastAsia" w:ascii="宋体" w:hAnsi="宋体"/>
          <w:color w:val="auto"/>
          <w:sz w:val="24"/>
          <w:highlight w:val="none"/>
        </w:rPr>
        <w:t>身份证号码：</w:t>
      </w:r>
    </w:p>
    <w:p w14:paraId="48CFCB8A">
      <w:pPr>
        <w:spacing w:line="360" w:lineRule="auto"/>
        <w:rPr>
          <w:rFonts w:ascii="宋体" w:hAnsi="宋体"/>
          <w:color w:val="auto"/>
          <w:sz w:val="24"/>
          <w:highlight w:val="none"/>
        </w:rPr>
      </w:pPr>
      <w:r>
        <w:rPr>
          <w:rFonts w:hint="eastAsia" w:ascii="宋体" w:hAnsi="宋体"/>
          <w:color w:val="auto"/>
          <w:sz w:val="24"/>
          <w:highlight w:val="none"/>
        </w:rPr>
        <w:t>手机：  传真：</w:t>
      </w:r>
    </w:p>
    <w:p w14:paraId="45DFD674">
      <w:pPr>
        <w:spacing w:line="360" w:lineRule="auto"/>
        <w:rPr>
          <w:rFonts w:ascii="宋体" w:hAnsi="宋体"/>
          <w:color w:val="auto"/>
          <w:sz w:val="24"/>
          <w:highlight w:val="none"/>
        </w:rPr>
      </w:pPr>
      <w:r>
        <w:rPr>
          <w:rFonts w:hint="eastAsia" w:ascii="宋体" w:hAnsi="宋体"/>
          <w:color w:val="auto"/>
          <w:sz w:val="24"/>
          <w:highlight w:val="none"/>
        </w:rPr>
        <w:t>单位名称（公章）             法定代表人（签字或盖章）</w:t>
      </w:r>
    </w:p>
    <w:p w14:paraId="6EB18ACB">
      <w:pPr>
        <w:spacing w:line="360" w:lineRule="auto"/>
        <w:ind w:firstLine="1200" w:firstLineChars="500"/>
        <w:rPr>
          <w:rFonts w:ascii="宋体" w:hAnsi="宋体"/>
          <w:color w:val="auto"/>
          <w:sz w:val="24"/>
          <w:highlight w:val="none"/>
        </w:rPr>
      </w:pPr>
      <w:r>
        <w:rPr>
          <w:rFonts w:hint="eastAsia" w:ascii="宋体" w:hAnsi="宋体"/>
          <w:color w:val="auto"/>
          <w:sz w:val="24"/>
          <w:highlight w:val="none"/>
        </w:rPr>
        <w:t xml:space="preserve">年   月   日                 年   月    日  </w:t>
      </w:r>
    </w:p>
    <w:p w14:paraId="2DED5993">
      <w:pPr>
        <w:spacing w:line="360" w:lineRule="auto"/>
        <w:rPr>
          <w:rFonts w:ascii="宋体" w:hAnsi="宋体"/>
          <w:color w:val="auto"/>
          <w:sz w:val="24"/>
          <w:highlight w:val="none"/>
        </w:rPr>
      </w:pPr>
      <w:r>
        <w:rPr>
          <w:rFonts w:ascii="宋体" w:hAnsi="宋体"/>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35560</wp:posOffset>
                </wp:positionH>
                <wp:positionV relativeFrom="paragraph">
                  <wp:posOffset>222885</wp:posOffset>
                </wp:positionV>
                <wp:extent cx="5692140" cy="1463675"/>
                <wp:effectExtent l="4445" t="4445" r="18415" b="10160"/>
                <wp:wrapNone/>
                <wp:docPr id="6" name="矩形 4"/>
                <wp:cNvGraphicFramePr/>
                <a:graphic xmlns:a="http://schemas.openxmlformats.org/drawingml/2006/main">
                  <a:graphicData uri="http://schemas.microsoft.com/office/word/2010/wordprocessingShape">
                    <wps:wsp>
                      <wps:cNvSpPr/>
                      <wps:spPr>
                        <a:xfrm>
                          <a:off x="0" y="0"/>
                          <a:ext cx="5692140" cy="18440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814B53B">
                            <w:pPr>
                              <w:rPr>
                                <w:rFonts w:hint="eastAsia" w:ascii="宋体" w:hAnsi="宋体" w:eastAsia="宋体" w:cs="宋体"/>
                                <w:sz w:val="24"/>
                                <w:szCs w:val="24"/>
                                <w:highlight w:val="none"/>
                              </w:rPr>
                            </w:pPr>
                          </w:p>
                          <w:p w14:paraId="7B5D8954">
                            <w:pPr>
                              <w:rPr>
                                <w:rFonts w:hint="eastAsia" w:ascii="宋体" w:hAnsi="宋体" w:eastAsia="宋体" w:cs="宋体"/>
                                <w:sz w:val="24"/>
                                <w:szCs w:val="24"/>
                                <w:highlight w:val="none"/>
                              </w:rPr>
                            </w:pPr>
                          </w:p>
                          <w:p w14:paraId="7ECD0124">
                            <w:pPr>
                              <w:ind w:firstLine="2640" w:firstLineChars="1100"/>
                            </w:pPr>
                            <w:r>
                              <w:rPr>
                                <w:rFonts w:hint="eastAsia" w:ascii="宋体" w:hAnsi="宋体" w:eastAsia="宋体" w:cs="宋体"/>
                                <w:sz w:val="24"/>
                                <w:szCs w:val="24"/>
                                <w:highlight w:val="none"/>
                              </w:rPr>
                              <w:t>法定代表人身份证复印件</w:t>
                            </w:r>
                          </w:p>
                        </w:txbxContent>
                      </wps:txbx>
                      <wps:bodyPr upright="1"/>
                    </wps:wsp>
                  </a:graphicData>
                </a:graphic>
              </wp:anchor>
            </w:drawing>
          </mc:Choice>
          <mc:Fallback>
            <w:pict>
              <v:rect id="矩形 4" o:spid="_x0000_s1026" o:spt="1" style="position:absolute;left:0pt;margin-left:2.8pt;margin-top:17.55pt;height:115.25pt;width:448.2pt;z-index:-251655168;mso-width-relative:page;mso-height-relative:page;" fillcolor="#FFFFFF" filled="t" stroked="t" coordsize="21600,21600" o:gfxdata="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gqKE1gAAAAgBAAAPAAAAAAAAAAEAIAAAACIAAABkcnMv&#10;ZG93bnJldi54bWxQSwECFAAUAAAACACHTuJAttwM4wUCAAA4BAAADgAAAAAAAAABACAAAAAlAQAA&#10;ZHJzL2Uyb0RvYy54bWxQSwUGAAAAAAYABgBZAQAAnAUAAAAA&#10;">
                <v:fill on="t" focussize="0,0"/>
                <v:stroke color="#000000" joinstyle="miter"/>
                <v:imagedata o:title=""/>
                <o:lock v:ext="edit" aspectratio="f"/>
                <v:textbox>
                  <w:txbxContent>
                    <w:p w14:paraId="6814B53B">
                      <w:pPr>
                        <w:rPr>
                          <w:rFonts w:hint="eastAsia" w:ascii="宋体" w:hAnsi="宋体" w:eastAsia="宋体" w:cs="宋体"/>
                          <w:sz w:val="24"/>
                          <w:szCs w:val="24"/>
                          <w:highlight w:val="none"/>
                        </w:rPr>
                      </w:pPr>
                    </w:p>
                    <w:p w14:paraId="7B5D8954">
                      <w:pPr>
                        <w:rPr>
                          <w:rFonts w:hint="eastAsia" w:ascii="宋体" w:hAnsi="宋体" w:eastAsia="宋体" w:cs="宋体"/>
                          <w:sz w:val="24"/>
                          <w:szCs w:val="24"/>
                          <w:highlight w:val="none"/>
                        </w:rPr>
                      </w:pPr>
                    </w:p>
                    <w:p w14:paraId="7ECD0124">
                      <w:pPr>
                        <w:ind w:firstLine="2640" w:firstLineChars="1100"/>
                      </w:pPr>
                      <w:r>
                        <w:rPr>
                          <w:rFonts w:hint="eastAsia" w:ascii="宋体" w:hAnsi="宋体" w:eastAsia="宋体" w:cs="宋体"/>
                          <w:sz w:val="24"/>
                          <w:szCs w:val="24"/>
                          <w:highlight w:val="none"/>
                        </w:rPr>
                        <w:t>法定代表人身份证复印件</w:t>
                      </w:r>
                    </w:p>
                  </w:txbxContent>
                </v:textbox>
              </v:rect>
            </w:pict>
          </mc:Fallback>
        </mc:AlternateContent>
      </w:r>
    </w:p>
    <w:p w14:paraId="7A39EDDF">
      <w:pPr>
        <w:spacing w:line="360" w:lineRule="auto"/>
        <w:rPr>
          <w:rFonts w:ascii="宋体" w:hAnsi="宋体"/>
          <w:color w:val="auto"/>
          <w:sz w:val="24"/>
          <w:highlight w:val="none"/>
        </w:rPr>
      </w:pPr>
    </w:p>
    <w:p w14:paraId="1602164A">
      <w:pPr>
        <w:spacing w:line="360" w:lineRule="auto"/>
        <w:rPr>
          <w:rFonts w:ascii="宋体" w:hAnsi="宋体"/>
          <w:color w:val="auto"/>
          <w:sz w:val="24"/>
          <w:highlight w:val="none"/>
        </w:rPr>
      </w:pPr>
    </w:p>
    <w:p w14:paraId="7C5F0839">
      <w:pPr>
        <w:spacing w:line="360" w:lineRule="auto"/>
        <w:rPr>
          <w:rFonts w:ascii="宋体" w:hAnsi="宋体"/>
          <w:color w:val="auto"/>
          <w:sz w:val="24"/>
          <w:highlight w:val="none"/>
        </w:rPr>
      </w:pPr>
    </w:p>
    <w:p w14:paraId="00514181">
      <w:pPr>
        <w:spacing w:line="360" w:lineRule="auto"/>
        <w:ind w:firstLine="2280" w:firstLineChars="950"/>
        <w:rPr>
          <w:rFonts w:ascii="宋体" w:hAnsi="宋体"/>
          <w:color w:val="auto"/>
          <w:sz w:val="24"/>
          <w:highlight w:val="none"/>
        </w:rPr>
      </w:pPr>
    </w:p>
    <w:p w14:paraId="5BC1506E">
      <w:pPr>
        <w:spacing w:line="360" w:lineRule="auto"/>
        <w:ind w:firstLine="2280" w:firstLineChars="950"/>
        <w:rPr>
          <w:rFonts w:ascii="宋体" w:hAnsi="宋体"/>
          <w:b/>
          <w:bCs/>
          <w:color w:val="auto"/>
          <w:sz w:val="24"/>
          <w:highlight w:val="none"/>
        </w:rPr>
      </w:pPr>
      <w:r>
        <w:rPr>
          <w:rFonts w:ascii="宋体" w:hAnsi="宋体"/>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6985</wp:posOffset>
                </wp:positionH>
                <wp:positionV relativeFrom="paragraph">
                  <wp:posOffset>297180</wp:posOffset>
                </wp:positionV>
                <wp:extent cx="5692140" cy="1844040"/>
                <wp:effectExtent l="4445" t="4445" r="18415" b="10795"/>
                <wp:wrapNone/>
                <wp:docPr id="7" name="矩形 4"/>
                <wp:cNvGraphicFramePr/>
                <a:graphic xmlns:a="http://schemas.openxmlformats.org/drawingml/2006/main">
                  <a:graphicData uri="http://schemas.microsoft.com/office/word/2010/wordprocessingShape">
                    <wps:wsp>
                      <wps:cNvSpPr/>
                      <wps:spPr>
                        <a:xfrm>
                          <a:off x="0" y="0"/>
                          <a:ext cx="5692140" cy="1844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1A17D1">
                            <w:pPr>
                              <w:rPr>
                                <w:rFonts w:hint="eastAsia" w:ascii="宋体" w:hAnsi="宋体"/>
                                <w:sz w:val="24"/>
                              </w:rPr>
                            </w:pPr>
                          </w:p>
                          <w:p w14:paraId="1F4D4F08">
                            <w:pPr>
                              <w:rPr>
                                <w:rFonts w:hint="eastAsia" w:ascii="宋体" w:hAnsi="宋体"/>
                                <w:sz w:val="24"/>
                              </w:rPr>
                            </w:pPr>
                          </w:p>
                          <w:p w14:paraId="44CBADAA">
                            <w:pPr>
                              <w:rPr>
                                <w:rFonts w:hint="eastAsia" w:ascii="宋体" w:hAnsi="宋体"/>
                                <w:sz w:val="24"/>
                              </w:rPr>
                            </w:pPr>
                          </w:p>
                          <w:p w14:paraId="6675BBBC">
                            <w:pPr>
                              <w:ind w:firstLine="2400" w:firstLineChars="1000"/>
                            </w:pPr>
                            <w:r>
                              <w:rPr>
                                <w:rFonts w:hint="eastAsia" w:ascii="宋体" w:hAnsi="宋体"/>
                                <w:sz w:val="24"/>
                              </w:rPr>
                              <w:t>被授权人身份证复印件</w:t>
                            </w:r>
                          </w:p>
                        </w:txbxContent>
                      </wps:txbx>
                      <wps:bodyPr upright="1"/>
                    </wps:wsp>
                  </a:graphicData>
                </a:graphic>
              </wp:anchor>
            </w:drawing>
          </mc:Choice>
          <mc:Fallback>
            <w:pict>
              <v:rect id="矩形 4" o:spid="_x0000_s1026" o:spt="1" style="position:absolute;left:0pt;margin-left:0.55pt;margin-top:23.4pt;height:145.2pt;width:448.2pt;z-index:-251654144;mso-width-relative:page;mso-height-relative:page;" fillcolor="#FFFFFF" filled="t" stroked="t" coordsize="21600,21600" o:gfxdata="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jtLf1wAAAAgBAAAPAAAAAAAAAAEAIAAAACIAAABkcnMvZG93&#10;bnJldi54bWxQSwECFAAUAAAACACHTuJAuf++VwECAAAqBAAADgAAAAAAAAABACAAAAAmAQAAZHJz&#10;L2Uyb0RvYy54bWxQSwUGAAAAAAYABgBZAQAAmQUAAAAA&#10;">
                <v:fill on="t" focussize="0,0"/>
                <v:stroke color="#000000" joinstyle="miter"/>
                <v:imagedata o:title=""/>
                <o:lock v:ext="edit" aspectratio="f"/>
                <v:textbox>
                  <w:txbxContent>
                    <w:p w14:paraId="6B1A17D1">
                      <w:pPr>
                        <w:rPr>
                          <w:rFonts w:hint="eastAsia" w:ascii="宋体" w:hAnsi="宋体"/>
                          <w:sz w:val="24"/>
                        </w:rPr>
                      </w:pPr>
                    </w:p>
                    <w:p w14:paraId="1F4D4F08">
                      <w:pPr>
                        <w:rPr>
                          <w:rFonts w:hint="eastAsia" w:ascii="宋体" w:hAnsi="宋体"/>
                          <w:sz w:val="24"/>
                        </w:rPr>
                      </w:pPr>
                    </w:p>
                    <w:p w14:paraId="44CBADAA">
                      <w:pPr>
                        <w:rPr>
                          <w:rFonts w:hint="eastAsia" w:ascii="宋体" w:hAnsi="宋体"/>
                          <w:sz w:val="24"/>
                        </w:rPr>
                      </w:pPr>
                    </w:p>
                    <w:p w14:paraId="6675BBBC">
                      <w:pPr>
                        <w:ind w:firstLine="2400" w:firstLineChars="1000"/>
                      </w:pPr>
                      <w:r>
                        <w:rPr>
                          <w:rFonts w:hint="eastAsia" w:ascii="宋体" w:hAnsi="宋体"/>
                          <w:sz w:val="24"/>
                        </w:rPr>
                        <w:t>被授权人身份证复印件</w:t>
                      </w:r>
                    </w:p>
                  </w:txbxContent>
                </v:textbox>
              </v:rect>
            </w:pict>
          </mc:Fallback>
        </mc:AlternateContent>
      </w:r>
    </w:p>
    <w:p w14:paraId="20360FC1">
      <w:pPr>
        <w:spacing w:line="360" w:lineRule="auto"/>
        <w:rPr>
          <w:rFonts w:ascii="宋体" w:hAnsi="宋体"/>
          <w:b/>
          <w:bCs/>
          <w:color w:val="auto"/>
          <w:sz w:val="24"/>
          <w:highlight w:val="none"/>
        </w:rPr>
      </w:pPr>
    </w:p>
    <w:p w14:paraId="09866182">
      <w:pPr>
        <w:spacing w:line="360" w:lineRule="auto"/>
        <w:rPr>
          <w:rFonts w:hint="eastAsia" w:ascii="宋体" w:hAnsi="宋体"/>
          <w:b/>
          <w:bCs/>
          <w:color w:val="auto"/>
          <w:sz w:val="24"/>
          <w:highlight w:val="none"/>
        </w:rPr>
      </w:pPr>
    </w:p>
    <w:p w14:paraId="3276424F">
      <w:pPr>
        <w:spacing w:line="360" w:lineRule="auto"/>
        <w:rPr>
          <w:rFonts w:hint="eastAsia" w:ascii="宋体" w:hAnsi="宋体"/>
          <w:b/>
          <w:bCs/>
          <w:color w:val="auto"/>
          <w:sz w:val="24"/>
          <w:highlight w:val="none"/>
        </w:rPr>
      </w:pPr>
    </w:p>
    <w:p w14:paraId="4C2E48DD">
      <w:pPr>
        <w:spacing w:line="360" w:lineRule="auto"/>
        <w:rPr>
          <w:rFonts w:hint="eastAsia" w:ascii="宋体" w:hAnsi="宋体"/>
          <w:b/>
          <w:bCs/>
          <w:color w:val="auto"/>
          <w:sz w:val="24"/>
          <w:highlight w:val="none"/>
        </w:rPr>
      </w:pPr>
    </w:p>
    <w:p w14:paraId="76037BA3">
      <w:pPr>
        <w:spacing w:line="360" w:lineRule="auto"/>
        <w:rPr>
          <w:rFonts w:hint="eastAsia" w:ascii="宋体" w:hAnsi="宋体"/>
          <w:b/>
          <w:bCs/>
          <w:color w:val="auto"/>
          <w:sz w:val="24"/>
          <w:highlight w:val="none"/>
        </w:rPr>
      </w:pPr>
    </w:p>
    <w:p w14:paraId="745AAEF6">
      <w:pPr>
        <w:spacing w:line="360" w:lineRule="auto"/>
        <w:rPr>
          <w:rFonts w:hint="eastAsia" w:ascii="宋体" w:hAnsi="宋体"/>
          <w:b/>
          <w:bCs/>
          <w:color w:val="auto"/>
          <w:sz w:val="24"/>
          <w:highlight w:val="none"/>
        </w:rPr>
      </w:pPr>
    </w:p>
    <w:p w14:paraId="2814A641">
      <w:pPr>
        <w:spacing w:line="360" w:lineRule="auto"/>
        <w:rPr>
          <w:rFonts w:ascii="宋体" w:hAnsi="宋体"/>
          <w:color w:val="auto"/>
          <w:highlight w:val="none"/>
        </w:rPr>
      </w:pPr>
      <w:r>
        <w:rPr>
          <w:rFonts w:hint="eastAsia" w:ascii="宋体" w:hAnsi="宋体"/>
          <w:b/>
          <w:bCs/>
          <w:color w:val="auto"/>
          <w:sz w:val="24"/>
          <w:highlight w:val="none"/>
        </w:rPr>
        <w:t>注：如为被授权人参加投标时，须将身份证原件带至开标现场备查</w:t>
      </w:r>
      <w:r>
        <w:rPr>
          <w:rFonts w:hint="eastAsia" w:ascii="宋体" w:hAnsi="宋体"/>
          <w:b/>
          <w:bCs/>
          <w:color w:val="auto"/>
          <w:sz w:val="28"/>
          <w:szCs w:val="28"/>
          <w:highlight w:val="none"/>
        </w:rPr>
        <w:t>。</w:t>
      </w:r>
    </w:p>
    <w:p w14:paraId="2F8351DB">
      <w:pPr>
        <w:snapToGrid w:val="0"/>
        <w:spacing w:line="360" w:lineRule="auto"/>
        <w:jc w:val="center"/>
        <w:outlineLvl w:val="4"/>
        <w:rPr>
          <w:rFonts w:ascii="宋体" w:hAnsi="宋体"/>
          <w:b/>
          <w:bCs/>
          <w:color w:val="auto"/>
          <w:sz w:val="24"/>
          <w:highlight w:val="none"/>
        </w:rPr>
      </w:pPr>
      <w:r>
        <w:rPr>
          <w:rFonts w:hint="eastAsia" w:ascii="宋体" w:hAnsi="宋体"/>
          <w:b/>
          <w:bCs/>
          <w:color w:val="auto"/>
          <w:sz w:val="24"/>
          <w:highlight w:val="none"/>
        </w:rPr>
        <w:br w:type="page"/>
      </w:r>
    </w:p>
    <w:p w14:paraId="768CE2F6">
      <w:pPr>
        <w:snapToGrid w:val="0"/>
        <w:spacing w:line="360" w:lineRule="auto"/>
        <w:jc w:val="center"/>
        <w:outlineLvl w:val="4"/>
        <w:rPr>
          <w:rFonts w:ascii="宋体" w:hAnsi="宋体"/>
          <w:b/>
          <w:bCs/>
          <w:color w:val="auto"/>
          <w:sz w:val="24"/>
          <w:highlight w:val="none"/>
        </w:rPr>
      </w:pPr>
    </w:p>
    <w:p w14:paraId="49345D0B">
      <w:pPr>
        <w:snapToGrid w:val="0"/>
        <w:spacing w:line="360" w:lineRule="auto"/>
        <w:jc w:val="center"/>
        <w:outlineLvl w:val="4"/>
        <w:rPr>
          <w:rFonts w:ascii="宋体" w:hAnsi="宋体"/>
          <w:b/>
          <w:bCs/>
          <w:color w:val="auto"/>
          <w:sz w:val="24"/>
          <w:highlight w:val="none"/>
        </w:rPr>
      </w:pPr>
      <w:r>
        <w:rPr>
          <w:rFonts w:hint="eastAsia" w:ascii="宋体" w:hAnsi="宋体"/>
          <w:b/>
          <w:bCs/>
          <w:color w:val="auto"/>
          <w:sz w:val="24"/>
          <w:highlight w:val="none"/>
          <w:lang w:val="en-US" w:eastAsia="zh-CN"/>
        </w:rPr>
        <w:t>3</w:t>
      </w:r>
      <w:r>
        <w:rPr>
          <w:rFonts w:hint="eastAsia" w:ascii="宋体" w:hAnsi="宋体"/>
          <w:b/>
          <w:bCs/>
          <w:color w:val="auto"/>
          <w:sz w:val="24"/>
          <w:highlight w:val="none"/>
        </w:rPr>
        <w:t>、关于资格文件的声明函</w:t>
      </w:r>
    </w:p>
    <w:p w14:paraId="5419FDE3">
      <w:pPr>
        <w:adjustRightInd w:val="0"/>
        <w:snapToGrid w:val="0"/>
        <w:spacing w:line="360" w:lineRule="auto"/>
        <w:jc w:val="left"/>
        <w:rPr>
          <w:rFonts w:ascii="宋体" w:hAnsi="宋体"/>
          <w:color w:val="auto"/>
          <w:sz w:val="24"/>
          <w:highlight w:val="none"/>
        </w:rPr>
      </w:pPr>
      <w:r>
        <w:rPr>
          <w:rFonts w:hint="eastAsia" w:ascii="宋体" w:hAnsi="宋体"/>
          <w:color w:val="auto"/>
          <w:sz w:val="24"/>
          <w:highlight w:val="none"/>
          <w:lang w:eastAsia="zh-CN"/>
        </w:rPr>
        <w:t>南通天玖置业有限公司</w:t>
      </w:r>
      <w:r>
        <w:rPr>
          <w:rFonts w:hint="eastAsia" w:ascii="宋体" w:hAnsi="宋体"/>
          <w:color w:val="auto"/>
          <w:sz w:val="24"/>
          <w:highlight w:val="none"/>
        </w:rPr>
        <w:t>：</w:t>
      </w:r>
    </w:p>
    <w:p w14:paraId="08CF496D">
      <w:pPr>
        <w:overflowPunct w:val="0"/>
        <w:adjustRightInd w:val="0"/>
        <w:spacing w:line="360" w:lineRule="auto"/>
        <w:ind w:firstLine="660"/>
        <w:jc w:val="left"/>
        <w:textAlignment w:val="baseline"/>
        <w:rPr>
          <w:rFonts w:ascii="宋体" w:hAnsi="宋体"/>
          <w:color w:val="auto"/>
          <w:sz w:val="24"/>
          <w:highlight w:val="none"/>
        </w:rPr>
      </w:pPr>
      <w:r>
        <w:rPr>
          <w:rFonts w:hint="eastAsia" w:ascii="宋体" w:hAnsi="宋体"/>
          <w:color w:val="auto"/>
          <w:sz w:val="24"/>
          <w:highlight w:val="none"/>
        </w:rPr>
        <w:t>本公司愿就由贵单位组织实施的</w:t>
      </w:r>
      <w:r>
        <w:rPr>
          <w:rFonts w:hint="eastAsia" w:ascii="宋体" w:hAnsi="宋体"/>
          <w:color w:val="auto"/>
          <w:sz w:val="24"/>
          <w:highlight w:val="none"/>
          <w:u w:val="single"/>
        </w:rPr>
        <w:t>（</w:t>
      </w:r>
      <w:r>
        <w:rPr>
          <w:rFonts w:hint="eastAsia" w:ascii="宋体" w:hAnsi="宋体" w:cs="宋体"/>
          <w:color w:val="auto"/>
          <w:sz w:val="24"/>
          <w:highlight w:val="none"/>
          <w:u w:val="single"/>
        </w:rPr>
        <w:t>招标项目名称</w:t>
      </w:r>
      <w:r>
        <w:rPr>
          <w:rFonts w:hint="eastAsia" w:ascii="宋体" w:hAnsi="宋体" w:cs="宋体"/>
          <w:color w:val="auto"/>
          <w:sz w:val="24"/>
          <w:highlight w:val="none"/>
          <w:u w:val="single"/>
          <w:lang w:eastAsia="zh-CN"/>
        </w:rPr>
        <w:t>）</w:t>
      </w:r>
      <w:r>
        <w:rPr>
          <w:rFonts w:hint="eastAsia" w:ascii="宋体" w:hAnsi="宋体"/>
          <w:color w:val="auto"/>
          <w:sz w:val="24"/>
          <w:highlight w:val="none"/>
        </w:rPr>
        <w:t>的招标活动进行投</w:t>
      </w:r>
      <w:r>
        <w:rPr>
          <w:rFonts w:hint="eastAsia" w:ascii="宋体" w:hAnsi="宋体" w:cs="宋体"/>
          <w:color w:val="auto"/>
          <w:sz w:val="24"/>
          <w:highlight w:val="none"/>
        </w:rPr>
        <w:t>标。本公司所提交的投标文件中所有关于投标资格的文件、证明和陈述均是真实的、准确的。若与真实情况不符，本公司愿意承担由此而产生的一切后果</w:t>
      </w:r>
      <w:r>
        <w:rPr>
          <w:rFonts w:hint="eastAsia" w:ascii="宋体" w:hAnsi="宋体"/>
          <w:color w:val="auto"/>
          <w:sz w:val="24"/>
          <w:highlight w:val="none"/>
        </w:rPr>
        <w:t>。</w:t>
      </w:r>
    </w:p>
    <w:p w14:paraId="119904F2">
      <w:pPr>
        <w:overflowPunct w:val="0"/>
        <w:adjustRightInd w:val="0"/>
        <w:spacing w:line="360" w:lineRule="auto"/>
        <w:ind w:firstLine="420"/>
        <w:jc w:val="left"/>
        <w:textAlignment w:val="baseline"/>
        <w:rPr>
          <w:rFonts w:ascii="宋体" w:hAnsi="宋体"/>
          <w:color w:val="auto"/>
          <w:sz w:val="24"/>
          <w:highlight w:val="none"/>
        </w:rPr>
      </w:pPr>
    </w:p>
    <w:p w14:paraId="1574C79D">
      <w:pPr>
        <w:overflowPunct w:val="0"/>
        <w:adjustRightInd w:val="0"/>
        <w:spacing w:line="360" w:lineRule="auto"/>
        <w:ind w:firstLine="420"/>
        <w:jc w:val="left"/>
        <w:textAlignment w:val="baseline"/>
        <w:rPr>
          <w:rFonts w:ascii="宋体" w:hAnsi="宋体"/>
          <w:color w:val="auto"/>
          <w:sz w:val="24"/>
          <w:highlight w:val="none"/>
        </w:rPr>
      </w:pPr>
    </w:p>
    <w:p w14:paraId="0E13C1B9">
      <w:pPr>
        <w:spacing w:line="360" w:lineRule="auto"/>
        <w:ind w:firstLine="480" w:firstLineChars="200"/>
        <w:jc w:val="right"/>
        <w:rPr>
          <w:rFonts w:ascii="宋体" w:hAnsi="宋体"/>
          <w:color w:val="auto"/>
          <w:sz w:val="24"/>
          <w:highlight w:val="none"/>
        </w:rPr>
      </w:pPr>
      <w:r>
        <w:rPr>
          <w:rFonts w:ascii="宋体" w:hAnsi="宋体"/>
          <w:color w:val="auto"/>
          <w:sz w:val="24"/>
          <w:highlight w:val="none"/>
        </w:rPr>
        <w:t>投标人：（加盖公章）</w:t>
      </w:r>
    </w:p>
    <w:p w14:paraId="0662BA68">
      <w:pPr>
        <w:spacing w:line="360" w:lineRule="auto"/>
        <w:ind w:firstLine="480" w:firstLineChars="200"/>
        <w:jc w:val="right"/>
        <w:rPr>
          <w:rFonts w:ascii="宋体" w:hAnsi="宋体"/>
          <w:color w:val="auto"/>
          <w:sz w:val="24"/>
          <w:highlight w:val="none"/>
        </w:rPr>
      </w:pPr>
      <w:r>
        <w:rPr>
          <w:rFonts w:hint="eastAsia" w:ascii="宋体" w:hAnsi="宋体"/>
          <w:color w:val="auto"/>
          <w:sz w:val="24"/>
          <w:highlight w:val="none"/>
        </w:rPr>
        <w:t>法定代表人或被授权人：（签字或盖章）</w:t>
      </w:r>
    </w:p>
    <w:p w14:paraId="1F4004ED">
      <w:pPr>
        <w:spacing w:line="360" w:lineRule="auto"/>
        <w:ind w:firstLine="1320" w:firstLineChars="550"/>
        <w:jc w:val="right"/>
        <w:rPr>
          <w:rFonts w:ascii="宋体" w:hAnsi="宋体"/>
          <w:color w:val="auto"/>
          <w:sz w:val="24"/>
          <w:highlight w:val="none"/>
        </w:rPr>
      </w:pPr>
      <w:r>
        <w:rPr>
          <w:rFonts w:hint="eastAsia" w:ascii="宋体" w:hAnsi="宋体"/>
          <w:color w:val="auto"/>
          <w:sz w:val="24"/>
          <w:highlight w:val="none"/>
        </w:rPr>
        <w:t>年      月     日</w:t>
      </w:r>
    </w:p>
    <w:p w14:paraId="27A5DF0B">
      <w:pPr>
        <w:rPr>
          <w:rFonts w:hAnsi="宋体"/>
          <w:b/>
          <w:bCs/>
          <w:color w:val="auto"/>
          <w:sz w:val="28"/>
          <w:szCs w:val="28"/>
          <w:highlight w:val="none"/>
        </w:rPr>
      </w:pPr>
      <w:r>
        <w:rPr>
          <w:rFonts w:hAnsi="宋体"/>
          <w:b/>
          <w:bCs/>
          <w:color w:val="auto"/>
          <w:sz w:val="28"/>
          <w:szCs w:val="28"/>
          <w:highlight w:val="none"/>
        </w:rPr>
        <w:br w:type="page"/>
      </w:r>
    </w:p>
    <w:p w14:paraId="7A49F757">
      <w:pPr>
        <w:pStyle w:val="3"/>
        <w:jc w:val="center"/>
        <w:rPr>
          <w:rFonts w:hint="eastAsia" w:ascii="宋体" w:hAnsi="宋体" w:eastAsia="宋体" w:cs="Times New Roman"/>
          <w:b/>
          <w:bCs/>
          <w:color w:val="auto"/>
          <w:kern w:val="2"/>
          <w:sz w:val="24"/>
          <w:szCs w:val="24"/>
          <w:highlight w:val="none"/>
          <w:lang w:val="en-US" w:eastAsia="zh-CN" w:bidi="ar-SA"/>
        </w:rPr>
      </w:pPr>
      <w:r>
        <w:rPr>
          <w:rFonts w:hint="eastAsia" w:ascii="宋体" w:hAnsi="宋体" w:cs="Times New Roman"/>
          <w:b/>
          <w:bCs/>
          <w:color w:val="auto"/>
          <w:kern w:val="2"/>
          <w:sz w:val="24"/>
          <w:szCs w:val="24"/>
          <w:highlight w:val="none"/>
          <w:lang w:val="en-US" w:eastAsia="zh-CN" w:bidi="ar-SA"/>
        </w:rPr>
        <w:t>4</w:t>
      </w:r>
      <w:r>
        <w:rPr>
          <w:rFonts w:hint="eastAsia" w:ascii="宋体" w:hAnsi="宋体" w:eastAsia="宋体" w:cs="Times New Roman"/>
          <w:b/>
          <w:bCs/>
          <w:color w:val="auto"/>
          <w:kern w:val="2"/>
          <w:sz w:val="24"/>
          <w:szCs w:val="24"/>
          <w:highlight w:val="none"/>
          <w:lang w:val="en-US" w:eastAsia="zh-CN" w:bidi="ar-SA"/>
        </w:rPr>
        <w:t>、诚信承诺书</w:t>
      </w:r>
    </w:p>
    <w:p w14:paraId="573B52F6">
      <w:pPr>
        <w:spacing w:line="360" w:lineRule="auto"/>
        <w:ind w:right="-1"/>
        <w:contextualSpacing/>
        <w:jc w:val="right"/>
        <w:rPr>
          <w:rFonts w:ascii="宋体" w:hAnsi="宋体" w:cs="宋体"/>
          <w:color w:val="auto"/>
          <w:sz w:val="24"/>
          <w:highlight w:val="none"/>
        </w:rPr>
      </w:pPr>
    </w:p>
    <w:p w14:paraId="48F3FBEA">
      <w:pPr>
        <w:pStyle w:val="5"/>
        <w:spacing w:line="360" w:lineRule="auto"/>
        <w:ind w:left="63" w:right="63"/>
        <w:rPr>
          <w:rFonts w:ascii="宋体" w:hAnsi="宋体" w:cs="宋体"/>
          <w:color w:val="auto"/>
          <w:sz w:val="24"/>
          <w:szCs w:val="24"/>
          <w:highlight w:val="none"/>
        </w:rPr>
      </w:pPr>
      <w:r>
        <w:rPr>
          <w:rFonts w:hint="eastAsia" w:cs="宋体"/>
          <w:color w:val="auto"/>
          <w:sz w:val="24"/>
          <w:szCs w:val="24"/>
          <w:highlight w:val="none"/>
          <w:u w:val="single"/>
          <w:lang w:eastAsia="zh-CN"/>
        </w:rPr>
        <w:t>南通天玖置业有限公司</w:t>
      </w:r>
      <w:r>
        <w:rPr>
          <w:rFonts w:hint="eastAsia" w:ascii="宋体" w:hAnsi="宋体" w:cs="宋体"/>
          <w:color w:val="auto"/>
          <w:sz w:val="24"/>
          <w:szCs w:val="24"/>
          <w:highlight w:val="none"/>
        </w:rPr>
        <w:t>：</w:t>
      </w:r>
    </w:p>
    <w:p w14:paraId="37D82EF2">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我方参加你方的</w:t>
      </w:r>
      <w:r>
        <w:rPr>
          <w:rFonts w:ascii="宋体" w:hAnsi="宋体" w:cs="宋体"/>
          <w:color w:val="auto"/>
          <w:highlight w:val="none"/>
          <w:u w:val="single"/>
        </w:rPr>
        <w:t xml:space="preserve">             </w:t>
      </w:r>
      <w:r>
        <w:rPr>
          <w:rFonts w:hint="eastAsia" w:ascii="宋体" w:hAnsi="宋体" w:cs="宋体"/>
          <w:color w:val="auto"/>
          <w:sz w:val="24"/>
          <w:highlight w:val="none"/>
        </w:rPr>
        <w:t>（以下简称“本项目”）的投标，现我方法定代表人向你方慎重承诺：</w:t>
      </w:r>
    </w:p>
    <w:p w14:paraId="32AF777D">
      <w:pPr>
        <w:widowControl/>
        <w:numPr>
          <w:ilvl w:val="0"/>
          <w:numId w:val="3"/>
        </w:numPr>
        <w:adjustRightInd w:val="0"/>
        <w:snapToGrid w:val="0"/>
        <w:spacing w:line="360" w:lineRule="auto"/>
        <w:ind w:firstLine="468" w:firstLineChars="195"/>
        <w:jc w:val="left"/>
        <w:rPr>
          <w:rFonts w:ascii="宋体" w:hAnsi="宋体" w:cs="宋体"/>
          <w:color w:val="auto"/>
          <w:sz w:val="24"/>
          <w:highlight w:val="none"/>
        </w:rPr>
      </w:pPr>
      <w:r>
        <w:rPr>
          <w:rFonts w:hint="eastAsia" w:ascii="宋体" w:hAnsi="宋体" w:cs="宋体"/>
          <w:color w:val="auto"/>
          <w:sz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0413222A">
      <w:pPr>
        <w:widowControl/>
        <w:adjustRightInd w:val="0"/>
        <w:snapToGrid w:val="0"/>
        <w:spacing w:line="360" w:lineRule="auto"/>
        <w:ind w:firstLine="468" w:firstLineChars="195"/>
        <w:jc w:val="left"/>
        <w:rPr>
          <w:rFonts w:ascii="宋体" w:hAnsi="宋体" w:cs="宋体"/>
          <w:color w:val="auto"/>
          <w:sz w:val="24"/>
          <w:highlight w:val="none"/>
        </w:rPr>
      </w:pPr>
      <w:r>
        <w:rPr>
          <w:rFonts w:ascii="宋体" w:hAnsi="宋体" w:cs="宋体"/>
          <w:color w:val="auto"/>
          <w:sz w:val="24"/>
          <w:highlight w:val="none"/>
        </w:rPr>
        <w:t>3、我方递交的投标文件中的所有资料都是真实可信的，没有弄虚作假。</w:t>
      </w:r>
    </w:p>
    <w:p w14:paraId="575D838C">
      <w:pPr>
        <w:widowControl/>
        <w:adjustRightInd w:val="0"/>
        <w:snapToGrid w:val="0"/>
        <w:spacing w:line="360" w:lineRule="auto"/>
        <w:ind w:firstLine="468" w:firstLineChars="195"/>
        <w:jc w:val="left"/>
        <w:rPr>
          <w:rFonts w:ascii="宋体" w:hAnsi="宋体" w:cs="宋体"/>
          <w:color w:val="auto"/>
          <w:sz w:val="24"/>
          <w:highlight w:val="none"/>
        </w:rPr>
      </w:pPr>
      <w:r>
        <w:rPr>
          <w:rFonts w:ascii="宋体" w:hAnsi="宋体" w:cs="宋体"/>
          <w:color w:val="auto"/>
          <w:sz w:val="24"/>
          <w:highlight w:val="none"/>
        </w:rPr>
        <w:t>4、我方不组织、不参与串标围标，没有出借资质等违法违规行为。</w:t>
      </w:r>
    </w:p>
    <w:p w14:paraId="2C2AAD11">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我方承诺：违反上述任何一条承诺，自愿接受当地建设行政主管部门作出的依法处罚，包括同意你方取消我方中标资格并不予退还</w:t>
      </w:r>
      <w:r>
        <w:rPr>
          <w:rFonts w:hint="eastAsia" w:ascii="宋体" w:hAnsi="宋体" w:cs="宋体"/>
          <w:b/>
          <w:color w:val="auto"/>
          <w:sz w:val="24"/>
          <w:highlight w:val="none"/>
          <w:lang w:val="en-US" w:eastAsia="zh-CN"/>
        </w:rPr>
        <w:t>投标</w:t>
      </w:r>
      <w:r>
        <w:rPr>
          <w:rFonts w:hint="eastAsia" w:ascii="宋体" w:hAnsi="宋体" w:cs="宋体"/>
          <w:b/>
          <w:color w:val="auto"/>
          <w:sz w:val="24"/>
          <w:highlight w:val="none"/>
        </w:rPr>
        <w:t>保证金，将我方列入黑名单，并上报南通市建设主管部门。</w:t>
      </w:r>
    </w:p>
    <w:p w14:paraId="2554EB78">
      <w:pPr>
        <w:adjustRightInd w:val="0"/>
        <w:snapToGrid w:val="0"/>
        <w:spacing w:line="360" w:lineRule="auto"/>
        <w:ind w:firstLine="250" w:firstLineChars="98"/>
        <w:rPr>
          <w:rFonts w:ascii="宋体" w:hAnsi="宋体" w:cs="宋体"/>
          <w:color w:val="auto"/>
          <w:spacing w:val="8"/>
          <w:kern w:val="0"/>
          <w:sz w:val="24"/>
          <w:highlight w:val="none"/>
        </w:rPr>
      </w:pPr>
    </w:p>
    <w:p w14:paraId="47F28BCF">
      <w:pPr>
        <w:adjustRightInd w:val="0"/>
        <w:snapToGrid w:val="0"/>
        <w:spacing w:line="360" w:lineRule="auto"/>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投标申请人（盖章）：</w:t>
      </w:r>
      <w:r>
        <w:rPr>
          <w:rFonts w:ascii="宋体" w:hAnsi="宋体" w:cs="宋体"/>
          <w:color w:val="auto"/>
          <w:highlight w:val="none"/>
          <w:u w:val="single"/>
        </w:rPr>
        <w:t xml:space="preserve">             </w:t>
      </w:r>
    </w:p>
    <w:p w14:paraId="1BA06078">
      <w:pPr>
        <w:tabs>
          <w:tab w:val="left" w:pos="4320"/>
        </w:tabs>
        <w:adjustRightInd w:val="0"/>
        <w:snapToGrid w:val="0"/>
        <w:spacing w:line="360" w:lineRule="auto"/>
        <w:ind w:firstLine="3720" w:firstLineChars="1550"/>
        <w:rPr>
          <w:rFonts w:ascii="宋体" w:hAnsi="宋体" w:cs="宋体"/>
          <w:color w:val="auto"/>
          <w:sz w:val="23"/>
          <w:szCs w:val="23"/>
          <w:highlight w:val="none"/>
        </w:rPr>
      </w:pPr>
      <w:r>
        <w:rPr>
          <w:rFonts w:hint="eastAsia" w:ascii="宋体" w:hAnsi="宋体" w:cs="宋体"/>
          <w:color w:val="auto"/>
          <w:sz w:val="24"/>
          <w:highlight w:val="none"/>
        </w:rPr>
        <w:t>法定代表人（签字或盖章）：</w:t>
      </w:r>
      <w:r>
        <w:rPr>
          <w:rFonts w:ascii="宋体" w:hAnsi="宋体" w:cs="宋体"/>
          <w:color w:val="auto"/>
          <w:highlight w:val="none"/>
          <w:u w:val="single"/>
        </w:rPr>
        <w:t xml:space="preserve">             </w:t>
      </w:r>
    </w:p>
    <w:p w14:paraId="5DE57601">
      <w:pPr>
        <w:adjustRightInd w:val="0"/>
        <w:snapToGrid w:val="0"/>
        <w:spacing w:line="360" w:lineRule="auto"/>
        <w:ind w:firstLine="3832" w:firstLineChars="1497"/>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日期：</w:t>
      </w:r>
      <w:r>
        <w:rPr>
          <w:rFonts w:ascii="宋体" w:hAnsi="宋体" w:cs="宋体"/>
          <w:color w:val="auto"/>
          <w:spacing w:val="8"/>
          <w:kern w:val="0"/>
          <w:sz w:val="24"/>
          <w:highlight w:val="none"/>
        </w:rPr>
        <w:t xml:space="preserve"> </w:t>
      </w:r>
      <w:r>
        <w:rPr>
          <w:rFonts w:hint="eastAsia" w:ascii="宋体" w:hAnsi="宋体" w:cs="宋体"/>
          <w:color w:val="auto"/>
          <w:spacing w:val="8"/>
          <w:kern w:val="0"/>
          <w:sz w:val="24"/>
          <w:highlight w:val="none"/>
        </w:rPr>
        <w:t>年</w:t>
      </w:r>
      <w:r>
        <w:rPr>
          <w:rFonts w:ascii="宋体" w:hAnsi="宋体" w:cs="宋体"/>
          <w:color w:val="auto"/>
          <w:spacing w:val="8"/>
          <w:kern w:val="0"/>
          <w:sz w:val="24"/>
          <w:highlight w:val="none"/>
        </w:rPr>
        <w:t xml:space="preserve"> </w:t>
      </w:r>
      <w:r>
        <w:rPr>
          <w:rFonts w:hint="eastAsia" w:ascii="宋体" w:hAnsi="宋体" w:cs="宋体"/>
          <w:color w:val="auto"/>
          <w:spacing w:val="8"/>
          <w:kern w:val="0"/>
          <w:sz w:val="24"/>
          <w:highlight w:val="none"/>
        </w:rPr>
        <w:t>月</w:t>
      </w:r>
      <w:r>
        <w:rPr>
          <w:rFonts w:ascii="宋体" w:hAnsi="宋体" w:cs="宋体"/>
          <w:color w:val="auto"/>
          <w:spacing w:val="8"/>
          <w:kern w:val="0"/>
          <w:sz w:val="24"/>
          <w:highlight w:val="none"/>
        </w:rPr>
        <w:t xml:space="preserve"> </w:t>
      </w:r>
      <w:r>
        <w:rPr>
          <w:rFonts w:hint="eastAsia" w:ascii="宋体" w:hAnsi="宋体" w:cs="宋体"/>
          <w:color w:val="auto"/>
          <w:spacing w:val="8"/>
          <w:kern w:val="0"/>
          <w:sz w:val="24"/>
          <w:highlight w:val="none"/>
        </w:rPr>
        <w:t>日</w:t>
      </w:r>
    </w:p>
    <w:p w14:paraId="5A444C0E">
      <w:pPr>
        <w:pStyle w:val="5"/>
        <w:rPr>
          <w:rFonts w:hint="eastAsia" w:ascii="宋体" w:hAnsi="宋体" w:eastAsia="宋体" w:cs="宋体"/>
          <w:b/>
          <w:color w:val="auto"/>
          <w:highlight w:val="none"/>
        </w:rPr>
      </w:pPr>
    </w:p>
    <w:p w14:paraId="018A7BB1">
      <w:pPr>
        <w:pStyle w:val="5"/>
        <w:rPr>
          <w:rFonts w:hint="eastAsia" w:ascii="宋体" w:hAnsi="宋体" w:eastAsia="宋体" w:cs="宋体"/>
          <w:b/>
          <w:color w:val="auto"/>
          <w:highlight w:val="none"/>
        </w:rPr>
      </w:pPr>
    </w:p>
    <w:p w14:paraId="43912E89">
      <w:pPr>
        <w:spacing w:line="500" w:lineRule="exact"/>
        <w:jc w:val="left"/>
        <w:outlineLvl w:val="3"/>
        <w:rPr>
          <w:rFonts w:hint="eastAsia" w:ascii="宋体" w:hAnsi="宋体" w:cs="宋体"/>
          <w:b/>
          <w:color w:val="auto"/>
          <w:sz w:val="28"/>
          <w:szCs w:val="28"/>
          <w:highlight w:val="none"/>
        </w:rPr>
      </w:pPr>
    </w:p>
    <w:p w14:paraId="59531D3B">
      <w:pPr>
        <w:spacing w:line="500" w:lineRule="exact"/>
        <w:jc w:val="left"/>
        <w:outlineLvl w:val="3"/>
        <w:rPr>
          <w:rFonts w:hint="eastAsia" w:ascii="宋体" w:hAnsi="宋体" w:cs="宋体"/>
          <w:b/>
          <w:color w:val="auto"/>
          <w:sz w:val="28"/>
          <w:szCs w:val="28"/>
          <w:highlight w:val="none"/>
        </w:rPr>
      </w:pPr>
    </w:p>
    <w:p w14:paraId="081FFF50">
      <w:pPr>
        <w:snapToGrid w:val="0"/>
        <w:spacing w:line="480" w:lineRule="exact"/>
        <w:outlineLvl w:val="4"/>
        <w:rPr>
          <w:bCs/>
          <w:color w:val="auto"/>
          <w:sz w:val="24"/>
          <w:highlight w:val="none"/>
        </w:rPr>
      </w:pPr>
      <w:r>
        <w:rPr>
          <w:rFonts w:hAnsi="宋体"/>
          <w:b/>
          <w:bCs/>
          <w:color w:val="auto"/>
          <w:sz w:val="28"/>
          <w:szCs w:val="28"/>
          <w:highlight w:val="none"/>
        </w:rPr>
        <w:br w:type="page"/>
      </w:r>
    </w:p>
    <w:p w14:paraId="59F6BFBC">
      <w:pPr>
        <w:snapToGrid w:val="0"/>
        <w:spacing w:line="500" w:lineRule="exact"/>
        <w:outlineLvl w:val="2"/>
        <w:rPr>
          <w:rFonts w:ascii="宋体" w:hAnsi="宋体" w:cs="宋体"/>
          <w:b/>
          <w:color w:val="auto"/>
          <w:sz w:val="24"/>
          <w:highlight w:val="none"/>
        </w:rPr>
      </w:pP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w:t>
      </w:r>
      <w:r>
        <w:rPr>
          <w:rFonts w:hint="eastAsia" w:ascii="宋体" w:hAnsi="宋体" w:cs="宋体"/>
          <w:b/>
          <w:color w:val="auto"/>
          <w:sz w:val="24"/>
          <w:highlight w:val="none"/>
        </w:rPr>
        <w:t>报价</w:t>
      </w:r>
      <w:r>
        <w:rPr>
          <w:rFonts w:hint="eastAsia" w:ascii="宋体" w:hAnsi="宋体" w:cs="宋体"/>
          <w:b/>
          <w:color w:val="auto"/>
          <w:sz w:val="24"/>
          <w:highlight w:val="none"/>
          <w:lang w:val="en-US" w:eastAsia="zh-CN"/>
        </w:rPr>
        <w:t>标</w:t>
      </w:r>
      <w:r>
        <w:rPr>
          <w:rFonts w:hint="eastAsia" w:ascii="宋体" w:hAnsi="宋体" w:cs="宋体"/>
          <w:b/>
          <w:color w:val="auto"/>
          <w:sz w:val="24"/>
          <w:highlight w:val="none"/>
        </w:rPr>
        <w:t>文件相关的格式文件及表格</w:t>
      </w:r>
    </w:p>
    <w:p w14:paraId="39837C90">
      <w:pPr>
        <w:snapToGrid w:val="0"/>
        <w:spacing w:line="520" w:lineRule="exact"/>
        <w:jc w:val="center"/>
        <w:rPr>
          <w:rFonts w:ascii="宋体" w:hAnsi="宋体" w:cs="宋体"/>
          <w:b/>
          <w:bCs/>
          <w:color w:val="auto"/>
          <w:sz w:val="24"/>
          <w:highlight w:val="none"/>
        </w:rPr>
      </w:pPr>
    </w:p>
    <w:p w14:paraId="14E502BE">
      <w:pPr>
        <w:snapToGrid w:val="0"/>
        <w:spacing w:line="520" w:lineRule="exact"/>
        <w:jc w:val="center"/>
        <w:rPr>
          <w:rFonts w:ascii="宋体" w:hAnsi="宋体"/>
          <w:b/>
          <w:bCs/>
          <w:color w:val="auto"/>
          <w:sz w:val="28"/>
          <w:szCs w:val="28"/>
          <w:highlight w:val="none"/>
        </w:rPr>
      </w:pPr>
      <w:r>
        <w:rPr>
          <w:rFonts w:ascii="宋体" w:hAnsi="宋体" w:cs="宋体"/>
          <w:b/>
          <w:bCs/>
          <w:color w:val="auto"/>
          <w:sz w:val="28"/>
          <w:szCs w:val="28"/>
          <w:highlight w:val="none"/>
        </w:rPr>
        <w:t>1</w:t>
      </w:r>
      <w:r>
        <w:rPr>
          <w:rFonts w:hint="eastAsia" w:ascii="宋体" w:hAnsi="宋体" w:cs="宋体"/>
          <w:b/>
          <w:bCs/>
          <w:color w:val="auto"/>
          <w:sz w:val="28"/>
          <w:szCs w:val="28"/>
          <w:highlight w:val="none"/>
        </w:rPr>
        <w:t>、投标响应报价总表</w:t>
      </w:r>
    </w:p>
    <w:p w14:paraId="08F7CC44">
      <w:pPr>
        <w:snapToGrid w:val="0"/>
        <w:spacing w:line="520" w:lineRule="exact"/>
        <w:rPr>
          <w:rFonts w:ascii="宋体" w:hAnsi="宋体"/>
          <w:color w:val="auto"/>
          <w:sz w:val="28"/>
          <w:szCs w:val="28"/>
          <w:highlight w:val="none"/>
        </w:rPr>
      </w:pPr>
    </w:p>
    <w:tbl>
      <w:tblPr>
        <w:tblStyle w:val="22"/>
        <w:tblW w:w="959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6843"/>
      </w:tblGrid>
      <w:tr w14:paraId="4AAF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453B82D5">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项目名称</w:t>
            </w:r>
          </w:p>
        </w:tc>
        <w:tc>
          <w:tcPr>
            <w:tcW w:w="6843" w:type="dxa"/>
            <w:vAlign w:val="center"/>
          </w:tcPr>
          <w:p w14:paraId="7E8ECE6B">
            <w:pPr>
              <w:kinsoku w:val="0"/>
              <w:topLinePunct/>
              <w:snapToGrid w:val="0"/>
              <w:spacing w:line="520" w:lineRule="exact"/>
              <w:rPr>
                <w:rFonts w:ascii="宋体" w:hAnsi="宋体"/>
                <w:strike/>
                <w:color w:val="auto"/>
                <w:sz w:val="24"/>
                <w:highlight w:val="none"/>
              </w:rPr>
            </w:pPr>
          </w:p>
        </w:tc>
      </w:tr>
      <w:tr w14:paraId="1CF0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756" w:type="dxa"/>
            <w:vAlign w:val="center"/>
          </w:tcPr>
          <w:p w14:paraId="369CE59B">
            <w:pPr>
              <w:kinsoku w:val="0"/>
              <w:topLinePunct/>
              <w:snapToGrid w:val="0"/>
              <w:spacing w:line="520" w:lineRule="exact"/>
              <w:jc w:val="center"/>
              <w:rPr>
                <w:rFonts w:ascii="宋体" w:hAnsi="宋体"/>
                <w:color w:val="auto"/>
                <w:sz w:val="24"/>
                <w:highlight w:val="none"/>
              </w:rPr>
            </w:pPr>
            <w:r>
              <w:rPr>
                <w:rFonts w:hint="eastAsia" w:ascii="宋体" w:hAnsi="宋体" w:cs="宋体"/>
                <w:color w:val="auto"/>
                <w:sz w:val="24"/>
                <w:highlight w:val="none"/>
              </w:rPr>
              <w:t>投标报价总计</w:t>
            </w:r>
          </w:p>
        </w:tc>
        <w:tc>
          <w:tcPr>
            <w:tcW w:w="6843" w:type="dxa"/>
            <w:vAlign w:val="center"/>
          </w:tcPr>
          <w:p w14:paraId="4D720F76">
            <w:pPr>
              <w:kinsoku w:val="0"/>
              <w:topLinePunct/>
              <w:snapToGrid w:val="0"/>
              <w:spacing w:line="520" w:lineRule="exact"/>
              <w:rPr>
                <w:rFonts w:hint="eastAsia" w:ascii="宋体" w:hAnsi="宋体" w:cs="宋体"/>
                <w:color w:val="auto"/>
                <w:sz w:val="24"/>
                <w:highlight w:val="none"/>
                <w:lang w:eastAsia="zh-CN"/>
              </w:rPr>
            </w:pP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元，</w:t>
            </w:r>
            <w:r>
              <w:rPr>
                <w:rFonts w:hint="eastAsia" w:ascii="宋体" w:hAnsi="宋体" w:cs="宋体"/>
                <w:color w:val="auto"/>
                <w:sz w:val="24"/>
                <w:highlight w:val="none"/>
              </w:rPr>
              <w:t>小写：</w:t>
            </w: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none"/>
                <w:lang w:eastAsia="zh-CN"/>
              </w:rPr>
              <w:t>元</w:t>
            </w:r>
            <w:r>
              <w:rPr>
                <w:rFonts w:hint="eastAsia" w:ascii="宋体" w:hAnsi="宋体" w:cs="宋体"/>
                <w:color w:val="auto"/>
                <w:sz w:val="24"/>
                <w:highlight w:val="none"/>
                <w:lang w:eastAsia="zh-CN"/>
              </w:rPr>
              <w:t>。</w:t>
            </w:r>
          </w:p>
          <w:p w14:paraId="2E52DD76">
            <w:pPr>
              <w:kinsoku w:val="0"/>
              <w:topLinePunct/>
              <w:snapToGrid w:val="0"/>
              <w:spacing w:line="520" w:lineRule="exact"/>
              <w:rPr>
                <w:rFonts w:hint="eastAsia"/>
                <w:color w:val="auto"/>
                <w:highlight w:val="none"/>
                <w:lang w:eastAsia="zh-CN"/>
              </w:rPr>
            </w:pPr>
          </w:p>
        </w:tc>
      </w:tr>
    </w:tbl>
    <w:p w14:paraId="6CB5AA21">
      <w:pPr>
        <w:kinsoku w:val="0"/>
        <w:topLinePunct/>
        <w:snapToGrid w:val="0"/>
        <w:spacing w:line="520" w:lineRule="exact"/>
        <w:rPr>
          <w:rFonts w:ascii="宋体" w:hAnsi="宋体"/>
          <w:color w:val="auto"/>
          <w:sz w:val="28"/>
          <w:szCs w:val="28"/>
          <w:highlight w:val="none"/>
        </w:rPr>
      </w:pPr>
    </w:p>
    <w:p w14:paraId="1930A4DA">
      <w:pPr>
        <w:kinsoku w:val="0"/>
        <w:topLinePunct/>
        <w:snapToGrid w:val="0"/>
        <w:spacing w:line="520" w:lineRule="exact"/>
        <w:rPr>
          <w:rFonts w:ascii="宋体" w:hAnsi="宋体" w:cs="宋体"/>
          <w:color w:val="auto"/>
          <w:sz w:val="24"/>
          <w:highlight w:val="none"/>
        </w:rPr>
      </w:pPr>
      <w:r>
        <w:rPr>
          <w:rFonts w:hint="eastAsia" w:ascii="宋体" w:hAnsi="宋体" w:cs="宋体"/>
          <w:color w:val="auto"/>
          <w:sz w:val="24"/>
          <w:highlight w:val="none"/>
        </w:rPr>
        <w:t>投标人：（盖章）</w:t>
      </w:r>
    </w:p>
    <w:p w14:paraId="024FCAFE">
      <w:pPr>
        <w:kinsoku w:val="0"/>
        <w:topLinePunct/>
        <w:snapToGrid w:val="0"/>
        <w:spacing w:line="520" w:lineRule="exact"/>
        <w:rPr>
          <w:rFonts w:ascii="宋体" w:hAnsi="宋体"/>
          <w:color w:val="auto"/>
          <w:sz w:val="24"/>
          <w:highlight w:val="none"/>
        </w:rPr>
      </w:pPr>
      <w:r>
        <w:rPr>
          <w:rFonts w:hint="eastAsia" w:ascii="宋体" w:hAnsi="宋体" w:cs="宋体"/>
          <w:color w:val="auto"/>
          <w:sz w:val="24"/>
          <w:highlight w:val="none"/>
        </w:rPr>
        <w:t>法定代表人或被授权人（签字或盖章）：</w:t>
      </w:r>
    </w:p>
    <w:p w14:paraId="2CD976E6">
      <w:pPr>
        <w:kinsoku w:val="0"/>
        <w:topLinePunct/>
        <w:snapToGrid w:val="0"/>
        <w:spacing w:line="520" w:lineRule="exact"/>
        <w:rPr>
          <w:rFonts w:ascii="宋体" w:hAnsi="宋体"/>
          <w:color w:val="auto"/>
          <w:sz w:val="24"/>
          <w:highlight w:val="none"/>
        </w:rPr>
      </w:pPr>
      <w:r>
        <w:rPr>
          <w:rFonts w:hint="eastAsia" w:ascii="宋体" w:hAnsi="宋体" w:cs="宋体"/>
          <w:color w:val="auto"/>
          <w:sz w:val="24"/>
          <w:highlight w:val="none"/>
        </w:rPr>
        <w:t>日期：</w:t>
      </w:r>
    </w:p>
    <w:p w14:paraId="307FBDB8">
      <w:pPr>
        <w:snapToGrid w:val="0"/>
        <w:spacing w:line="480" w:lineRule="exact"/>
        <w:ind w:firstLine="496" w:firstLineChars="206"/>
        <w:rPr>
          <w:rFonts w:ascii="宋体" w:hAnsi="宋体" w:cs="宋体"/>
          <w:b/>
          <w:bCs/>
          <w:color w:val="auto"/>
          <w:sz w:val="24"/>
          <w:highlight w:val="none"/>
        </w:rPr>
      </w:pPr>
    </w:p>
    <w:p w14:paraId="6181CB5E">
      <w:pPr>
        <w:snapToGrid w:val="0"/>
        <w:spacing w:line="480" w:lineRule="exact"/>
        <w:ind w:firstLine="496" w:firstLineChars="206"/>
        <w:rPr>
          <w:rFonts w:ascii="宋体" w:hAnsi="宋体" w:cs="宋体"/>
          <w:color w:val="auto"/>
          <w:sz w:val="24"/>
          <w:highlight w:val="none"/>
        </w:rPr>
      </w:pPr>
      <w:r>
        <w:rPr>
          <w:rFonts w:hint="eastAsia" w:ascii="宋体" w:hAnsi="宋体" w:cs="宋体"/>
          <w:b/>
          <w:bCs/>
          <w:color w:val="auto"/>
          <w:sz w:val="24"/>
          <w:highlight w:val="none"/>
        </w:rPr>
        <w:t>注：</w:t>
      </w:r>
    </w:p>
    <w:p w14:paraId="7A95F810">
      <w:pPr>
        <w:numPr>
          <w:ilvl w:val="0"/>
          <w:numId w:val="4"/>
        </w:numPr>
        <w:snapToGrid w:val="0"/>
        <w:spacing w:line="480" w:lineRule="exact"/>
        <w:ind w:firstLine="494" w:firstLineChars="206"/>
        <w:rPr>
          <w:color w:val="auto"/>
          <w:highlight w:val="none"/>
        </w:rPr>
      </w:pPr>
      <w:r>
        <w:rPr>
          <w:rFonts w:hint="eastAsia" w:ascii="宋体" w:hAnsi="宋体" w:cs="宋体"/>
          <w:color w:val="auto"/>
          <w:sz w:val="24"/>
          <w:highlight w:val="none"/>
        </w:rPr>
        <w:t>本表为格式表，不得自行改动，必须提供。</w:t>
      </w:r>
    </w:p>
    <w:p w14:paraId="32067369">
      <w:pPr>
        <w:numPr>
          <w:ilvl w:val="0"/>
          <w:numId w:val="4"/>
        </w:numPr>
        <w:tabs>
          <w:tab w:val="left" w:pos="0"/>
        </w:tabs>
        <w:spacing w:line="360" w:lineRule="auto"/>
        <w:ind w:left="0" w:leftChars="0" w:firstLine="494" w:firstLineChars="206"/>
        <w:rPr>
          <w:rFonts w:hint="eastAsia" w:cs="宋体"/>
          <w:color w:val="auto"/>
          <w:sz w:val="24"/>
          <w:highlight w:val="none"/>
        </w:rPr>
      </w:pPr>
      <w:r>
        <w:rPr>
          <w:rFonts w:ascii="宋体" w:hAnsi="宋体"/>
          <w:color w:val="auto"/>
          <w:kern w:val="0"/>
          <w:sz w:val="24"/>
          <w:highlight w:val="none"/>
          <w:lang w:val="zh-CN"/>
        </w:rPr>
        <w:t>本次</w:t>
      </w:r>
      <w:r>
        <w:rPr>
          <w:rFonts w:hint="eastAsia" w:ascii="宋体" w:hAnsi="宋体"/>
          <w:color w:val="auto"/>
          <w:kern w:val="0"/>
          <w:sz w:val="24"/>
          <w:highlight w:val="none"/>
          <w:lang w:val="zh-CN"/>
        </w:rPr>
        <w:t>投标</w:t>
      </w:r>
      <w:r>
        <w:rPr>
          <w:rFonts w:ascii="宋体" w:hAnsi="宋体"/>
          <w:color w:val="auto"/>
          <w:kern w:val="0"/>
          <w:sz w:val="24"/>
          <w:highlight w:val="none"/>
        </w:rPr>
        <w:t>报价以</w:t>
      </w:r>
      <w:r>
        <w:rPr>
          <w:rFonts w:hint="eastAsia" w:ascii="宋体" w:hAnsi="宋体"/>
          <w:color w:val="auto"/>
          <w:kern w:val="0"/>
          <w:sz w:val="24"/>
          <w:highlight w:val="none"/>
        </w:rPr>
        <w:t>人民币</w:t>
      </w:r>
      <w:r>
        <w:rPr>
          <w:rFonts w:ascii="宋体" w:hAnsi="宋体"/>
          <w:color w:val="auto"/>
          <w:kern w:val="0"/>
          <w:sz w:val="24"/>
          <w:highlight w:val="none"/>
        </w:rPr>
        <w:t>为单位</w:t>
      </w:r>
      <w:r>
        <w:rPr>
          <w:rFonts w:hint="eastAsia" w:ascii="宋体" w:hAnsi="宋体"/>
          <w:color w:val="auto"/>
          <w:kern w:val="0"/>
          <w:sz w:val="24"/>
          <w:highlight w:val="none"/>
        </w:rPr>
        <w:t>，一次报定的价格为中标价格。</w:t>
      </w:r>
      <w:r>
        <w:rPr>
          <w:rFonts w:hint="eastAsia" w:ascii="宋体" w:hAnsi="宋体"/>
          <w:color w:val="auto"/>
          <w:sz w:val="24"/>
          <w:highlight w:val="none"/>
        </w:rPr>
        <w:t>投标总价报价（以人民币计价）包括但不限于以下内容：设计费、素材费、交通运输、通信、管理费、利润、税金、政策性调整风险费、相关伴随服务以及保护措施、咨询、拆除清运等产生的所有费用，即为响应招标文件及完成本项目服务所发生的全部费用，为固定总价（遇政府大型检查和不可抗力因素发布期顺延情况，需包含多次拆除、安装、配合费用）。除非本合同另有明确约定，就</w:t>
      </w:r>
      <w:r>
        <w:rPr>
          <w:rFonts w:hint="eastAsia" w:ascii="宋体" w:hAnsi="宋体"/>
          <w:color w:val="auto"/>
          <w:sz w:val="24"/>
          <w:highlight w:val="none"/>
          <w:lang w:val="en-US" w:eastAsia="zh-CN"/>
        </w:rPr>
        <w:t>中标人</w:t>
      </w:r>
      <w:r>
        <w:rPr>
          <w:rFonts w:hint="eastAsia" w:ascii="宋体" w:hAnsi="宋体"/>
          <w:color w:val="auto"/>
          <w:sz w:val="24"/>
          <w:highlight w:val="none"/>
        </w:rPr>
        <w:t>履行本协议项下的各项义务和责任,</w:t>
      </w:r>
      <w:r>
        <w:rPr>
          <w:rFonts w:hint="eastAsia" w:ascii="宋体" w:hAnsi="宋体"/>
          <w:color w:val="auto"/>
          <w:sz w:val="24"/>
          <w:highlight w:val="none"/>
          <w:lang w:val="en-US" w:eastAsia="zh-CN"/>
        </w:rPr>
        <w:t>采购人</w:t>
      </w:r>
      <w:r>
        <w:rPr>
          <w:rFonts w:hint="eastAsia" w:ascii="宋体" w:hAnsi="宋体"/>
          <w:color w:val="auto"/>
          <w:sz w:val="24"/>
          <w:highlight w:val="none"/>
        </w:rPr>
        <w:t>无须再向</w:t>
      </w:r>
      <w:r>
        <w:rPr>
          <w:rFonts w:hint="eastAsia" w:ascii="宋体" w:hAnsi="宋体"/>
          <w:color w:val="auto"/>
          <w:sz w:val="24"/>
          <w:highlight w:val="none"/>
          <w:lang w:val="en-US" w:eastAsia="zh-CN"/>
        </w:rPr>
        <w:t>中标人</w:t>
      </w:r>
      <w:r>
        <w:rPr>
          <w:rFonts w:hint="eastAsia" w:ascii="宋体" w:hAnsi="宋体"/>
          <w:color w:val="auto"/>
          <w:sz w:val="24"/>
          <w:highlight w:val="none"/>
        </w:rPr>
        <w:t>支付其他任何费用。</w:t>
      </w:r>
    </w:p>
    <w:p w14:paraId="7EF49304">
      <w:pPr>
        <w:snapToGrid w:val="0"/>
        <w:spacing w:line="500" w:lineRule="exact"/>
        <w:ind w:firstLine="1084" w:firstLineChars="450"/>
        <w:rPr>
          <w:rFonts w:ascii="宋体" w:hAnsi="宋体" w:cs="宋体"/>
          <w:b/>
          <w:color w:val="auto"/>
          <w:sz w:val="24"/>
          <w:highlight w:val="none"/>
        </w:rPr>
      </w:pPr>
    </w:p>
    <w:p w14:paraId="15AD3473">
      <w:pPr>
        <w:spacing w:after="120"/>
        <w:ind w:left="420" w:leftChars="200" w:firstLine="482" w:firstLineChars="200"/>
        <w:rPr>
          <w:rFonts w:ascii="宋体" w:hAnsi="宋体" w:cs="宋体"/>
          <w:b/>
          <w:color w:val="auto"/>
          <w:kern w:val="0"/>
          <w:sz w:val="24"/>
          <w:szCs w:val="20"/>
          <w:highlight w:val="none"/>
        </w:rPr>
      </w:pPr>
    </w:p>
    <w:p w14:paraId="2F67ADF8">
      <w:pPr>
        <w:spacing w:after="120"/>
        <w:ind w:left="420" w:leftChars="200" w:firstLine="482" w:firstLineChars="200"/>
        <w:rPr>
          <w:rFonts w:ascii="宋体" w:hAnsi="宋体" w:cs="宋体"/>
          <w:b/>
          <w:color w:val="auto"/>
          <w:kern w:val="0"/>
          <w:sz w:val="24"/>
          <w:szCs w:val="20"/>
          <w:highlight w:val="none"/>
        </w:rPr>
      </w:pPr>
    </w:p>
    <w:p w14:paraId="30D5F739">
      <w:pPr>
        <w:rPr>
          <w:b/>
          <w:bCs/>
          <w:color w:val="auto"/>
          <w:highlight w:val="none"/>
        </w:rPr>
      </w:pPr>
      <w:r>
        <w:rPr>
          <w:b/>
          <w:bCs/>
          <w:color w:val="auto"/>
          <w:highlight w:val="none"/>
        </w:rPr>
        <w:br w:type="page"/>
      </w:r>
    </w:p>
    <w:p w14:paraId="455631AF">
      <w:pPr>
        <w:numPr>
          <w:ilvl w:val="0"/>
          <w:numId w:val="5"/>
        </w:numPr>
        <w:snapToGrid w:val="0"/>
        <w:spacing w:line="52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投标响应报价明细表</w:t>
      </w:r>
    </w:p>
    <w:tbl>
      <w:tblPr>
        <w:tblStyle w:val="23"/>
        <w:tblW w:w="5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38"/>
        <w:gridCol w:w="1225"/>
        <w:gridCol w:w="1047"/>
        <w:gridCol w:w="738"/>
        <w:gridCol w:w="744"/>
        <w:gridCol w:w="1209"/>
        <w:gridCol w:w="1209"/>
        <w:gridCol w:w="1227"/>
      </w:tblGrid>
      <w:tr w14:paraId="0235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416" w:type="pct"/>
            <w:vAlign w:val="center"/>
          </w:tcPr>
          <w:p w14:paraId="02B71720">
            <w:pPr>
              <w:snapToGrid w:val="0"/>
              <w:jc w:val="center"/>
              <w:rPr>
                <w:rFonts w:hint="eastAsia" w:eastAsiaTheme="minorEastAsia"/>
                <w:color w:val="auto"/>
                <w:highlight w:val="none"/>
                <w:lang w:eastAsia="zh-CN"/>
              </w:rPr>
            </w:pPr>
            <w:r>
              <w:rPr>
                <w:rFonts w:hint="eastAsia" w:ascii="宋体" w:hAnsi="宋体" w:eastAsia="宋体" w:cs="宋体"/>
                <w:b/>
                <w:bCs/>
                <w:color w:val="auto"/>
                <w:kern w:val="0"/>
                <w:sz w:val="24"/>
                <w:szCs w:val="24"/>
                <w:highlight w:val="none"/>
                <w:lang w:val="en-US" w:eastAsia="zh-CN" w:bidi="ar"/>
              </w:rPr>
              <w:t>序号</w:t>
            </w:r>
          </w:p>
        </w:tc>
        <w:tc>
          <w:tcPr>
            <w:tcW w:w="416" w:type="pct"/>
            <w:vAlign w:val="center"/>
          </w:tcPr>
          <w:p w14:paraId="5CA61209">
            <w:pPr>
              <w:snapToGrid w:val="0"/>
              <w:jc w:val="center"/>
              <w:rPr>
                <w:rFonts w:hint="eastAsia"/>
                <w:color w:val="auto"/>
                <w:sz w:val="24"/>
                <w:szCs w:val="24"/>
                <w:highlight w:val="none"/>
              </w:rPr>
            </w:pPr>
            <w:r>
              <w:rPr>
                <w:rFonts w:hint="eastAsia"/>
                <w:color w:val="auto"/>
                <w:sz w:val="24"/>
                <w:szCs w:val="24"/>
                <w:highlight w:val="none"/>
              </w:rPr>
              <w:t>类目</w:t>
            </w:r>
          </w:p>
        </w:tc>
        <w:tc>
          <w:tcPr>
            <w:tcW w:w="690" w:type="pct"/>
            <w:vAlign w:val="center"/>
          </w:tcPr>
          <w:p w14:paraId="7993623A">
            <w:pPr>
              <w:snapToGrid w:val="0"/>
              <w:jc w:val="center"/>
              <w:rPr>
                <w:rFonts w:hint="eastAsia"/>
                <w:color w:val="auto"/>
                <w:sz w:val="24"/>
                <w:szCs w:val="24"/>
                <w:highlight w:val="none"/>
              </w:rPr>
            </w:pPr>
            <w:r>
              <w:rPr>
                <w:rFonts w:hint="eastAsia"/>
                <w:color w:val="auto"/>
                <w:sz w:val="24"/>
                <w:szCs w:val="24"/>
                <w:highlight w:val="none"/>
                <w:lang w:val="en-US" w:eastAsia="zh-CN"/>
              </w:rPr>
              <w:t>内容</w:t>
            </w:r>
            <w:r>
              <w:rPr>
                <w:rFonts w:hint="eastAsia"/>
                <w:color w:val="auto"/>
                <w:sz w:val="24"/>
                <w:szCs w:val="24"/>
                <w:highlight w:val="none"/>
              </w:rPr>
              <w:t>描述</w:t>
            </w:r>
          </w:p>
        </w:tc>
        <w:tc>
          <w:tcPr>
            <w:tcW w:w="590" w:type="pct"/>
            <w:vAlign w:val="center"/>
          </w:tcPr>
          <w:p w14:paraId="753610F9">
            <w:pPr>
              <w:snapToGrid w:val="0"/>
              <w:jc w:val="center"/>
              <w:rPr>
                <w:rFonts w:hint="eastAsia"/>
                <w:color w:val="auto"/>
                <w:sz w:val="24"/>
                <w:szCs w:val="24"/>
                <w:highlight w:val="none"/>
              </w:rPr>
            </w:pPr>
            <w:r>
              <w:rPr>
                <w:rFonts w:hint="eastAsia"/>
                <w:color w:val="auto"/>
                <w:sz w:val="24"/>
                <w:szCs w:val="24"/>
                <w:highlight w:val="none"/>
              </w:rPr>
              <w:t>尺寸参数</w:t>
            </w:r>
          </w:p>
        </w:tc>
        <w:tc>
          <w:tcPr>
            <w:tcW w:w="416" w:type="pct"/>
            <w:vAlign w:val="center"/>
          </w:tcPr>
          <w:p w14:paraId="67077558">
            <w:pPr>
              <w:snapToGrid w:val="0"/>
              <w:jc w:val="center"/>
              <w:rPr>
                <w:rFonts w:hint="eastAsia"/>
                <w:color w:val="auto"/>
                <w:sz w:val="24"/>
                <w:szCs w:val="24"/>
                <w:highlight w:val="none"/>
              </w:rPr>
            </w:pPr>
            <w:r>
              <w:rPr>
                <w:rFonts w:hint="eastAsia"/>
                <w:color w:val="auto"/>
                <w:sz w:val="24"/>
                <w:szCs w:val="24"/>
                <w:highlight w:val="none"/>
              </w:rPr>
              <w:t>单位</w:t>
            </w:r>
          </w:p>
        </w:tc>
        <w:tc>
          <w:tcPr>
            <w:tcW w:w="419" w:type="pct"/>
            <w:vAlign w:val="center"/>
          </w:tcPr>
          <w:p w14:paraId="3003E8EC">
            <w:pPr>
              <w:snapToGrid w:val="0"/>
              <w:jc w:val="center"/>
              <w:rPr>
                <w:rFonts w:hint="eastAsia"/>
                <w:color w:val="auto"/>
                <w:sz w:val="24"/>
                <w:szCs w:val="24"/>
                <w:highlight w:val="none"/>
              </w:rPr>
            </w:pPr>
            <w:r>
              <w:rPr>
                <w:rFonts w:hint="eastAsia"/>
                <w:color w:val="auto"/>
                <w:sz w:val="24"/>
                <w:szCs w:val="24"/>
                <w:highlight w:val="none"/>
              </w:rPr>
              <w:t>数量</w:t>
            </w:r>
          </w:p>
        </w:tc>
        <w:tc>
          <w:tcPr>
            <w:tcW w:w="681" w:type="pct"/>
            <w:vAlign w:val="center"/>
          </w:tcPr>
          <w:p w14:paraId="5314DC0D">
            <w:pPr>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全费用综合单价（元）</w:t>
            </w:r>
          </w:p>
        </w:tc>
        <w:tc>
          <w:tcPr>
            <w:tcW w:w="681" w:type="pct"/>
            <w:vAlign w:val="center"/>
          </w:tcPr>
          <w:p w14:paraId="6C2A5379">
            <w:pPr>
              <w:snapToGrid w:val="0"/>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合计（元）</w:t>
            </w:r>
          </w:p>
        </w:tc>
        <w:tc>
          <w:tcPr>
            <w:tcW w:w="687" w:type="pct"/>
            <w:vAlign w:val="center"/>
          </w:tcPr>
          <w:p w14:paraId="5FB7EA33">
            <w:pPr>
              <w:snapToGrid w:val="0"/>
              <w:jc w:val="center"/>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备注</w:t>
            </w:r>
          </w:p>
        </w:tc>
      </w:tr>
      <w:tr w14:paraId="3621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16" w:type="pct"/>
            <w:vMerge w:val="restart"/>
            <w:vAlign w:val="center"/>
          </w:tcPr>
          <w:p w14:paraId="7E5C8F4C">
            <w:pPr>
              <w:snapToGrid w:val="0"/>
              <w:jc w:val="center"/>
              <w:rPr>
                <w:rFonts w:hint="eastAsia"/>
                <w:color w:val="auto"/>
                <w:sz w:val="24"/>
                <w:szCs w:val="24"/>
                <w:highlight w:val="none"/>
              </w:rPr>
            </w:pPr>
            <w:r>
              <w:rPr>
                <w:rFonts w:hint="eastAsia"/>
                <w:color w:val="auto"/>
                <w:sz w:val="24"/>
                <w:szCs w:val="24"/>
                <w:highlight w:val="none"/>
              </w:rPr>
              <w:t>1</w:t>
            </w:r>
          </w:p>
        </w:tc>
        <w:tc>
          <w:tcPr>
            <w:tcW w:w="416" w:type="pct"/>
            <w:vMerge w:val="restart"/>
            <w:vAlign w:val="center"/>
          </w:tcPr>
          <w:p w14:paraId="6050728F">
            <w:pPr>
              <w:tabs>
                <w:tab w:val="left" w:pos="425"/>
              </w:tabs>
              <w:snapToGrid w:val="0"/>
              <w:jc w:val="left"/>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导视牌发布</w:t>
            </w:r>
          </w:p>
        </w:tc>
        <w:tc>
          <w:tcPr>
            <w:tcW w:w="690" w:type="pct"/>
            <w:vAlign w:val="center"/>
          </w:tcPr>
          <w:p w14:paraId="18F1286C">
            <w:pPr>
              <w:snapToGrid w:val="0"/>
              <w:jc w:val="center"/>
              <w:rPr>
                <w:rFonts w:hint="default" w:eastAsiaTheme="minorEastAsia"/>
                <w:color w:val="auto"/>
                <w:sz w:val="24"/>
                <w:szCs w:val="24"/>
                <w:highlight w:val="none"/>
                <w:lang w:val="en-US" w:eastAsia="zh-CN"/>
              </w:rPr>
            </w:pPr>
            <w:r>
              <w:rPr>
                <w:rFonts w:hint="default" w:eastAsiaTheme="minorEastAsia"/>
                <w:color w:val="auto"/>
                <w:sz w:val="24"/>
                <w:szCs w:val="24"/>
                <w:highlight w:val="none"/>
                <w:lang w:val="en-US" w:eastAsia="zh-CN"/>
              </w:rPr>
              <w:t>通启路辅路</w:t>
            </w:r>
            <w:r>
              <w:rPr>
                <w:rFonts w:hint="eastAsia"/>
                <w:color w:val="auto"/>
                <w:sz w:val="24"/>
                <w:szCs w:val="24"/>
                <w:highlight w:val="none"/>
                <w:lang w:val="en-US" w:eastAsia="zh-CN"/>
              </w:rPr>
              <w:t>——</w:t>
            </w:r>
            <w:r>
              <w:rPr>
                <w:rFonts w:hint="default" w:eastAsiaTheme="minorEastAsia"/>
                <w:color w:val="auto"/>
                <w:sz w:val="24"/>
                <w:szCs w:val="24"/>
                <w:highlight w:val="none"/>
                <w:lang w:val="en-US" w:eastAsia="zh-CN"/>
              </w:rPr>
              <w:t>辐射市区客群</w:t>
            </w:r>
          </w:p>
        </w:tc>
        <w:tc>
          <w:tcPr>
            <w:tcW w:w="590" w:type="pct"/>
            <w:vAlign w:val="center"/>
          </w:tcPr>
          <w:p w14:paraId="28E8BD7B">
            <w:pPr>
              <w:snapToGrid w:val="0"/>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长3m*高2m</w:t>
            </w:r>
          </w:p>
        </w:tc>
        <w:tc>
          <w:tcPr>
            <w:tcW w:w="416" w:type="pct"/>
            <w:vAlign w:val="center"/>
          </w:tcPr>
          <w:p w14:paraId="53437409">
            <w:pPr>
              <w:snapToGrid w:val="0"/>
              <w:jc w:val="center"/>
              <w:rPr>
                <w:rFonts w:hint="eastAsia" w:eastAsiaTheme="minorEastAsia"/>
                <w:color w:val="auto"/>
                <w:sz w:val="24"/>
                <w:szCs w:val="24"/>
                <w:highlight w:val="none"/>
                <w:lang w:eastAsia="zh-CN"/>
              </w:rPr>
            </w:pPr>
            <w:r>
              <w:rPr>
                <w:rFonts w:hint="eastAsia"/>
                <w:color w:val="auto"/>
                <w:sz w:val="24"/>
                <w:szCs w:val="24"/>
                <w:highlight w:val="none"/>
                <w:lang w:val="en-US" w:eastAsia="zh-CN"/>
              </w:rPr>
              <w:t>月</w:t>
            </w:r>
          </w:p>
        </w:tc>
        <w:tc>
          <w:tcPr>
            <w:tcW w:w="419" w:type="pct"/>
            <w:vAlign w:val="center"/>
          </w:tcPr>
          <w:p w14:paraId="36DC3D02">
            <w:pPr>
              <w:snapToGrid w:val="0"/>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12</w:t>
            </w:r>
          </w:p>
        </w:tc>
        <w:tc>
          <w:tcPr>
            <w:tcW w:w="681" w:type="pct"/>
            <w:vAlign w:val="center"/>
          </w:tcPr>
          <w:p w14:paraId="2E784473">
            <w:pPr>
              <w:snapToGrid w:val="0"/>
              <w:jc w:val="center"/>
              <w:rPr>
                <w:rFonts w:hint="eastAsia"/>
                <w:color w:val="auto"/>
                <w:sz w:val="24"/>
                <w:szCs w:val="24"/>
                <w:highlight w:val="none"/>
                <w:lang w:val="en-US" w:eastAsia="zh-CN"/>
              </w:rPr>
            </w:pPr>
          </w:p>
        </w:tc>
        <w:tc>
          <w:tcPr>
            <w:tcW w:w="681" w:type="pct"/>
            <w:vAlign w:val="center"/>
          </w:tcPr>
          <w:p w14:paraId="51CCD9CD">
            <w:pPr>
              <w:snapToGrid w:val="0"/>
              <w:jc w:val="center"/>
              <w:rPr>
                <w:rFonts w:hint="eastAsia"/>
                <w:color w:val="auto"/>
                <w:sz w:val="24"/>
                <w:szCs w:val="24"/>
                <w:highlight w:val="none"/>
                <w:lang w:val="en-US" w:eastAsia="zh-CN"/>
              </w:rPr>
            </w:pPr>
          </w:p>
        </w:tc>
        <w:tc>
          <w:tcPr>
            <w:tcW w:w="687" w:type="pct"/>
            <w:vMerge w:val="restart"/>
            <w:vAlign w:val="center"/>
          </w:tcPr>
          <w:p w14:paraId="402C78C7">
            <w:pPr>
              <w:snapToGrid w:val="0"/>
              <w:jc w:val="center"/>
              <w:rPr>
                <w:rFonts w:hint="eastAsia" w:eastAsiaTheme="minorEastAsia"/>
                <w:color w:val="auto"/>
                <w:sz w:val="24"/>
                <w:szCs w:val="24"/>
                <w:highlight w:val="none"/>
                <w:lang w:eastAsia="zh-CN"/>
              </w:rPr>
            </w:pPr>
            <w:r>
              <w:rPr>
                <w:rFonts w:hint="eastAsia"/>
                <w:color w:val="auto"/>
                <w:sz w:val="24"/>
                <w:szCs w:val="24"/>
                <w:highlight w:val="none"/>
                <w:lang w:val="en-US" w:eastAsia="zh-CN"/>
              </w:rPr>
              <w:t>包括</w:t>
            </w:r>
            <w:r>
              <w:rPr>
                <w:rFonts w:hint="eastAsia" w:eastAsiaTheme="minorEastAsia"/>
                <w:color w:val="auto"/>
                <w:sz w:val="24"/>
                <w:szCs w:val="24"/>
                <w:highlight w:val="none"/>
                <w:lang w:eastAsia="zh-CN"/>
              </w:rPr>
              <w:t>城管局</w:t>
            </w:r>
            <w:r>
              <w:rPr>
                <w:rFonts w:hint="eastAsia"/>
                <w:color w:val="auto"/>
                <w:sz w:val="24"/>
                <w:szCs w:val="24"/>
                <w:highlight w:val="none"/>
                <w:lang w:eastAsia="zh-CN"/>
              </w:rPr>
              <w:t>、</w:t>
            </w:r>
            <w:r>
              <w:rPr>
                <w:rFonts w:hint="eastAsia" w:eastAsiaTheme="minorEastAsia"/>
                <w:color w:val="auto"/>
                <w:sz w:val="24"/>
                <w:szCs w:val="24"/>
                <w:highlight w:val="none"/>
                <w:lang w:eastAsia="zh-CN"/>
              </w:rPr>
              <w:t>交警部门以及市政园林管理处等政府部门管理发布费用（遇政府大型检查和不可抗力因素发布期顺延）</w:t>
            </w:r>
          </w:p>
        </w:tc>
      </w:tr>
      <w:tr w14:paraId="24A3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16" w:type="pct"/>
            <w:vMerge w:val="continue"/>
            <w:vAlign w:val="center"/>
          </w:tcPr>
          <w:p w14:paraId="08E4F988">
            <w:pPr>
              <w:snapToGrid w:val="0"/>
              <w:jc w:val="center"/>
              <w:rPr>
                <w:rFonts w:hint="eastAsia"/>
                <w:color w:val="auto"/>
                <w:sz w:val="24"/>
                <w:szCs w:val="24"/>
                <w:highlight w:val="none"/>
              </w:rPr>
            </w:pPr>
          </w:p>
        </w:tc>
        <w:tc>
          <w:tcPr>
            <w:tcW w:w="416" w:type="pct"/>
            <w:vMerge w:val="continue"/>
            <w:vAlign w:val="center"/>
          </w:tcPr>
          <w:p w14:paraId="53B00C8D">
            <w:pPr>
              <w:snapToGrid w:val="0"/>
              <w:jc w:val="center"/>
              <w:rPr>
                <w:rFonts w:hint="default" w:eastAsiaTheme="minorEastAsia"/>
                <w:color w:val="auto"/>
                <w:sz w:val="24"/>
                <w:szCs w:val="24"/>
                <w:highlight w:val="none"/>
                <w:lang w:val="en-US" w:eastAsia="zh-CN"/>
              </w:rPr>
            </w:pPr>
          </w:p>
        </w:tc>
        <w:tc>
          <w:tcPr>
            <w:tcW w:w="690" w:type="pct"/>
            <w:vAlign w:val="center"/>
          </w:tcPr>
          <w:p w14:paraId="6113F40D">
            <w:pPr>
              <w:snapToGrid w:val="0"/>
              <w:jc w:val="center"/>
              <w:rPr>
                <w:rFonts w:hint="default" w:eastAsiaTheme="minorEastAsia"/>
                <w:color w:val="auto"/>
                <w:sz w:val="24"/>
                <w:szCs w:val="24"/>
                <w:highlight w:val="none"/>
                <w:lang w:val="en-US" w:eastAsia="zh-CN"/>
              </w:rPr>
            </w:pPr>
            <w:r>
              <w:rPr>
                <w:rFonts w:hint="default" w:eastAsiaTheme="minorEastAsia"/>
                <w:color w:val="auto"/>
                <w:sz w:val="24"/>
                <w:szCs w:val="24"/>
                <w:highlight w:val="none"/>
                <w:lang w:val="en-US" w:eastAsia="zh-CN"/>
              </w:rPr>
              <w:t>通京大道南向道路辐射港闸及北部市县客群</w:t>
            </w:r>
          </w:p>
        </w:tc>
        <w:tc>
          <w:tcPr>
            <w:tcW w:w="590" w:type="pct"/>
            <w:vAlign w:val="center"/>
          </w:tcPr>
          <w:p w14:paraId="26DAF2C9">
            <w:pPr>
              <w:snapToGrid w:val="0"/>
              <w:jc w:val="center"/>
              <w:rPr>
                <w:rFonts w:hint="eastAsia"/>
                <w:color w:val="auto"/>
                <w:sz w:val="24"/>
                <w:szCs w:val="24"/>
                <w:highlight w:val="none"/>
                <w:lang w:val="en-US" w:eastAsia="zh-CN"/>
              </w:rPr>
            </w:pPr>
            <w:r>
              <w:rPr>
                <w:rFonts w:hint="eastAsia"/>
                <w:color w:val="auto"/>
                <w:sz w:val="24"/>
                <w:szCs w:val="24"/>
                <w:highlight w:val="none"/>
                <w:lang w:val="en-US" w:eastAsia="zh-CN"/>
              </w:rPr>
              <w:t>长3m*高2m</w:t>
            </w:r>
          </w:p>
        </w:tc>
        <w:tc>
          <w:tcPr>
            <w:tcW w:w="416" w:type="pct"/>
            <w:shd w:val="clear" w:color="auto" w:fill="auto"/>
            <w:vAlign w:val="center"/>
          </w:tcPr>
          <w:p w14:paraId="7D7EF4DA">
            <w:pPr>
              <w:snapToGrid w:val="0"/>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月</w:t>
            </w:r>
          </w:p>
        </w:tc>
        <w:tc>
          <w:tcPr>
            <w:tcW w:w="419" w:type="pct"/>
            <w:shd w:val="clear" w:color="auto" w:fill="auto"/>
            <w:vAlign w:val="center"/>
          </w:tcPr>
          <w:p w14:paraId="56169014">
            <w:pPr>
              <w:snapToGrid w:val="0"/>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12</w:t>
            </w:r>
          </w:p>
        </w:tc>
        <w:tc>
          <w:tcPr>
            <w:tcW w:w="681" w:type="pct"/>
            <w:vAlign w:val="center"/>
          </w:tcPr>
          <w:p w14:paraId="68DF98EC">
            <w:pPr>
              <w:snapToGrid w:val="0"/>
              <w:jc w:val="center"/>
              <w:rPr>
                <w:rFonts w:hint="eastAsia"/>
                <w:color w:val="auto"/>
                <w:sz w:val="24"/>
                <w:szCs w:val="24"/>
                <w:highlight w:val="none"/>
                <w:lang w:val="en-US" w:eastAsia="zh-CN"/>
              </w:rPr>
            </w:pPr>
          </w:p>
        </w:tc>
        <w:tc>
          <w:tcPr>
            <w:tcW w:w="681" w:type="pct"/>
            <w:vAlign w:val="center"/>
          </w:tcPr>
          <w:p w14:paraId="1D8D7D72">
            <w:pPr>
              <w:snapToGrid w:val="0"/>
              <w:jc w:val="center"/>
              <w:rPr>
                <w:rFonts w:hint="eastAsia"/>
                <w:color w:val="auto"/>
                <w:sz w:val="24"/>
                <w:szCs w:val="24"/>
                <w:highlight w:val="none"/>
                <w:lang w:val="en-US" w:eastAsia="zh-CN"/>
              </w:rPr>
            </w:pPr>
          </w:p>
        </w:tc>
        <w:tc>
          <w:tcPr>
            <w:tcW w:w="687" w:type="pct"/>
            <w:vMerge w:val="continue"/>
            <w:vAlign w:val="center"/>
          </w:tcPr>
          <w:p w14:paraId="1E8387F2">
            <w:pPr>
              <w:snapToGrid w:val="0"/>
              <w:jc w:val="center"/>
              <w:rPr>
                <w:rFonts w:hint="eastAsia" w:eastAsiaTheme="minorEastAsia"/>
                <w:color w:val="auto"/>
                <w:sz w:val="24"/>
                <w:szCs w:val="24"/>
                <w:highlight w:val="none"/>
                <w:lang w:eastAsia="zh-CN"/>
              </w:rPr>
            </w:pPr>
          </w:p>
        </w:tc>
      </w:tr>
      <w:tr w14:paraId="141A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6" w:type="pct"/>
            <w:vMerge w:val="continue"/>
            <w:vAlign w:val="center"/>
          </w:tcPr>
          <w:p w14:paraId="33AD8088">
            <w:pPr>
              <w:snapToGrid w:val="0"/>
              <w:jc w:val="center"/>
              <w:rPr>
                <w:rFonts w:hint="eastAsia"/>
                <w:color w:val="auto"/>
                <w:sz w:val="24"/>
                <w:szCs w:val="24"/>
                <w:highlight w:val="none"/>
              </w:rPr>
            </w:pPr>
          </w:p>
        </w:tc>
        <w:tc>
          <w:tcPr>
            <w:tcW w:w="416" w:type="pct"/>
            <w:vMerge w:val="continue"/>
            <w:vAlign w:val="center"/>
          </w:tcPr>
          <w:p w14:paraId="3E875274">
            <w:pPr>
              <w:snapToGrid w:val="0"/>
              <w:jc w:val="center"/>
              <w:rPr>
                <w:rFonts w:hint="default" w:eastAsiaTheme="minorEastAsia"/>
                <w:color w:val="auto"/>
                <w:sz w:val="24"/>
                <w:szCs w:val="24"/>
                <w:highlight w:val="none"/>
                <w:lang w:val="en-US" w:eastAsia="zh-CN"/>
              </w:rPr>
            </w:pPr>
          </w:p>
        </w:tc>
        <w:tc>
          <w:tcPr>
            <w:tcW w:w="690" w:type="pct"/>
            <w:vAlign w:val="center"/>
          </w:tcPr>
          <w:p w14:paraId="076A45B7">
            <w:pPr>
              <w:snapToGrid w:val="0"/>
              <w:jc w:val="center"/>
              <w:rPr>
                <w:rFonts w:hint="default" w:eastAsiaTheme="minorEastAsia"/>
                <w:color w:val="auto"/>
                <w:sz w:val="24"/>
                <w:szCs w:val="24"/>
                <w:highlight w:val="none"/>
                <w:lang w:val="en-US" w:eastAsia="zh-CN"/>
              </w:rPr>
            </w:pPr>
            <w:r>
              <w:rPr>
                <w:rFonts w:hint="default" w:eastAsiaTheme="minorEastAsia"/>
                <w:color w:val="auto"/>
                <w:sz w:val="24"/>
                <w:szCs w:val="24"/>
                <w:highlight w:val="none"/>
                <w:lang w:val="en-US" w:eastAsia="zh-CN"/>
              </w:rPr>
              <w:t>洪江路高架出口辐射中创及开发区客群</w:t>
            </w:r>
          </w:p>
        </w:tc>
        <w:tc>
          <w:tcPr>
            <w:tcW w:w="590" w:type="pct"/>
            <w:vAlign w:val="center"/>
          </w:tcPr>
          <w:p w14:paraId="0CF4C0FA">
            <w:pPr>
              <w:snapToGrid w:val="0"/>
              <w:jc w:val="center"/>
              <w:rPr>
                <w:rFonts w:hint="eastAsia"/>
                <w:color w:val="auto"/>
                <w:sz w:val="24"/>
                <w:szCs w:val="24"/>
                <w:highlight w:val="none"/>
                <w:lang w:val="en-US" w:eastAsia="zh-CN"/>
              </w:rPr>
            </w:pPr>
            <w:r>
              <w:rPr>
                <w:rFonts w:hint="eastAsia"/>
                <w:color w:val="auto"/>
                <w:sz w:val="24"/>
                <w:szCs w:val="24"/>
                <w:highlight w:val="none"/>
                <w:lang w:val="en-US" w:eastAsia="zh-CN"/>
              </w:rPr>
              <w:t>长3m*高2m</w:t>
            </w:r>
          </w:p>
        </w:tc>
        <w:tc>
          <w:tcPr>
            <w:tcW w:w="416" w:type="pct"/>
            <w:shd w:val="clear" w:color="auto" w:fill="auto"/>
            <w:vAlign w:val="center"/>
          </w:tcPr>
          <w:p w14:paraId="213F943A">
            <w:pPr>
              <w:snapToGrid w:val="0"/>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月</w:t>
            </w:r>
          </w:p>
        </w:tc>
        <w:tc>
          <w:tcPr>
            <w:tcW w:w="419" w:type="pct"/>
            <w:shd w:val="clear" w:color="auto" w:fill="auto"/>
            <w:vAlign w:val="center"/>
          </w:tcPr>
          <w:p w14:paraId="4CD58D28">
            <w:pPr>
              <w:snapToGrid w:val="0"/>
              <w:jc w:val="center"/>
              <w:rPr>
                <w:rFonts w:hint="eastAsia" w:asciiTheme="minorHAnsi" w:hAnsiTheme="minorHAnsi" w:eastAsiaTheme="minorEastAsia" w:cstheme="minorBidi"/>
                <w:color w:val="auto"/>
                <w:kern w:val="2"/>
                <w:sz w:val="24"/>
                <w:szCs w:val="24"/>
                <w:highlight w:val="none"/>
                <w:lang w:val="en-US" w:eastAsia="zh-CN" w:bidi="ar-SA"/>
              </w:rPr>
            </w:pPr>
            <w:r>
              <w:rPr>
                <w:rFonts w:hint="eastAsia"/>
                <w:color w:val="auto"/>
                <w:sz w:val="24"/>
                <w:szCs w:val="24"/>
                <w:highlight w:val="none"/>
                <w:lang w:val="en-US" w:eastAsia="zh-CN"/>
              </w:rPr>
              <w:t>12</w:t>
            </w:r>
          </w:p>
        </w:tc>
        <w:tc>
          <w:tcPr>
            <w:tcW w:w="681" w:type="pct"/>
            <w:vAlign w:val="center"/>
          </w:tcPr>
          <w:p w14:paraId="6A9EDC8C">
            <w:pPr>
              <w:snapToGrid w:val="0"/>
              <w:jc w:val="center"/>
              <w:rPr>
                <w:rFonts w:hint="eastAsia"/>
                <w:color w:val="auto"/>
                <w:sz w:val="24"/>
                <w:szCs w:val="24"/>
                <w:highlight w:val="none"/>
                <w:lang w:val="en-US" w:eastAsia="zh-CN"/>
              </w:rPr>
            </w:pPr>
          </w:p>
        </w:tc>
        <w:tc>
          <w:tcPr>
            <w:tcW w:w="681" w:type="pct"/>
            <w:vAlign w:val="center"/>
          </w:tcPr>
          <w:p w14:paraId="754178C7">
            <w:pPr>
              <w:snapToGrid w:val="0"/>
              <w:jc w:val="center"/>
              <w:rPr>
                <w:rFonts w:hint="eastAsia"/>
                <w:color w:val="auto"/>
                <w:sz w:val="24"/>
                <w:szCs w:val="24"/>
                <w:highlight w:val="none"/>
                <w:lang w:val="en-US" w:eastAsia="zh-CN"/>
              </w:rPr>
            </w:pPr>
          </w:p>
        </w:tc>
        <w:tc>
          <w:tcPr>
            <w:tcW w:w="687" w:type="pct"/>
            <w:vMerge w:val="continue"/>
            <w:vAlign w:val="center"/>
          </w:tcPr>
          <w:p w14:paraId="7F60CC93">
            <w:pPr>
              <w:snapToGrid w:val="0"/>
              <w:jc w:val="center"/>
              <w:rPr>
                <w:rFonts w:hint="eastAsia" w:eastAsiaTheme="minorEastAsia"/>
                <w:color w:val="auto"/>
                <w:sz w:val="24"/>
                <w:szCs w:val="24"/>
                <w:highlight w:val="none"/>
                <w:lang w:eastAsia="zh-CN"/>
              </w:rPr>
            </w:pPr>
          </w:p>
        </w:tc>
      </w:tr>
      <w:tr w14:paraId="7CD3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416" w:type="pct"/>
            <w:vAlign w:val="center"/>
          </w:tcPr>
          <w:p w14:paraId="2F90B548">
            <w:pPr>
              <w:snapToGrid w:val="0"/>
              <w:jc w:val="center"/>
              <w:rPr>
                <w:rFonts w:hint="eastAsia" w:eastAsiaTheme="minorEastAsia"/>
                <w:color w:val="auto"/>
                <w:sz w:val="24"/>
                <w:szCs w:val="24"/>
                <w:highlight w:val="none"/>
                <w:lang w:val="en-US" w:eastAsia="zh-CN"/>
              </w:rPr>
            </w:pPr>
            <w:r>
              <w:rPr>
                <w:rFonts w:hint="eastAsia"/>
                <w:color w:val="auto"/>
                <w:sz w:val="24"/>
                <w:szCs w:val="24"/>
                <w:highlight w:val="none"/>
                <w:lang w:val="en-US" w:eastAsia="zh-CN"/>
              </w:rPr>
              <w:t>2</w:t>
            </w:r>
          </w:p>
        </w:tc>
        <w:tc>
          <w:tcPr>
            <w:tcW w:w="416" w:type="pct"/>
            <w:vAlign w:val="center"/>
          </w:tcPr>
          <w:p w14:paraId="512A1BBD">
            <w:pPr>
              <w:snapToGrid w:val="0"/>
              <w:jc w:val="center"/>
              <w:rPr>
                <w:rFonts w:hint="default" w:eastAsiaTheme="minorEastAsia"/>
                <w:color w:val="auto"/>
                <w:sz w:val="24"/>
                <w:szCs w:val="24"/>
                <w:highlight w:val="none"/>
                <w:lang w:val="en-US" w:eastAsia="zh-CN"/>
              </w:rPr>
            </w:pPr>
            <w:r>
              <w:rPr>
                <w:rFonts w:hint="default" w:eastAsiaTheme="minorEastAsia"/>
                <w:color w:val="auto"/>
                <w:sz w:val="24"/>
                <w:szCs w:val="24"/>
                <w:highlight w:val="none"/>
                <w:lang w:val="en-US" w:eastAsia="zh-CN"/>
              </w:rPr>
              <w:t>导视牌制作</w:t>
            </w:r>
          </w:p>
        </w:tc>
        <w:tc>
          <w:tcPr>
            <w:tcW w:w="690" w:type="pct"/>
            <w:vAlign w:val="center"/>
          </w:tcPr>
          <w:p w14:paraId="1F0DC1FB">
            <w:pPr>
              <w:snapToGrid w:val="0"/>
              <w:jc w:val="center"/>
              <w:rPr>
                <w:rFonts w:hint="default" w:eastAsiaTheme="minorEastAsia"/>
                <w:color w:val="auto"/>
                <w:sz w:val="24"/>
                <w:szCs w:val="24"/>
                <w:highlight w:val="none"/>
                <w:lang w:val="en-US" w:eastAsia="zh-CN"/>
              </w:rPr>
            </w:pPr>
            <w:r>
              <w:rPr>
                <w:rFonts w:hint="default" w:eastAsiaTheme="minorEastAsia"/>
                <w:color w:val="auto"/>
                <w:sz w:val="24"/>
                <w:szCs w:val="24"/>
                <w:highlight w:val="none"/>
                <w:lang w:val="en-US" w:eastAsia="zh-CN"/>
              </w:rPr>
              <w:t>面板2.0铝板，20cm镀锌圆管，蓝白警示烤漆，混凝土浇筑</w:t>
            </w:r>
          </w:p>
        </w:tc>
        <w:tc>
          <w:tcPr>
            <w:tcW w:w="590" w:type="pct"/>
            <w:vAlign w:val="center"/>
          </w:tcPr>
          <w:p w14:paraId="65283A88">
            <w:pPr>
              <w:snapToGrid w:val="0"/>
              <w:jc w:val="center"/>
              <w:rPr>
                <w:rFonts w:hint="eastAsia"/>
                <w:color w:val="auto"/>
                <w:sz w:val="24"/>
                <w:szCs w:val="24"/>
                <w:highlight w:val="none"/>
                <w:lang w:val="en-US" w:eastAsia="zh-CN"/>
              </w:rPr>
            </w:pPr>
            <w:r>
              <w:rPr>
                <w:rFonts w:hint="eastAsia"/>
                <w:color w:val="auto"/>
                <w:sz w:val="24"/>
                <w:szCs w:val="24"/>
                <w:highlight w:val="none"/>
                <w:lang w:val="en-US" w:eastAsia="zh-CN"/>
              </w:rPr>
              <w:t>长3m*高2m</w:t>
            </w:r>
          </w:p>
        </w:tc>
        <w:tc>
          <w:tcPr>
            <w:tcW w:w="416" w:type="pct"/>
            <w:vAlign w:val="center"/>
          </w:tcPr>
          <w:p w14:paraId="441EB51A">
            <w:pPr>
              <w:snapToGrid w:val="0"/>
              <w:jc w:val="center"/>
              <w:rPr>
                <w:rFonts w:hint="default"/>
                <w:color w:val="auto"/>
                <w:sz w:val="24"/>
                <w:szCs w:val="24"/>
                <w:highlight w:val="none"/>
                <w:lang w:val="en-US" w:eastAsia="zh-CN"/>
              </w:rPr>
            </w:pPr>
            <w:r>
              <w:rPr>
                <w:rFonts w:hint="eastAsia"/>
                <w:color w:val="auto"/>
                <w:sz w:val="24"/>
                <w:szCs w:val="24"/>
                <w:highlight w:val="none"/>
                <w:lang w:val="en-US" w:eastAsia="zh-CN"/>
              </w:rPr>
              <w:t>块</w:t>
            </w:r>
          </w:p>
        </w:tc>
        <w:tc>
          <w:tcPr>
            <w:tcW w:w="419" w:type="pct"/>
            <w:vAlign w:val="center"/>
          </w:tcPr>
          <w:p w14:paraId="22989674">
            <w:pPr>
              <w:snapToGrid w:val="0"/>
              <w:jc w:val="center"/>
              <w:rPr>
                <w:rFonts w:hint="default"/>
                <w:color w:val="auto"/>
                <w:sz w:val="24"/>
                <w:szCs w:val="24"/>
                <w:highlight w:val="none"/>
                <w:lang w:val="en-US" w:eastAsia="zh-CN"/>
              </w:rPr>
            </w:pPr>
            <w:r>
              <w:rPr>
                <w:rFonts w:hint="eastAsia"/>
                <w:color w:val="auto"/>
                <w:sz w:val="24"/>
                <w:szCs w:val="24"/>
                <w:highlight w:val="none"/>
                <w:lang w:val="en-US" w:eastAsia="zh-CN"/>
              </w:rPr>
              <w:t>3</w:t>
            </w:r>
          </w:p>
        </w:tc>
        <w:tc>
          <w:tcPr>
            <w:tcW w:w="681" w:type="pct"/>
            <w:vAlign w:val="center"/>
          </w:tcPr>
          <w:p w14:paraId="7FCC81E4">
            <w:pPr>
              <w:snapToGrid w:val="0"/>
              <w:jc w:val="center"/>
              <w:rPr>
                <w:rFonts w:hint="eastAsia"/>
                <w:color w:val="auto"/>
                <w:sz w:val="24"/>
                <w:szCs w:val="24"/>
                <w:highlight w:val="none"/>
                <w:lang w:val="en-US" w:eastAsia="zh-CN"/>
              </w:rPr>
            </w:pPr>
          </w:p>
        </w:tc>
        <w:tc>
          <w:tcPr>
            <w:tcW w:w="681" w:type="pct"/>
            <w:vAlign w:val="center"/>
          </w:tcPr>
          <w:p w14:paraId="2B1CA581">
            <w:pPr>
              <w:snapToGrid w:val="0"/>
              <w:jc w:val="center"/>
              <w:rPr>
                <w:rFonts w:hint="eastAsia"/>
                <w:color w:val="auto"/>
                <w:sz w:val="24"/>
                <w:szCs w:val="24"/>
                <w:highlight w:val="none"/>
                <w:lang w:val="en-US" w:eastAsia="zh-CN"/>
              </w:rPr>
            </w:pPr>
          </w:p>
        </w:tc>
        <w:tc>
          <w:tcPr>
            <w:tcW w:w="687" w:type="pct"/>
            <w:vAlign w:val="center"/>
          </w:tcPr>
          <w:p w14:paraId="28EE3A4C">
            <w:pPr>
              <w:snapToGrid w:val="0"/>
              <w:jc w:val="cente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包括交通运输、人员安装、安装设备租赁、辅材、设备调试等费用</w:t>
            </w:r>
          </w:p>
        </w:tc>
      </w:tr>
      <w:tr w14:paraId="0B99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00" w:type="pct"/>
            <w:gridSpan w:val="9"/>
            <w:vAlign w:val="center"/>
          </w:tcPr>
          <w:p w14:paraId="23DDEBEB">
            <w:pPr>
              <w:snapToGrid w:val="0"/>
              <w:jc w:val="left"/>
              <w:rPr>
                <w:rFonts w:hint="default"/>
                <w:color w:val="auto"/>
                <w:sz w:val="24"/>
                <w:szCs w:val="24"/>
                <w:highlight w:val="none"/>
                <w:lang w:val="en-US" w:eastAsia="zh-CN"/>
              </w:rPr>
            </w:pPr>
            <w:r>
              <w:rPr>
                <w:rFonts w:hint="eastAsia"/>
                <w:color w:val="auto"/>
                <w:sz w:val="24"/>
                <w:szCs w:val="24"/>
                <w:highlight w:val="none"/>
                <w:lang w:val="en-US" w:eastAsia="zh-CN"/>
              </w:rPr>
              <w:t>投标报价： 元</w:t>
            </w:r>
          </w:p>
        </w:tc>
      </w:tr>
    </w:tbl>
    <w:p w14:paraId="1966122C">
      <w:pPr>
        <w:kinsoku w:val="0"/>
        <w:topLinePunct/>
        <w:snapToGrid w:val="0"/>
        <w:spacing w:line="520" w:lineRule="exact"/>
        <w:rPr>
          <w:rFonts w:ascii="宋体" w:hAnsi="宋体" w:cs="宋体"/>
          <w:color w:val="auto"/>
          <w:sz w:val="24"/>
          <w:highlight w:val="none"/>
        </w:rPr>
      </w:pPr>
      <w:r>
        <w:rPr>
          <w:rFonts w:hint="eastAsia" w:ascii="宋体" w:hAnsi="宋体" w:cs="宋体"/>
          <w:color w:val="auto"/>
          <w:sz w:val="24"/>
          <w:highlight w:val="none"/>
        </w:rPr>
        <w:t>投标人：（盖章）</w:t>
      </w:r>
    </w:p>
    <w:p w14:paraId="1BAD085E">
      <w:pPr>
        <w:kinsoku w:val="0"/>
        <w:topLinePunct/>
        <w:snapToGrid w:val="0"/>
        <w:spacing w:line="520" w:lineRule="exact"/>
        <w:rPr>
          <w:rFonts w:ascii="宋体" w:hAnsi="宋体"/>
          <w:color w:val="auto"/>
          <w:sz w:val="24"/>
          <w:highlight w:val="none"/>
        </w:rPr>
      </w:pPr>
      <w:r>
        <w:rPr>
          <w:rFonts w:hint="eastAsia" w:ascii="宋体" w:hAnsi="宋体" w:cs="宋体"/>
          <w:color w:val="auto"/>
          <w:sz w:val="24"/>
          <w:highlight w:val="none"/>
        </w:rPr>
        <w:t>法定代表人或被授权人（签字或盖章）：</w:t>
      </w:r>
    </w:p>
    <w:p w14:paraId="1F9BC4D1">
      <w:pPr>
        <w:kinsoku w:val="0"/>
        <w:topLinePunct/>
        <w:snapToGrid w:val="0"/>
        <w:spacing w:line="520" w:lineRule="exact"/>
        <w:rPr>
          <w:rFonts w:ascii="宋体" w:hAnsi="宋体" w:cs="宋体"/>
          <w:b/>
          <w:bCs/>
          <w:color w:val="auto"/>
          <w:sz w:val="24"/>
          <w:highlight w:val="none"/>
        </w:rPr>
      </w:pPr>
      <w:r>
        <w:rPr>
          <w:rFonts w:hint="eastAsia" w:ascii="宋体" w:hAnsi="宋体" w:cs="宋体"/>
          <w:color w:val="auto"/>
          <w:sz w:val="24"/>
          <w:highlight w:val="none"/>
        </w:rPr>
        <w:t>日期：</w:t>
      </w:r>
    </w:p>
    <w:p w14:paraId="759A30DA">
      <w:pPr>
        <w:snapToGrid w:val="0"/>
        <w:spacing w:line="480" w:lineRule="exact"/>
        <w:ind w:firstLine="496" w:firstLineChars="206"/>
        <w:rPr>
          <w:rFonts w:ascii="宋体" w:hAnsi="宋体" w:cs="宋体"/>
          <w:color w:val="auto"/>
          <w:sz w:val="24"/>
          <w:highlight w:val="none"/>
        </w:rPr>
      </w:pPr>
      <w:r>
        <w:rPr>
          <w:rFonts w:hint="eastAsia" w:ascii="宋体" w:hAnsi="宋体" w:cs="宋体"/>
          <w:b/>
          <w:bCs/>
          <w:color w:val="auto"/>
          <w:sz w:val="24"/>
          <w:highlight w:val="none"/>
        </w:rPr>
        <w:t>注：</w:t>
      </w:r>
    </w:p>
    <w:p w14:paraId="1A3342C4">
      <w:pPr>
        <w:numPr>
          <w:ilvl w:val="0"/>
          <w:numId w:val="6"/>
        </w:numPr>
        <w:tabs>
          <w:tab w:val="left" w:pos="0"/>
        </w:tabs>
        <w:spacing w:line="360" w:lineRule="auto"/>
        <w:ind w:firstLine="480" w:firstLineChars="200"/>
        <w:rPr>
          <w:color w:val="auto"/>
          <w:highlight w:val="none"/>
        </w:rPr>
      </w:pPr>
      <w:r>
        <w:rPr>
          <w:rFonts w:hint="eastAsia" w:ascii="宋体" w:hAnsi="宋体" w:cs="宋体"/>
          <w:color w:val="auto"/>
          <w:sz w:val="24"/>
          <w:highlight w:val="none"/>
        </w:rPr>
        <w:t>以上表格中的全费用单价及全费用总价均</w:t>
      </w:r>
      <w:r>
        <w:rPr>
          <w:rFonts w:hint="eastAsia" w:ascii="宋体" w:hAnsi="宋体"/>
          <w:color w:val="auto"/>
          <w:sz w:val="24"/>
          <w:highlight w:val="none"/>
        </w:rPr>
        <w:t>包括但不限于以下内容</w:t>
      </w:r>
      <w:r>
        <w:rPr>
          <w:rFonts w:hint="eastAsia" w:ascii="宋体" w:hAnsi="宋体"/>
          <w:color w:val="auto"/>
          <w:sz w:val="24"/>
          <w:highlight w:val="none"/>
          <w:lang w:eastAsia="zh-CN"/>
        </w:rPr>
        <w:t>：</w:t>
      </w:r>
      <w:r>
        <w:rPr>
          <w:rFonts w:hint="eastAsia" w:ascii="宋体" w:hAnsi="宋体"/>
          <w:color w:val="auto"/>
          <w:sz w:val="24"/>
          <w:highlight w:val="none"/>
        </w:rPr>
        <w:t>设计费、素材费、交通运输、通信、管理费、利润、税金、政策性调整风险费、相关伴随服务以及保护措施、咨询、拆除清运等产生的所有费用，即为响应招标文件及完成本项目服务所发生的全部费用，为固定总价（遇政府大型检查和不可抗力因素发布期顺延情况，需包含多次拆除、安装、配合费用）。除非本合同另有明确约定，就</w:t>
      </w:r>
      <w:r>
        <w:rPr>
          <w:rFonts w:hint="eastAsia" w:ascii="宋体" w:hAnsi="宋体"/>
          <w:color w:val="auto"/>
          <w:sz w:val="24"/>
          <w:highlight w:val="none"/>
          <w:lang w:val="en-US" w:eastAsia="zh-CN"/>
        </w:rPr>
        <w:t>中标人</w:t>
      </w:r>
      <w:r>
        <w:rPr>
          <w:rFonts w:hint="eastAsia" w:ascii="宋体" w:hAnsi="宋体"/>
          <w:color w:val="auto"/>
          <w:sz w:val="24"/>
          <w:highlight w:val="none"/>
        </w:rPr>
        <w:t>履行本协议项下的各项义务和责任,</w:t>
      </w:r>
      <w:r>
        <w:rPr>
          <w:rFonts w:hint="eastAsia" w:ascii="宋体" w:hAnsi="宋体"/>
          <w:color w:val="auto"/>
          <w:sz w:val="24"/>
          <w:highlight w:val="none"/>
          <w:lang w:val="en-US" w:eastAsia="zh-CN"/>
        </w:rPr>
        <w:t>采购人</w:t>
      </w:r>
      <w:r>
        <w:rPr>
          <w:rFonts w:hint="eastAsia" w:ascii="宋体" w:hAnsi="宋体"/>
          <w:color w:val="auto"/>
          <w:sz w:val="24"/>
          <w:highlight w:val="none"/>
        </w:rPr>
        <w:t>无须再向</w:t>
      </w:r>
      <w:r>
        <w:rPr>
          <w:rFonts w:hint="eastAsia" w:ascii="宋体" w:hAnsi="宋体"/>
          <w:color w:val="auto"/>
          <w:sz w:val="24"/>
          <w:highlight w:val="none"/>
          <w:lang w:val="en-US" w:eastAsia="zh-CN"/>
        </w:rPr>
        <w:t>中标人</w:t>
      </w:r>
      <w:r>
        <w:rPr>
          <w:rFonts w:hint="eastAsia" w:ascii="宋体" w:hAnsi="宋体"/>
          <w:color w:val="auto"/>
          <w:sz w:val="24"/>
          <w:highlight w:val="none"/>
        </w:rPr>
        <w:t>支付其他任何费用。</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Futura Lt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FBD4">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40565">
    <w:pPr>
      <w:spacing w:line="174" w:lineRule="auto"/>
      <w:ind w:left="4081"/>
      <w:rPr>
        <w:rFonts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14:paraId="03883694">
                          <w:pPr>
                            <w:pStyle w:val="15"/>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Pi91E0AAAAAIBAAAPAAAAAAAAAAEAIAAAACIAAABkcnMvZG93bnJl&#10;di54bWxQSwECFAAUAAAACACHTuJA+cdjz8wBAACYAwAADgAAAAAAAAABACAAAAAfAQAAZHJzL2Uy&#10;b0RvYy54bWxQSwUGAAAAAAYABgBZAQAAXQUAAAAA&#10;">
              <v:fill on="f" focussize="0,0"/>
              <v:stroke on="f"/>
              <v:imagedata o:title=""/>
              <o:lock v:ext="edit" aspectratio="f"/>
              <v:textbox inset="0mm,0mm,0mm,0mm" style="mso-fit-shape-to-text:t;">
                <w:txbxContent>
                  <w:p w14:paraId="03883694">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8F67">
    <w:pPr>
      <w:spacing w:line="174" w:lineRule="auto"/>
      <w:ind w:left="4082"/>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165493C1">
                          <w:pPr>
                            <w:pStyle w:val="15"/>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cjrbfswBAACaAwAADgAAAAAAAAABACAAAAAfAQAAZHJzL2Uy&#10;b0RvYy54bWxQSwUGAAAAAAYABgBZAQAAXQUAAAAA&#10;">
              <v:fill on="f" focussize="0,0"/>
              <v:stroke on="f"/>
              <v:imagedata o:title=""/>
              <o:lock v:ext="edit" aspectratio="f"/>
              <v:textbox inset="0mm,0mm,0mm,0mm" style="mso-fit-shape-to-text:t;">
                <w:txbxContent>
                  <w:p w14:paraId="165493C1">
                    <w:pPr>
                      <w:pStyle w:val="1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956EF">
    <w:pPr>
      <w:spacing w:line="1"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1"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56F91795">
                          <w:pPr>
                            <w:pStyle w:val="15"/>
                          </w:pPr>
                          <w:r>
                            <w:fldChar w:fldCharType="begin"/>
                          </w:r>
                          <w:r>
                            <w:instrText xml:space="preserve"> PAGE  \* MERGEFORMAT </w:instrText>
                          </w:r>
                          <w:r>
                            <w:fldChar w:fldCharType="separate"/>
                          </w:r>
                          <w:r>
                            <w:t>75</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D5X5J0AAAAAMBAAAPAAAAAAAAAAEAIAAAACIAAABkcnMvZG93bnJl&#10;di54bWxQSwECFAAUAAAACACHTuJAgNbKf8wBAACaAwAADgAAAAAAAAABACAAAAAfAQAAZHJzL2Uy&#10;b0RvYy54bWxQSwUGAAAAAAYABgBZAQAAXQUAAAAA&#10;">
              <v:fill on="f" focussize="0,0"/>
              <v:stroke on="f"/>
              <v:imagedata o:title=""/>
              <o:lock v:ext="edit" aspectratio="f"/>
              <v:textbox inset="0mm,0mm,0mm,0mm" style="mso-fit-shape-to-text:t;">
                <w:txbxContent>
                  <w:p w14:paraId="56F91795">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7E97"/>
    <w:multiLevelType w:val="singleLevel"/>
    <w:tmpl w:val="BBF87E97"/>
    <w:lvl w:ilvl="0" w:tentative="0">
      <w:start w:val="2"/>
      <w:numFmt w:val="decimal"/>
      <w:suff w:val="nothing"/>
      <w:lvlText w:val="%1、"/>
      <w:lvlJc w:val="left"/>
    </w:lvl>
  </w:abstractNum>
  <w:abstractNum w:abstractNumId="1">
    <w:nsid w:val="C88B7452"/>
    <w:multiLevelType w:val="singleLevel"/>
    <w:tmpl w:val="C88B7452"/>
    <w:lvl w:ilvl="0" w:tentative="0">
      <w:start w:val="1"/>
      <w:numFmt w:val="decimal"/>
      <w:suff w:val="nothing"/>
      <w:lvlText w:val="%1、"/>
      <w:lvlJc w:val="left"/>
    </w:lvl>
  </w:abstractNum>
  <w:abstractNum w:abstractNumId="2">
    <w:nsid w:val="FFFFFF7F"/>
    <w:multiLevelType w:val="singleLevel"/>
    <w:tmpl w:val="FFFFFF7F"/>
    <w:lvl w:ilvl="0" w:tentative="0">
      <w:start w:val="1"/>
      <w:numFmt w:val="decimal"/>
      <w:pStyle w:val="7"/>
      <w:lvlText w:val="%1."/>
      <w:lvlJc w:val="left"/>
      <w:pPr>
        <w:tabs>
          <w:tab w:val="left" w:pos="720"/>
        </w:tabs>
        <w:ind w:left="720" w:hanging="360"/>
      </w:pPr>
    </w:lvl>
  </w:abstractNum>
  <w:abstractNum w:abstractNumId="3">
    <w:nsid w:val="180B1431"/>
    <w:multiLevelType w:val="singleLevel"/>
    <w:tmpl w:val="180B1431"/>
    <w:lvl w:ilvl="0" w:tentative="0">
      <w:start w:val="1"/>
      <w:numFmt w:val="decimal"/>
      <w:suff w:val="nothing"/>
      <w:lvlText w:val="%1、"/>
      <w:lvlJc w:val="left"/>
    </w:lvl>
  </w:abstractNum>
  <w:abstractNum w:abstractNumId="4">
    <w:nsid w:val="3969497F"/>
    <w:multiLevelType w:val="singleLevel"/>
    <w:tmpl w:val="3969497F"/>
    <w:lvl w:ilvl="0" w:tentative="0">
      <w:start w:val="1"/>
      <w:numFmt w:val="decimal"/>
      <w:suff w:val="nothing"/>
      <w:lvlText w:val="%1、"/>
      <w:lvlJc w:val="left"/>
    </w:lvl>
  </w:abstractNum>
  <w:abstractNum w:abstractNumId="5">
    <w:nsid w:val="5E117566"/>
    <w:multiLevelType w:val="multilevel"/>
    <w:tmpl w:val="5E117566"/>
    <w:lvl w:ilvl="0" w:tentative="0">
      <w:start w:val="3"/>
      <w:numFmt w:val="japaneseCounting"/>
      <w:lvlText w:val="第%1条"/>
      <w:lvlJc w:val="left"/>
      <w:pPr>
        <w:tabs>
          <w:tab w:val="left" w:pos="840"/>
        </w:tabs>
        <w:ind w:left="840" w:hanging="840"/>
      </w:pPr>
      <w:rPr>
        <w:rFonts w:hint="eastAsia"/>
        <w:b/>
        <w:bCs/>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hMzkwNWZkZmQ5MTM1MDUxY2E0YjhiNjgwOTc0NWUifQ=="/>
  </w:docVars>
  <w:rsids>
    <w:rsidRoot w:val="00980634"/>
    <w:rsid w:val="0000713B"/>
    <w:rsid w:val="0002640E"/>
    <w:rsid w:val="00032FF6"/>
    <w:rsid w:val="000439B2"/>
    <w:rsid w:val="000545B4"/>
    <w:rsid w:val="00070E50"/>
    <w:rsid w:val="0007111A"/>
    <w:rsid w:val="000A7E40"/>
    <w:rsid w:val="000C3DD6"/>
    <w:rsid w:val="000E1A1C"/>
    <w:rsid w:val="001063DF"/>
    <w:rsid w:val="00116654"/>
    <w:rsid w:val="00120E2C"/>
    <w:rsid w:val="001312A8"/>
    <w:rsid w:val="00153E4D"/>
    <w:rsid w:val="00154D52"/>
    <w:rsid w:val="001A2738"/>
    <w:rsid w:val="001A3A17"/>
    <w:rsid w:val="001B12E0"/>
    <w:rsid w:val="001C2FA5"/>
    <w:rsid w:val="001C5B23"/>
    <w:rsid w:val="001C5C45"/>
    <w:rsid w:val="001C7474"/>
    <w:rsid w:val="001D0D95"/>
    <w:rsid w:val="001D5679"/>
    <w:rsid w:val="001E18F6"/>
    <w:rsid w:val="001E558B"/>
    <w:rsid w:val="001F3A6E"/>
    <w:rsid w:val="001F69B4"/>
    <w:rsid w:val="0020105D"/>
    <w:rsid w:val="002041C1"/>
    <w:rsid w:val="002259DF"/>
    <w:rsid w:val="00236A7A"/>
    <w:rsid w:val="00240B8A"/>
    <w:rsid w:val="002438F1"/>
    <w:rsid w:val="002517AC"/>
    <w:rsid w:val="00253D92"/>
    <w:rsid w:val="00261C7A"/>
    <w:rsid w:val="002756CA"/>
    <w:rsid w:val="00283D0E"/>
    <w:rsid w:val="0029216C"/>
    <w:rsid w:val="002B239F"/>
    <w:rsid w:val="002B39CD"/>
    <w:rsid w:val="002D377F"/>
    <w:rsid w:val="002D68EE"/>
    <w:rsid w:val="002E2A9F"/>
    <w:rsid w:val="002F3B72"/>
    <w:rsid w:val="003135E2"/>
    <w:rsid w:val="00326BEC"/>
    <w:rsid w:val="0033248F"/>
    <w:rsid w:val="00336C02"/>
    <w:rsid w:val="0033710F"/>
    <w:rsid w:val="00352FB6"/>
    <w:rsid w:val="0035576A"/>
    <w:rsid w:val="00362ADD"/>
    <w:rsid w:val="00364368"/>
    <w:rsid w:val="003E37D6"/>
    <w:rsid w:val="003F3951"/>
    <w:rsid w:val="00404EB2"/>
    <w:rsid w:val="00407C95"/>
    <w:rsid w:val="00410A1A"/>
    <w:rsid w:val="0042408A"/>
    <w:rsid w:val="00426DC8"/>
    <w:rsid w:val="0046162C"/>
    <w:rsid w:val="004831F7"/>
    <w:rsid w:val="004923E0"/>
    <w:rsid w:val="004967FC"/>
    <w:rsid w:val="00496FB2"/>
    <w:rsid w:val="004A1336"/>
    <w:rsid w:val="004A6B4D"/>
    <w:rsid w:val="004B338E"/>
    <w:rsid w:val="004D1053"/>
    <w:rsid w:val="004E4D0A"/>
    <w:rsid w:val="004F5C2F"/>
    <w:rsid w:val="00506F38"/>
    <w:rsid w:val="0050797D"/>
    <w:rsid w:val="00510653"/>
    <w:rsid w:val="00522ED1"/>
    <w:rsid w:val="00571362"/>
    <w:rsid w:val="005807B3"/>
    <w:rsid w:val="005A2DF5"/>
    <w:rsid w:val="005A7E8C"/>
    <w:rsid w:val="005A7F5C"/>
    <w:rsid w:val="005B4B71"/>
    <w:rsid w:val="005B6CF3"/>
    <w:rsid w:val="005B6FBB"/>
    <w:rsid w:val="005C6C91"/>
    <w:rsid w:val="005E48A2"/>
    <w:rsid w:val="005F57BE"/>
    <w:rsid w:val="006104EA"/>
    <w:rsid w:val="00665DE7"/>
    <w:rsid w:val="006669B0"/>
    <w:rsid w:val="00681093"/>
    <w:rsid w:val="00684BB0"/>
    <w:rsid w:val="006859DA"/>
    <w:rsid w:val="006A000C"/>
    <w:rsid w:val="006B7D62"/>
    <w:rsid w:val="006E326F"/>
    <w:rsid w:val="006E3345"/>
    <w:rsid w:val="00752553"/>
    <w:rsid w:val="00762FAC"/>
    <w:rsid w:val="00770A76"/>
    <w:rsid w:val="00781A50"/>
    <w:rsid w:val="00793423"/>
    <w:rsid w:val="00796EA7"/>
    <w:rsid w:val="007B487B"/>
    <w:rsid w:val="007C3641"/>
    <w:rsid w:val="007E660B"/>
    <w:rsid w:val="007F0CCB"/>
    <w:rsid w:val="007F0EE3"/>
    <w:rsid w:val="008040C6"/>
    <w:rsid w:val="00806707"/>
    <w:rsid w:val="00810B84"/>
    <w:rsid w:val="00814795"/>
    <w:rsid w:val="008435CC"/>
    <w:rsid w:val="008549F8"/>
    <w:rsid w:val="008674E5"/>
    <w:rsid w:val="008738EC"/>
    <w:rsid w:val="00877F19"/>
    <w:rsid w:val="0089708D"/>
    <w:rsid w:val="008A0A1A"/>
    <w:rsid w:val="008C0104"/>
    <w:rsid w:val="008E74AF"/>
    <w:rsid w:val="008E7794"/>
    <w:rsid w:val="008F493A"/>
    <w:rsid w:val="008F67A9"/>
    <w:rsid w:val="009018A5"/>
    <w:rsid w:val="00903242"/>
    <w:rsid w:val="00907637"/>
    <w:rsid w:val="0097378B"/>
    <w:rsid w:val="0097454A"/>
    <w:rsid w:val="009756FE"/>
    <w:rsid w:val="00980634"/>
    <w:rsid w:val="009A1926"/>
    <w:rsid w:val="009B369B"/>
    <w:rsid w:val="009B5726"/>
    <w:rsid w:val="009D221A"/>
    <w:rsid w:val="009D65D9"/>
    <w:rsid w:val="009F0A4D"/>
    <w:rsid w:val="009F6CB0"/>
    <w:rsid w:val="00A0149C"/>
    <w:rsid w:val="00A05695"/>
    <w:rsid w:val="00A21681"/>
    <w:rsid w:val="00A351BA"/>
    <w:rsid w:val="00A45973"/>
    <w:rsid w:val="00A67231"/>
    <w:rsid w:val="00A77834"/>
    <w:rsid w:val="00A80EB8"/>
    <w:rsid w:val="00A86044"/>
    <w:rsid w:val="00A86D18"/>
    <w:rsid w:val="00A93EC4"/>
    <w:rsid w:val="00AA39B2"/>
    <w:rsid w:val="00AA438E"/>
    <w:rsid w:val="00AB48B8"/>
    <w:rsid w:val="00AD4DB7"/>
    <w:rsid w:val="00AF3D76"/>
    <w:rsid w:val="00AF45D1"/>
    <w:rsid w:val="00B34DBE"/>
    <w:rsid w:val="00B4312F"/>
    <w:rsid w:val="00B6219B"/>
    <w:rsid w:val="00B733AD"/>
    <w:rsid w:val="00B86A47"/>
    <w:rsid w:val="00B932BD"/>
    <w:rsid w:val="00B95267"/>
    <w:rsid w:val="00B95F0F"/>
    <w:rsid w:val="00BB1016"/>
    <w:rsid w:val="00BD1422"/>
    <w:rsid w:val="00BD34D2"/>
    <w:rsid w:val="00BE599E"/>
    <w:rsid w:val="00BF0783"/>
    <w:rsid w:val="00BF179F"/>
    <w:rsid w:val="00BF1A4E"/>
    <w:rsid w:val="00C217A9"/>
    <w:rsid w:val="00C21D47"/>
    <w:rsid w:val="00C240B8"/>
    <w:rsid w:val="00C301FF"/>
    <w:rsid w:val="00C319CC"/>
    <w:rsid w:val="00C347A7"/>
    <w:rsid w:val="00C46AAD"/>
    <w:rsid w:val="00C563B7"/>
    <w:rsid w:val="00C565F6"/>
    <w:rsid w:val="00C63F99"/>
    <w:rsid w:val="00C73F5A"/>
    <w:rsid w:val="00C942A6"/>
    <w:rsid w:val="00CA544D"/>
    <w:rsid w:val="00CB19F2"/>
    <w:rsid w:val="00CD36CB"/>
    <w:rsid w:val="00CE3477"/>
    <w:rsid w:val="00CE5AE4"/>
    <w:rsid w:val="00D550C4"/>
    <w:rsid w:val="00D65312"/>
    <w:rsid w:val="00D67EB8"/>
    <w:rsid w:val="00D741EA"/>
    <w:rsid w:val="00D82270"/>
    <w:rsid w:val="00D8398C"/>
    <w:rsid w:val="00D96A6C"/>
    <w:rsid w:val="00DA1FF8"/>
    <w:rsid w:val="00DA468F"/>
    <w:rsid w:val="00DA5247"/>
    <w:rsid w:val="00DB10F7"/>
    <w:rsid w:val="00DB4C1C"/>
    <w:rsid w:val="00DD4571"/>
    <w:rsid w:val="00E1711C"/>
    <w:rsid w:val="00E30052"/>
    <w:rsid w:val="00E3725A"/>
    <w:rsid w:val="00E53712"/>
    <w:rsid w:val="00E60A9C"/>
    <w:rsid w:val="00E64217"/>
    <w:rsid w:val="00E74D07"/>
    <w:rsid w:val="00E75054"/>
    <w:rsid w:val="00E82176"/>
    <w:rsid w:val="00E9618D"/>
    <w:rsid w:val="00EA48F4"/>
    <w:rsid w:val="00EA53D9"/>
    <w:rsid w:val="00EB77AA"/>
    <w:rsid w:val="00F06FF5"/>
    <w:rsid w:val="00F070A1"/>
    <w:rsid w:val="00F16BBE"/>
    <w:rsid w:val="00F263D0"/>
    <w:rsid w:val="00F273ED"/>
    <w:rsid w:val="00F33305"/>
    <w:rsid w:val="00F61013"/>
    <w:rsid w:val="00F72009"/>
    <w:rsid w:val="00F756C4"/>
    <w:rsid w:val="00F7667F"/>
    <w:rsid w:val="00F92835"/>
    <w:rsid w:val="00F94393"/>
    <w:rsid w:val="00FB20B8"/>
    <w:rsid w:val="00FB7284"/>
    <w:rsid w:val="00FF2908"/>
    <w:rsid w:val="01057174"/>
    <w:rsid w:val="01161381"/>
    <w:rsid w:val="01687703"/>
    <w:rsid w:val="01A4698D"/>
    <w:rsid w:val="01B632B2"/>
    <w:rsid w:val="01B666C0"/>
    <w:rsid w:val="01C42B8B"/>
    <w:rsid w:val="01FC4007"/>
    <w:rsid w:val="024617F2"/>
    <w:rsid w:val="02526030"/>
    <w:rsid w:val="02853E5C"/>
    <w:rsid w:val="029C1412"/>
    <w:rsid w:val="02C81745"/>
    <w:rsid w:val="02FD59DE"/>
    <w:rsid w:val="0341645D"/>
    <w:rsid w:val="034F2928"/>
    <w:rsid w:val="03881EF9"/>
    <w:rsid w:val="03982562"/>
    <w:rsid w:val="039934AA"/>
    <w:rsid w:val="03AD1C84"/>
    <w:rsid w:val="04123E86"/>
    <w:rsid w:val="046154BF"/>
    <w:rsid w:val="04854128"/>
    <w:rsid w:val="04E120EC"/>
    <w:rsid w:val="051F632A"/>
    <w:rsid w:val="0596483F"/>
    <w:rsid w:val="05AF3B52"/>
    <w:rsid w:val="05D37F4A"/>
    <w:rsid w:val="05E50C32"/>
    <w:rsid w:val="05F41F93"/>
    <w:rsid w:val="0627193B"/>
    <w:rsid w:val="06425436"/>
    <w:rsid w:val="064E424F"/>
    <w:rsid w:val="0659586C"/>
    <w:rsid w:val="06BF4F6B"/>
    <w:rsid w:val="06CE0008"/>
    <w:rsid w:val="06F134AE"/>
    <w:rsid w:val="070A64CF"/>
    <w:rsid w:val="073A38EF"/>
    <w:rsid w:val="073F0F06"/>
    <w:rsid w:val="074107DA"/>
    <w:rsid w:val="07547F15"/>
    <w:rsid w:val="0764271A"/>
    <w:rsid w:val="07AC683C"/>
    <w:rsid w:val="07B0770E"/>
    <w:rsid w:val="07C03DF5"/>
    <w:rsid w:val="07D10017"/>
    <w:rsid w:val="07D750E3"/>
    <w:rsid w:val="080812F8"/>
    <w:rsid w:val="08117B5C"/>
    <w:rsid w:val="08145EEF"/>
    <w:rsid w:val="083F2303"/>
    <w:rsid w:val="088C017B"/>
    <w:rsid w:val="089276D0"/>
    <w:rsid w:val="08980CAC"/>
    <w:rsid w:val="089A68C2"/>
    <w:rsid w:val="089D5EE4"/>
    <w:rsid w:val="08D21CBE"/>
    <w:rsid w:val="09025EC2"/>
    <w:rsid w:val="090E293E"/>
    <w:rsid w:val="096B2EE6"/>
    <w:rsid w:val="09A068C1"/>
    <w:rsid w:val="09B96D4E"/>
    <w:rsid w:val="09BF30AC"/>
    <w:rsid w:val="09D73640"/>
    <w:rsid w:val="0A0951A9"/>
    <w:rsid w:val="0A2B33DF"/>
    <w:rsid w:val="0A3E36F7"/>
    <w:rsid w:val="0A6C12A7"/>
    <w:rsid w:val="0A7E017B"/>
    <w:rsid w:val="0ACA0AE6"/>
    <w:rsid w:val="0B4E5BBB"/>
    <w:rsid w:val="0B534F80"/>
    <w:rsid w:val="0B586581"/>
    <w:rsid w:val="0B865355"/>
    <w:rsid w:val="0C344DB1"/>
    <w:rsid w:val="0CA43CE5"/>
    <w:rsid w:val="0CB437FC"/>
    <w:rsid w:val="0CFA1B57"/>
    <w:rsid w:val="0D4F0C66"/>
    <w:rsid w:val="0D5648B3"/>
    <w:rsid w:val="0D583A85"/>
    <w:rsid w:val="0D5C5417"/>
    <w:rsid w:val="0D6306F6"/>
    <w:rsid w:val="0D904269"/>
    <w:rsid w:val="0DB8731C"/>
    <w:rsid w:val="0DCD726B"/>
    <w:rsid w:val="0DD56120"/>
    <w:rsid w:val="0E526D1E"/>
    <w:rsid w:val="0E6E115D"/>
    <w:rsid w:val="0E8F2773"/>
    <w:rsid w:val="0E9A3662"/>
    <w:rsid w:val="0ECF0DC1"/>
    <w:rsid w:val="0ED70339"/>
    <w:rsid w:val="0EFC4887"/>
    <w:rsid w:val="0EFF4005"/>
    <w:rsid w:val="0F773AC2"/>
    <w:rsid w:val="0FB1408E"/>
    <w:rsid w:val="0FB83603"/>
    <w:rsid w:val="0FD91EF8"/>
    <w:rsid w:val="10141182"/>
    <w:rsid w:val="10177440"/>
    <w:rsid w:val="107E1EDA"/>
    <w:rsid w:val="10A86610"/>
    <w:rsid w:val="115332E2"/>
    <w:rsid w:val="1156599C"/>
    <w:rsid w:val="115775F8"/>
    <w:rsid w:val="11623CE1"/>
    <w:rsid w:val="11A55E09"/>
    <w:rsid w:val="11DA1F57"/>
    <w:rsid w:val="12392C0C"/>
    <w:rsid w:val="12691182"/>
    <w:rsid w:val="129E4D32"/>
    <w:rsid w:val="12FE1C75"/>
    <w:rsid w:val="130C4392"/>
    <w:rsid w:val="13157F9E"/>
    <w:rsid w:val="13394A5B"/>
    <w:rsid w:val="13777B70"/>
    <w:rsid w:val="13963FF0"/>
    <w:rsid w:val="13964A9D"/>
    <w:rsid w:val="13B251F2"/>
    <w:rsid w:val="13C871E2"/>
    <w:rsid w:val="13CD4B41"/>
    <w:rsid w:val="13F12B76"/>
    <w:rsid w:val="13F372CF"/>
    <w:rsid w:val="141F1EA3"/>
    <w:rsid w:val="143A4F2F"/>
    <w:rsid w:val="14575C26"/>
    <w:rsid w:val="146D37DF"/>
    <w:rsid w:val="146F28FC"/>
    <w:rsid w:val="14A21847"/>
    <w:rsid w:val="14A625C4"/>
    <w:rsid w:val="14CD3D4D"/>
    <w:rsid w:val="14F72E20"/>
    <w:rsid w:val="15127C5A"/>
    <w:rsid w:val="153100E0"/>
    <w:rsid w:val="15542020"/>
    <w:rsid w:val="15D60C87"/>
    <w:rsid w:val="15E6711C"/>
    <w:rsid w:val="15E96C0C"/>
    <w:rsid w:val="15F874DA"/>
    <w:rsid w:val="16443E43"/>
    <w:rsid w:val="16493207"/>
    <w:rsid w:val="164E5C7A"/>
    <w:rsid w:val="16874680"/>
    <w:rsid w:val="173165BF"/>
    <w:rsid w:val="176A5B2B"/>
    <w:rsid w:val="177B7D38"/>
    <w:rsid w:val="177D03BE"/>
    <w:rsid w:val="178C5AA1"/>
    <w:rsid w:val="17BE54F1"/>
    <w:rsid w:val="17C3523B"/>
    <w:rsid w:val="17F378CF"/>
    <w:rsid w:val="182061EA"/>
    <w:rsid w:val="186407CC"/>
    <w:rsid w:val="187C78C4"/>
    <w:rsid w:val="18846B15"/>
    <w:rsid w:val="188C387F"/>
    <w:rsid w:val="189D70F1"/>
    <w:rsid w:val="18AA14C9"/>
    <w:rsid w:val="18C954B5"/>
    <w:rsid w:val="18E216F1"/>
    <w:rsid w:val="19037FE5"/>
    <w:rsid w:val="190B0C48"/>
    <w:rsid w:val="196071E6"/>
    <w:rsid w:val="197D7D98"/>
    <w:rsid w:val="19831126"/>
    <w:rsid w:val="19D41982"/>
    <w:rsid w:val="1A115020"/>
    <w:rsid w:val="1A273447"/>
    <w:rsid w:val="1A846F04"/>
    <w:rsid w:val="1AB5530F"/>
    <w:rsid w:val="1AFA5418"/>
    <w:rsid w:val="1B203E27"/>
    <w:rsid w:val="1B3B24B3"/>
    <w:rsid w:val="1B3F2E2B"/>
    <w:rsid w:val="1BD9502D"/>
    <w:rsid w:val="1C001E83"/>
    <w:rsid w:val="1C0F0A4F"/>
    <w:rsid w:val="1C44694B"/>
    <w:rsid w:val="1CC161ED"/>
    <w:rsid w:val="1D281BC1"/>
    <w:rsid w:val="1D436C02"/>
    <w:rsid w:val="1D4B315C"/>
    <w:rsid w:val="1D525FB1"/>
    <w:rsid w:val="1DA67213"/>
    <w:rsid w:val="1DB07785"/>
    <w:rsid w:val="1DB624A5"/>
    <w:rsid w:val="1DDF7880"/>
    <w:rsid w:val="1DE651E8"/>
    <w:rsid w:val="1E222CBC"/>
    <w:rsid w:val="1E2A7DC2"/>
    <w:rsid w:val="1E6C3F37"/>
    <w:rsid w:val="1EBF4F16"/>
    <w:rsid w:val="1EF65EF6"/>
    <w:rsid w:val="1F0E1492"/>
    <w:rsid w:val="1F176598"/>
    <w:rsid w:val="1F3D3B25"/>
    <w:rsid w:val="1F590858"/>
    <w:rsid w:val="1FF715FD"/>
    <w:rsid w:val="1FFF0585"/>
    <w:rsid w:val="201E5705"/>
    <w:rsid w:val="20297D49"/>
    <w:rsid w:val="202D76F6"/>
    <w:rsid w:val="205A5376"/>
    <w:rsid w:val="20653333"/>
    <w:rsid w:val="20931C4F"/>
    <w:rsid w:val="20A43E5C"/>
    <w:rsid w:val="20D40CAC"/>
    <w:rsid w:val="210448FA"/>
    <w:rsid w:val="211865F8"/>
    <w:rsid w:val="2122550F"/>
    <w:rsid w:val="2135348C"/>
    <w:rsid w:val="21354AB4"/>
    <w:rsid w:val="219D0E63"/>
    <w:rsid w:val="21A63C04"/>
    <w:rsid w:val="21E36C06"/>
    <w:rsid w:val="22484CBB"/>
    <w:rsid w:val="227429C6"/>
    <w:rsid w:val="22D62E99"/>
    <w:rsid w:val="23164DB9"/>
    <w:rsid w:val="232D7F46"/>
    <w:rsid w:val="23447230"/>
    <w:rsid w:val="23531B69"/>
    <w:rsid w:val="23887A65"/>
    <w:rsid w:val="23B37939"/>
    <w:rsid w:val="23CD36CA"/>
    <w:rsid w:val="24174945"/>
    <w:rsid w:val="2418246B"/>
    <w:rsid w:val="241C737F"/>
    <w:rsid w:val="24521FF3"/>
    <w:rsid w:val="246D2AD8"/>
    <w:rsid w:val="2489062D"/>
    <w:rsid w:val="24894E3E"/>
    <w:rsid w:val="249D770A"/>
    <w:rsid w:val="24A81A41"/>
    <w:rsid w:val="24B228BF"/>
    <w:rsid w:val="24C745BD"/>
    <w:rsid w:val="25274505"/>
    <w:rsid w:val="25284930"/>
    <w:rsid w:val="253D03DB"/>
    <w:rsid w:val="254774AC"/>
    <w:rsid w:val="25765E4A"/>
    <w:rsid w:val="25906937"/>
    <w:rsid w:val="25AC730F"/>
    <w:rsid w:val="2653385F"/>
    <w:rsid w:val="26633E71"/>
    <w:rsid w:val="26A066E3"/>
    <w:rsid w:val="26B5283C"/>
    <w:rsid w:val="26B75F6B"/>
    <w:rsid w:val="26C64400"/>
    <w:rsid w:val="26CB1A16"/>
    <w:rsid w:val="26D0702D"/>
    <w:rsid w:val="270153A5"/>
    <w:rsid w:val="270A253F"/>
    <w:rsid w:val="271D6716"/>
    <w:rsid w:val="273677D8"/>
    <w:rsid w:val="2758238D"/>
    <w:rsid w:val="27962024"/>
    <w:rsid w:val="27AE736E"/>
    <w:rsid w:val="27E70AD2"/>
    <w:rsid w:val="27EF10DE"/>
    <w:rsid w:val="28090A48"/>
    <w:rsid w:val="281C69CE"/>
    <w:rsid w:val="28355CE1"/>
    <w:rsid w:val="288A7525"/>
    <w:rsid w:val="28924EE2"/>
    <w:rsid w:val="28DC1290"/>
    <w:rsid w:val="28F9286B"/>
    <w:rsid w:val="291E67FB"/>
    <w:rsid w:val="29300B3B"/>
    <w:rsid w:val="293164A9"/>
    <w:rsid w:val="29910CF5"/>
    <w:rsid w:val="2A133E00"/>
    <w:rsid w:val="2A241B69"/>
    <w:rsid w:val="2A337FFE"/>
    <w:rsid w:val="2A5774F7"/>
    <w:rsid w:val="2A930A9D"/>
    <w:rsid w:val="2ABE3D6C"/>
    <w:rsid w:val="2AF61758"/>
    <w:rsid w:val="2B0A0D5F"/>
    <w:rsid w:val="2B12230A"/>
    <w:rsid w:val="2B960845"/>
    <w:rsid w:val="2BA07916"/>
    <w:rsid w:val="2BBD56F4"/>
    <w:rsid w:val="2BDE3F9A"/>
    <w:rsid w:val="2BFF288E"/>
    <w:rsid w:val="2C0004FA"/>
    <w:rsid w:val="2C534D3E"/>
    <w:rsid w:val="2C55425C"/>
    <w:rsid w:val="2C6941AB"/>
    <w:rsid w:val="2CAB0320"/>
    <w:rsid w:val="2CBD3E16"/>
    <w:rsid w:val="2D381C0F"/>
    <w:rsid w:val="2D711973"/>
    <w:rsid w:val="2D796670"/>
    <w:rsid w:val="2D80355B"/>
    <w:rsid w:val="2D99461C"/>
    <w:rsid w:val="2DA3601C"/>
    <w:rsid w:val="2DAF4C7D"/>
    <w:rsid w:val="2DD64ACD"/>
    <w:rsid w:val="2DF53F49"/>
    <w:rsid w:val="2DFE0923"/>
    <w:rsid w:val="2E016C05"/>
    <w:rsid w:val="2E642E7C"/>
    <w:rsid w:val="2E674331"/>
    <w:rsid w:val="2E750BE6"/>
    <w:rsid w:val="2E876B6B"/>
    <w:rsid w:val="2E8C373D"/>
    <w:rsid w:val="2EAC037F"/>
    <w:rsid w:val="2EBF3CC4"/>
    <w:rsid w:val="2F0361F1"/>
    <w:rsid w:val="2F1A79DF"/>
    <w:rsid w:val="2F2B4255"/>
    <w:rsid w:val="2F2E6FE6"/>
    <w:rsid w:val="2F452CAE"/>
    <w:rsid w:val="2F511653"/>
    <w:rsid w:val="2F6A001E"/>
    <w:rsid w:val="2F950E14"/>
    <w:rsid w:val="2FC31E25"/>
    <w:rsid w:val="2FF10740"/>
    <w:rsid w:val="30000983"/>
    <w:rsid w:val="3062163D"/>
    <w:rsid w:val="30D81900"/>
    <w:rsid w:val="315A0567"/>
    <w:rsid w:val="31AF0945"/>
    <w:rsid w:val="31D2194B"/>
    <w:rsid w:val="31F369F1"/>
    <w:rsid w:val="31FB1EF8"/>
    <w:rsid w:val="32087FC3"/>
    <w:rsid w:val="32250B75"/>
    <w:rsid w:val="325E25FA"/>
    <w:rsid w:val="32990C1B"/>
    <w:rsid w:val="32AB72CC"/>
    <w:rsid w:val="32CB5278"/>
    <w:rsid w:val="3301513E"/>
    <w:rsid w:val="331F5790"/>
    <w:rsid w:val="33552D94"/>
    <w:rsid w:val="336C2FBA"/>
    <w:rsid w:val="33AD497E"/>
    <w:rsid w:val="33C65A3F"/>
    <w:rsid w:val="33CD6DCE"/>
    <w:rsid w:val="33DC34B5"/>
    <w:rsid w:val="342033A2"/>
    <w:rsid w:val="34282C16"/>
    <w:rsid w:val="3452037A"/>
    <w:rsid w:val="34B00BC9"/>
    <w:rsid w:val="34D21878"/>
    <w:rsid w:val="34F1458A"/>
    <w:rsid w:val="34F63925"/>
    <w:rsid w:val="351F7AFD"/>
    <w:rsid w:val="35270760"/>
    <w:rsid w:val="352C3FC8"/>
    <w:rsid w:val="35475F40"/>
    <w:rsid w:val="35702107"/>
    <w:rsid w:val="3575771D"/>
    <w:rsid w:val="35867B7C"/>
    <w:rsid w:val="35BE10C4"/>
    <w:rsid w:val="35E13004"/>
    <w:rsid w:val="35FF348B"/>
    <w:rsid w:val="3608233F"/>
    <w:rsid w:val="366F6862"/>
    <w:rsid w:val="368D575F"/>
    <w:rsid w:val="369D6F2B"/>
    <w:rsid w:val="36AC3612"/>
    <w:rsid w:val="36D113FD"/>
    <w:rsid w:val="36F31241"/>
    <w:rsid w:val="36F40B16"/>
    <w:rsid w:val="3701395E"/>
    <w:rsid w:val="37076A9B"/>
    <w:rsid w:val="376D2DA2"/>
    <w:rsid w:val="378578B7"/>
    <w:rsid w:val="379A74B9"/>
    <w:rsid w:val="37AC672F"/>
    <w:rsid w:val="37D03331"/>
    <w:rsid w:val="37D526F5"/>
    <w:rsid w:val="37E05F76"/>
    <w:rsid w:val="37E745AA"/>
    <w:rsid w:val="384B0C09"/>
    <w:rsid w:val="385E1FC8"/>
    <w:rsid w:val="38BE1258"/>
    <w:rsid w:val="38C2711D"/>
    <w:rsid w:val="38CA1E04"/>
    <w:rsid w:val="38F815D3"/>
    <w:rsid w:val="390E4CFA"/>
    <w:rsid w:val="39406294"/>
    <w:rsid w:val="397F31CA"/>
    <w:rsid w:val="39E6508D"/>
    <w:rsid w:val="3A4E3697"/>
    <w:rsid w:val="3A621B5E"/>
    <w:rsid w:val="3A783640"/>
    <w:rsid w:val="3AAE1E8E"/>
    <w:rsid w:val="3B223EA3"/>
    <w:rsid w:val="3B4E4C98"/>
    <w:rsid w:val="3BA101C5"/>
    <w:rsid w:val="3C074E47"/>
    <w:rsid w:val="3C0E1025"/>
    <w:rsid w:val="3C422090"/>
    <w:rsid w:val="3C72455E"/>
    <w:rsid w:val="3C80353D"/>
    <w:rsid w:val="3CA37266"/>
    <w:rsid w:val="3CA8662A"/>
    <w:rsid w:val="3CD877BF"/>
    <w:rsid w:val="3D042809"/>
    <w:rsid w:val="3D1B6DFC"/>
    <w:rsid w:val="3D585817"/>
    <w:rsid w:val="3D762284"/>
    <w:rsid w:val="3D7B3D3F"/>
    <w:rsid w:val="3DAB63D2"/>
    <w:rsid w:val="3DCA4932"/>
    <w:rsid w:val="3DFF04CC"/>
    <w:rsid w:val="3E145600"/>
    <w:rsid w:val="3E3208A1"/>
    <w:rsid w:val="3E57527A"/>
    <w:rsid w:val="3E7358B0"/>
    <w:rsid w:val="3E7A2248"/>
    <w:rsid w:val="3EB52B23"/>
    <w:rsid w:val="3EDB4A95"/>
    <w:rsid w:val="3EE6168C"/>
    <w:rsid w:val="3F29333C"/>
    <w:rsid w:val="3F4E68F5"/>
    <w:rsid w:val="3F5D7028"/>
    <w:rsid w:val="3F636838"/>
    <w:rsid w:val="3FD15E98"/>
    <w:rsid w:val="3FD6525C"/>
    <w:rsid w:val="3FEC2687"/>
    <w:rsid w:val="40077B0C"/>
    <w:rsid w:val="401B7113"/>
    <w:rsid w:val="40526063"/>
    <w:rsid w:val="40E13EB9"/>
    <w:rsid w:val="40F34C42"/>
    <w:rsid w:val="41175B2C"/>
    <w:rsid w:val="41422591"/>
    <w:rsid w:val="4144751E"/>
    <w:rsid w:val="414D59F2"/>
    <w:rsid w:val="417116E0"/>
    <w:rsid w:val="4182744A"/>
    <w:rsid w:val="41F560D9"/>
    <w:rsid w:val="421A6F52"/>
    <w:rsid w:val="42334BE8"/>
    <w:rsid w:val="4233677E"/>
    <w:rsid w:val="426E3527"/>
    <w:rsid w:val="429D6505"/>
    <w:rsid w:val="42B0629D"/>
    <w:rsid w:val="42B10032"/>
    <w:rsid w:val="42B70124"/>
    <w:rsid w:val="42C615B8"/>
    <w:rsid w:val="42FF2D1C"/>
    <w:rsid w:val="43422F5A"/>
    <w:rsid w:val="436A4639"/>
    <w:rsid w:val="43972F54"/>
    <w:rsid w:val="43C04259"/>
    <w:rsid w:val="43FB34E3"/>
    <w:rsid w:val="4416656F"/>
    <w:rsid w:val="443F7874"/>
    <w:rsid w:val="44784B34"/>
    <w:rsid w:val="44AD6ED3"/>
    <w:rsid w:val="44AE0556"/>
    <w:rsid w:val="44F93EC7"/>
    <w:rsid w:val="45014B29"/>
    <w:rsid w:val="45336CAD"/>
    <w:rsid w:val="45B46040"/>
    <w:rsid w:val="45C30031"/>
    <w:rsid w:val="45C67B21"/>
    <w:rsid w:val="45D64208"/>
    <w:rsid w:val="45E87066"/>
    <w:rsid w:val="45F9084C"/>
    <w:rsid w:val="46286BAD"/>
    <w:rsid w:val="466C006F"/>
    <w:rsid w:val="469A3487"/>
    <w:rsid w:val="46A14816"/>
    <w:rsid w:val="46B856BC"/>
    <w:rsid w:val="46E22739"/>
    <w:rsid w:val="47017FCE"/>
    <w:rsid w:val="47080055"/>
    <w:rsid w:val="473D712A"/>
    <w:rsid w:val="478F0854"/>
    <w:rsid w:val="47993083"/>
    <w:rsid w:val="47B40579"/>
    <w:rsid w:val="480C044D"/>
    <w:rsid w:val="480D7C89"/>
    <w:rsid w:val="48266893"/>
    <w:rsid w:val="482A25E9"/>
    <w:rsid w:val="482C45B3"/>
    <w:rsid w:val="487627A9"/>
    <w:rsid w:val="48914416"/>
    <w:rsid w:val="48A203D1"/>
    <w:rsid w:val="48ED04EC"/>
    <w:rsid w:val="49180694"/>
    <w:rsid w:val="491863C9"/>
    <w:rsid w:val="495530D2"/>
    <w:rsid w:val="496B4C67"/>
    <w:rsid w:val="49950082"/>
    <w:rsid w:val="499F0DB5"/>
    <w:rsid w:val="49AD5280"/>
    <w:rsid w:val="49D552BF"/>
    <w:rsid w:val="49F11610"/>
    <w:rsid w:val="4A370FED"/>
    <w:rsid w:val="4A696085"/>
    <w:rsid w:val="4A873D23"/>
    <w:rsid w:val="4A9B332A"/>
    <w:rsid w:val="4ACA3C0F"/>
    <w:rsid w:val="4AFA44F5"/>
    <w:rsid w:val="4B196C33"/>
    <w:rsid w:val="4B2B6DA4"/>
    <w:rsid w:val="4B6C4CC7"/>
    <w:rsid w:val="4B7122DD"/>
    <w:rsid w:val="4BD56D10"/>
    <w:rsid w:val="4BDB1472"/>
    <w:rsid w:val="4BF15B44"/>
    <w:rsid w:val="4C343A36"/>
    <w:rsid w:val="4C3622AC"/>
    <w:rsid w:val="4C3954F1"/>
    <w:rsid w:val="4C580E93"/>
    <w:rsid w:val="4C5B7215"/>
    <w:rsid w:val="4C6360CA"/>
    <w:rsid w:val="4C9D57C1"/>
    <w:rsid w:val="4D07739D"/>
    <w:rsid w:val="4D2D62B7"/>
    <w:rsid w:val="4D2E66D8"/>
    <w:rsid w:val="4D422183"/>
    <w:rsid w:val="4DA44BEC"/>
    <w:rsid w:val="4DB3745B"/>
    <w:rsid w:val="4DC36677"/>
    <w:rsid w:val="4DCF56C6"/>
    <w:rsid w:val="4E1551C1"/>
    <w:rsid w:val="4E195013"/>
    <w:rsid w:val="4E4D47D4"/>
    <w:rsid w:val="4E7B76FB"/>
    <w:rsid w:val="4E8D104F"/>
    <w:rsid w:val="4E9C58C3"/>
    <w:rsid w:val="4EAA4954"/>
    <w:rsid w:val="4ED4625D"/>
    <w:rsid w:val="4F351F9F"/>
    <w:rsid w:val="4F356A49"/>
    <w:rsid w:val="4F461CDA"/>
    <w:rsid w:val="4F8F7FCE"/>
    <w:rsid w:val="4FA14A19"/>
    <w:rsid w:val="4FC63EA7"/>
    <w:rsid w:val="4FC73367"/>
    <w:rsid w:val="4FDF1F0B"/>
    <w:rsid w:val="4FE53500"/>
    <w:rsid w:val="4FE94B38"/>
    <w:rsid w:val="4FFA4F97"/>
    <w:rsid w:val="4FFC2ABD"/>
    <w:rsid w:val="50124845"/>
    <w:rsid w:val="50463D38"/>
    <w:rsid w:val="50655A3D"/>
    <w:rsid w:val="516C3C72"/>
    <w:rsid w:val="51DA6E2E"/>
    <w:rsid w:val="520A63A8"/>
    <w:rsid w:val="52103DB0"/>
    <w:rsid w:val="522450A0"/>
    <w:rsid w:val="522462FB"/>
    <w:rsid w:val="522E2557"/>
    <w:rsid w:val="523302EC"/>
    <w:rsid w:val="52596B7F"/>
    <w:rsid w:val="526A1C3E"/>
    <w:rsid w:val="52A27877"/>
    <w:rsid w:val="52B8151F"/>
    <w:rsid w:val="52E53CDC"/>
    <w:rsid w:val="52E53D8C"/>
    <w:rsid w:val="52F7005F"/>
    <w:rsid w:val="52FC755B"/>
    <w:rsid w:val="531351CF"/>
    <w:rsid w:val="53204448"/>
    <w:rsid w:val="532E5F1B"/>
    <w:rsid w:val="532F31A9"/>
    <w:rsid w:val="537D5CC3"/>
    <w:rsid w:val="538F0A08"/>
    <w:rsid w:val="53963229"/>
    <w:rsid w:val="53B10062"/>
    <w:rsid w:val="53EF0371"/>
    <w:rsid w:val="541F6D7A"/>
    <w:rsid w:val="5430603C"/>
    <w:rsid w:val="54363E93"/>
    <w:rsid w:val="54437DC2"/>
    <w:rsid w:val="54774E08"/>
    <w:rsid w:val="54C17E31"/>
    <w:rsid w:val="556F5ADF"/>
    <w:rsid w:val="55857DA4"/>
    <w:rsid w:val="558735CD"/>
    <w:rsid w:val="5593243F"/>
    <w:rsid w:val="55A03EEB"/>
    <w:rsid w:val="56336B0D"/>
    <w:rsid w:val="56586573"/>
    <w:rsid w:val="565C6063"/>
    <w:rsid w:val="568138A7"/>
    <w:rsid w:val="568149F1"/>
    <w:rsid w:val="56982E14"/>
    <w:rsid w:val="56986D83"/>
    <w:rsid w:val="56BE0ACC"/>
    <w:rsid w:val="56D227CA"/>
    <w:rsid w:val="56E542AB"/>
    <w:rsid w:val="56FE06B1"/>
    <w:rsid w:val="571C1C97"/>
    <w:rsid w:val="57572CCF"/>
    <w:rsid w:val="57680A38"/>
    <w:rsid w:val="57763155"/>
    <w:rsid w:val="5790570A"/>
    <w:rsid w:val="57A777B2"/>
    <w:rsid w:val="57BD5121"/>
    <w:rsid w:val="57D83E10"/>
    <w:rsid w:val="57DF519E"/>
    <w:rsid w:val="57E9601D"/>
    <w:rsid w:val="580B7506"/>
    <w:rsid w:val="581B1F4E"/>
    <w:rsid w:val="58B32187"/>
    <w:rsid w:val="58DC6715"/>
    <w:rsid w:val="58E42340"/>
    <w:rsid w:val="58E97957"/>
    <w:rsid w:val="58EF1411"/>
    <w:rsid w:val="590E37BF"/>
    <w:rsid w:val="59103135"/>
    <w:rsid w:val="591A2206"/>
    <w:rsid w:val="59366277"/>
    <w:rsid w:val="59462FFB"/>
    <w:rsid w:val="594F0101"/>
    <w:rsid w:val="598977FF"/>
    <w:rsid w:val="599F5E5B"/>
    <w:rsid w:val="59A65848"/>
    <w:rsid w:val="59C3464B"/>
    <w:rsid w:val="59C41314"/>
    <w:rsid w:val="5A2E5F69"/>
    <w:rsid w:val="5A800CDE"/>
    <w:rsid w:val="5B150ED7"/>
    <w:rsid w:val="5B255F5F"/>
    <w:rsid w:val="5B3F5F54"/>
    <w:rsid w:val="5B5639C9"/>
    <w:rsid w:val="5B5B604A"/>
    <w:rsid w:val="5B602F18"/>
    <w:rsid w:val="5B721E85"/>
    <w:rsid w:val="5B7420A1"/>
    <w:rsid w:val="5B8D3163"/>
    <w:rsid w:val="5B8D58BA"/>
    <w:rsid w:val="5B94782C"/>
    <w:rsid w:val="5B9938B6"/>
    <w:rsid w:val="5BBC1EB4"/>
    <w:rsid w:val="5BDD6651"/>
    <w:rsid w:val="5BF718CB"/>
    <w:rsid w:val="5C313AEE"/>
    <w:rsid w:val="5C390F80"/>
    <w:rsid w:val="5C8408F0"/>
    <w:rsid w:val="5C942A61"/>
    <w:rsid w:val="5CC2508E"/>
    <w:rsid w:val="5CDC7EFE"/>
    <w:rsid w:val="5CE92DB9"/>
    <w:rsid w:val="5CEB6393"/>
    <w:rsid w:val="5CF95466"/>
    <w:rsid w:val="5D296C60"/>
    <w:rsid w:val="5D521F6E"/>
    <w:rsid w:val="5D543F38"/>
    <w:rsid w:val="5D902A97"/>
    <w:rsid w:val="5D963448"/>
    <w:rsid w:val="5DCA4203"/>
    <w:rsid w:val="5DE62EA0"/>
    <w:rsid w:val="5E02700E"/>
    <w:rsid w:val="5E2F22B0"/>
    <w:rsid w:val="5E6261E1"/>
    <w:rsid w:val="5EC1333C"/>
    <w:rsid w:val="5EDF3CD6"/>
    <w:rsid w:val="5EF157B7"/>
    <w:rsid w:val="5F36141C"/>
    <w:rsid w:val="5F5B17A4"/>
    <w:rsid w:val="5F5D047A"/>
    <w:rsid w:val="5F637DE4"/>
    <w:rsid w:val="5F6F0AA8"/>
    <w:rsid w:val="5F8B1768"/>
    <w:rsid w:val="5FBA4E58"/>
    <w:rsid w:val="5FE21ECC"/>
    <w:rsid w:val="5FF4730D"/>
    <w:rsid w:val="60681AA9"/>
    <w:rsid w:val="606E6033"/>
    <w:rsid w:val="608779E3"/>
    <w:rsid w:val="60A742CE"/>
    <w:rsid w:val="60CA4511"/>
    <w:rsid w:val="60D55390"/>
    <w:rsid w:val="60DD2497"/>
    <w:rsid w:val="610E0209"/>
    <w:rsid w:val="61251748"/>
    <w:rsid w:val="61502C69"/>
    <w:rsid w:val="616D6A24"/>
    <w:rsid w:val="61BC20AC"/>
    <w:rsid w:val="61CC48D5"/>
    <w:rsid w:val="61D45648"/>
    <w:rsid w:val="61DC62AA"/>
    <w:rsid w:val="620333D1"/>
    <w:rsid w:val="62274BFD"/>
    <w:rsid w:val="622C5484"/>
    <w:rsid w:val="622C7E73"/>
    <w:rsid w:val="626D784A"/>
    <w:rsid w:val="62B03276"/>
    <w:rsid w:val="62E573E1"/>
    <w:rsid w:val="63041F5D"/>
    <w:rsid w:val="63253C81"/>
    <w:rsid w:val="633B3275"/>
    <w:rsid w:val="639C2195"/>
    <w:rsid w:val="63A05E78"/>
    <w:rsid w:val="63AB062A"/>
    <w:rsid w:val="63ED479F"/>
    <w:rsid w:val="6445282D"/>
    <w:rsid w:val="64515C6F"/>
    <w:rsid w:val="648A6492"/>
    <w:rsid w:val="64947310"/>
    <w:rsid w:val="64A137DB"/>
    <w:rsid w:val="64B4350F"/>
    <w:rsid w:val="64D54FB3"/>
    <w:rsid w:val="653C2B25"/>
    <w:rsid w:val="654463A7"/>
    <w:rsid w:val="65B77D42"/>
    <w:rsid w:val="65D1387D"/>
    <w:rsid w:val="65DA51F7"/>
    <w:rsid w:val="662B15AE"/>
    <w:rsid w:val="662D10E9"/>
    <w:rsid w:val="66596AA3"/>
    <w:rsid w:val="66805D9E"/>
    <w:rsid w:val="66BD69BA"/>
    <w:rsid w:val="66BE1B7B"/>
    <w:rsid w:val="66D41C46"/>
    <w:rsid w:val="66D71736"/>
    <w:rsid w:val="66DB2FD4"/>
    <w:rsid w:val="66E520A5"/>
    <w:rsid w:val="66E55C01"/>
    <w:rsid w:val="67326333"/>
    <w:rsid w:val="677B47B7"/>
    <w:rsid w:val="67C0681E"/>
    <w:rsid w:val="67E20393"/>
    <w:rsid w:val="67FE2BEB"/>
    <w:rsid w:val="68336E40"/>
    <w:rsid w:val="683E1DE5"/>
    <w:rsid w:val="687E0B9C"/>
    <w:rsid w:val="68824666"/>
    <w:rsid w:val="688B44B8"/>
    <w:rsid w:val="68A815DC"/>
    <w:rsid w:val="68AD274F"/>
    <w:rsid w:val="68CB7079"/>
    <w:rsid w:val="68E57D0D"/>
    <w:rsid w:val="691E189E"/>
    <w:rsid w:val="6924674A"/>
    <w:rsid w:val="695D5F23"/>
    <w:rsid w:val="69670B4F"/>
    <w:rsid w:val="69BE2739"/>
    <w:rsid w:val="69EB7C1A"/>
    <w:rsid w:val="69F148BD"/>
    <w:rsid w:val="6A425119"/>
    <w:rsid w:val="6A7A2B04"/>
    <w:rsid w:val="6AA858C3"/>
    <w:rsid w:val="6AAD6A36"/>
    <w:rsid w:val="6AEA7C8A"/>
    <w:rsid w:val="6AF83EA2"/>
    <w:rsid w:val="6B3727A3"/>
    <w:rsid w:val="6B9145AA"/>
    <w:rsid w:val="6BAE515B"/>
    <w:rsid w:val="6BB0255D"/>
    <w:rsid w:val="6BC13F92"/>
    <w:rsid w:val="6BE75F78"/>
    <w:rsid w:val="6C1B3E73"/>
    <w:rsid w:val="6C7A6DEC"/>
    <w:rsid w:val="6CA03AF2"/>
    <w:rsid w:val="6CA200F0"/>
    <w:rsid w:val="6CA976D1"/>
    <w:rsid w:val="6CBA696B"/>
    <w:rsid w:val="6CE4695B"/>
    <w:rsid w:val="6CFE7A1D"/>
    <w:rsid w:val="6D0D1A0E"/>
    <w:rsid w:val="6D1758B3"/>
    <w:rsid w:val="6D1B05CF"/>
    <w:rsid w:val="6D1F7776"/>
    <w:rsid w:val="6DA63F32"/>
    <w:rsid w:val="6DDA15E5"/>
    <w:rsid w:val="6E4B4EE4"/>
    <w:rsid w:val="6E587601"/>
    <w:rsid w:val="6E970129"/>
    <w:rsid w:val="6EA26E55"/>
    <w:rsid w:val="6ECD3B4B"/>
    <w:rsid w:val="6EFE1F56"/>
    <w:rsid w:val="6F152DFC"/>
    <w:rsid w:val="6F4162E7"/>
    <w:rsid w:val="6F7B5355"/>
    <w:rsid w:val="6FC22F83"/>
    <w:rsid w:val="6FC565D0"/>
    <w:rsid w:val="702A509F"/>
    <w:rsid w:val="703D47DA"/>
    <w:rsid w:val="709976F3"/>
    <w:rsid w:val="70F03B20"/>
    <w:rsid w:val="712438AC"/>
    <w:rsid w:val="7141437C"/>
    <w:rsid w:val="71924BD7"/>
    <w:rsid w:val="71956476"/>
    <w:rsid w:val="71AD1A11"/>
    <w:rsid w:val="71E116BB"/>
    <w:rsid w:val="72053AAD"/>
    <w:rsid w:val="72227D09"/>
    <w:rsid w:val="72514A93"/>
    <w:rsid w:val="729B7ABC"/>
    <w:rsid w:val="72AF5315"/>
    <w:rsid w:val="72DD00D4"/>
    <w:rsid w:val="73165394"/>
    <w:rsid w:val="732D105C"/>
    <w:rsid w:val="73337CF4"/>
    <w:rsid w:val="733D49C7"/>
    <w:rsid w:val="73530396"/>
    <w:rsid w:val="737A0D81"/>
    <w:rsid w:val="73AA445A"/>
    <w:rsid w:val="74067EDA"/>
    <w:rsid w:val="74281823"/>
    <w:rsid w:val="74313C09"/>
    <w:rsid w:val="7447629F"/>
    <w:rsid w:val="744F6DB0"/>
    <w:rsid w:val="746D009F"/>
    <w:rsid w:val="748239A7"/>
    <w:rsid w:val="74836A59"/>
    <w:rsid w:val="74D80B53"/>
    <w:rsid w:val="75226272"/>
    <w:rsid w:val="754E7067"/>
    <w:rsid w:val="755C229D"/>
    <w:rsid w:val="757958F5"/>
    <w:rsid w:val="758777E0"/>
    <w:rsid w:val="75A73486"/>
    <w:rsid w:val="75F75951"/>
    <w:rsid w:val="760A5EC1"/>
    <w:rsid w:val="76170F54"/>
    <w:rsid w:val="762767A0"/>
    <w:rsid w:val="764A782F"/>
    <w:rsid w:val="76A827A7"/>
    <w:rsid w:val="76B92C06"/>
    <w:rsid w:val="77053757"/>
    <w:rsid w:val="77163BB5"/>
    <w:rsid w:val="774626EC"/>
    <w:rsid w:val="776E39F1"/>
    <w:rsid w:val="777170E0"/>
    <w:rsid w:val="77B0518B"/>
    <w:rsid w:val="77B05DB7"/>
    <w:rsid w:val="77EB6DF0"/>
    <w:rsid w:val="77F730CE"/>
    <w:rsid w:val="77F9523C"/>
    <w:rsid w:val="78206C22"/>
    <w:rsid w:val="78511348"/>
    <w:rsid w:val="787D213D"/>
    <w:rsid w:val="790463BB"/>
    <w:rsid w:val="791D777C"/>
    <w:rsid w:val="792702FB"/>
    <w:rsid w:val="79501600"/>
    <w:rsid w:val="79892D64"/>
    <w:rsid w:val="79915775"/>
    <w:rsid w:val="79C70B90"/>
    <w:rsid w:val="79C83BB5"/>
    <w:rsid w:val="79ED6E4F"/>
    <w:rsid w:val="7A044199"/>
    <w:rsid w:val="7A57076C"/>
    <w:rsid w:val="7A833F39"/>
    <w:rsid w:val="7A8A0B42"/>
    <w:rsid w:val="7B1228E5"/>
    <w:rsid w:val="7B2416CC"/>
    <w:rsid w:val="7B38059E"/>
    <w:rsid w:val="7BC81F33"/>
    <w:rsid w:val="7C224DAA"/>
    <w:rsid w:val="7C613B24"/>
    <w:rsid w:val="7C80044E"/>
    <w:rsid w:val="7C9061B7"/>
    <w:rsid w:val="7C9E08D4"/>
    <w:rsid w:val="7CC620C0"/>
    <w:rsid w:val="7CDA1AC5"/>
    <w:rsid w:val="7CF5799B"/>
    <w:rsid w:val="7D004B75"/>
    <w:rsid w:val="7D11554A"/>
    <w:rsid w:val="7D140B97"/>
    <w:rsid w:val="7D3B6123"/>
    <w:rsid w:val="7D7D673C"/>
    <w:rsid w:val="7D893333"/>
    <w:rsid w:val="7D913F95"/>
    <w:rsid w:val="7DA61EFA"/>
    <w:rsid w:val="7DD00F61"/>
    <w:rsid w:val="7DD520D4"/>
    <w:rsid w:val="7E0B7FE8"/>
    <w:rsid w:val="7E4A299F"/>
    <w:rsid w:val="7E4C610E"/>
    <w:rsid w:val="7E9C1E67"/>
    <w:rsid w:val="7E9C7095"/>
    <w:rsid w:val="7EA5419C"/>
    <w:rsid w:val="7EA667AD"/>
    <w:rsid w:val="7EC108AA"/>
    <w:rsid w:val="7ECB1729"/>
    <w:rsid w:val="7ED56104"/>
    <w:rsid w:val="7EDC1B88"/>
    <w:rsid w:val="7EE10F4C"/>
    <w:rsid w:val="7F1B558F"/>
    <w:rsid w:val="7F4376B2"/>
    <w:rsid w:val="7F65392B"/>
    <w:rsid w:val="7F663304"/>
    <w:rsid w:val="7F7818B1"/>
    <w:rsid w:val="7FAC50B6"/>
    <w:rsid w:val="7FB81CAD"/>
    <w:rsid w:val="7FB87EFF"/>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afterLines="100"/>
      <w:jc w:val="center"/>
      <w:outlineLvl w:val="0"/>
    </w:pPr>
    <w:rPr>
      <w:rFonts w:asciiTheme="minorEastAsia" w:hAnsiTheme="minorEastAsia"/>
      <w:b/>
      <w:spacing w:val="2"/>
      <w:sz w:val="32"/>
      <w:szCs w:val="44"/>
    </w:rPr>
  </w:style>
  <w:style w:type="paragraph" w:styleId="3">
    <w:name w:val="heading 2"/>
    <w:basedOn w:val="1"/>
    <w:next w:val="1"/>
    <w:qFormat/>
    <w:uiPriority w:val="9"/>
    <w:pPr>
      <w:spacing w:beforeLines="50" w:afterLines="50"/>
      <w:outlineLvl w:val="1"/>
    </w:pPr>
    <w:rPr>
      <w:b/>
      <w:sz w:val="24"/>
      <w:szCs w:val="32"/>
    </w:rPr>
  </w:style>
  <w:style w:type="paragraph" w:styleId="4">
    <w:name w:val="heading 3"/>
    <w:basedOn w:val="1"/>
    <w:next w:val="5"/>
    <w:link w:val="52"/>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53"/>
    <w:qFormat/>
    <w:uiPriority w:val="9"/>
    <w:pPr>
      <w:keepNext/>
      <w:jc w:val="center"/>
      <w:outlineLvl w:val="3"/>
    </w:pPr>
    <w:rPr>
      <w:rFonts w:eastAsia="新宋体"/>
      <w:kern w:val="0"/>
      <w:sz w:val="30"/>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before="100" w:beforeAutospacing="1" w:line="440" w:lineRule="exact"/>
      <w:ind w:left="301" w:right="454" w:firstLine="459"/>
      <w:jc w:val="left"/>
    </w:pPr>
    <w:rPr>
      <w:rFonts w:ascii="宋体" w:hAnsi="宋体" w:cs="宋体"/>
      <w:sz w:val="22"/>
      <w:szCs w:val="22"/>
    </w:rPr>
  </w:style>
  <w:style w:type="paragraph" w:styleId="7">
    <w:name w:val="List Number 2"/>
    <w:basedOn w:val="1"/>
    <w:unhideWhenUsed/>
    <w:qFormat/>
    <w:uiPriority w:val="0"/>
    <w:pPr>
      <w:widowControl/>
      <w:numPr>
        <w:ilvl w:val="0"/>
        <w:numId w:val="1"/>
      </w:numPr>
      <w:tabs>
        <w:tab w:val="left" w:pos="360"/>
        <w:tab w:val="clear" w:pos="720"/>
      </w:tabs>
      <w:autoSpaceDN w:val="0"/>
      <w:spacing w:before="120" w:after="120"/>
      <w:ind w:left="0" w:firstLine="0"/>
    </w:pPr>
    <w:rPr>
      <w:rFonts w:ascii="Futura Lt BT" w:hAnsi="Futura Lt BT" w:eastAsia="等线"/>
      <w:spacing w:val="-6"/>
      <w:kern w:val="0"/>
      <w:sz w:val="20"/>
      <w:lang w:val="en-CA" w:eastAsia="en-US"/>
    </w:rPr>
  </w:style>
  <w:style w:type="paragraph" w:styleId="8">
    <w:name w:val="Normal Indent"/>
    <w:basedOn w:val="1"/>
    <w:qFormat/>
    <w:uiPriority w:val="0"/>
    <w:pPr>
      <w:ind w:firstLine="420"/>
    </w:pPr>
    <w:rPr>
      <w:kern w:val="0"/>
      <w:sz w:val="20"/>
      <w:szCs w:val="20"/>
    </w:rPr>
  </w:style>
  <w:style w:type="paragraph" w:styleId="9">
    <w:name w:val="index 5"/>
    <w:basedOn w:val="1"/>
    <w:next w:val="1"/>
    <w:qFormat/>
    <w:uiPriority w:val="0"/>
    <w:pPr>
      <w:ind w:left="800" w:leftChars="800"/>
    </w:pPr>
  </w:style>
  <w:style w:type="paragraph" w:styleId="10">
    <w:name w:val="annotation text"/>
    <w:basedOn w:val="1"/>
    <w:link w:val="71"/>
    <w:qFormat/>
    <w:uiPriority w:val="0"/>
    <w:pPr>
      <w:jc w:val="left"/>
    </w:pPr>
  </w:style>
  <w:style w:type="paragraph" w:styleId="11">
    <w:name w:val="Body Text Indent"/>
    <w:basedOn w:val="1"/>
    <w:next w:val="12"/>
    <w:qFormat/>
    <w:uiPriority w:val="0"/>
    <w:pPr>
      <w:ind w:left="765"/>
    </w:pPr>
    <w:rPr>
      <w:rFonts w:ascii="仿宋_GB2312" w:eastAsia="仿宋_GB2312"/>
      <w:kern w:val="0"/>
      <w:sz w:val="28"/>
      <w:szCs w:val="20"/>
    </w:rPr>
  </w:style>
  <w:style w:type="paragraph" w:styleId="12">
    <w:name w:val="envelope return"/>
    <w:basedOn w:val="1"/>
    <w:unhideWhenUsed/>
    <w:qFormat/>
    <w:uiPriority w:val="99"/>
    <w:pPr>
      <w:snapToGrid w:val="0"/>
    </w:pPr>
    <w:rPr>
      <w:rFonts w:ascii="Arial" w:hAnsi="Arial"/>
    </w:rPr>
  </w:style>
  <w:style w:type="paragraph" w:styleId="13">
    <w:name w:val="Block Text"/>
    <w:basedOn w:val="1"/>
    <w:next w:val="1"/>
    <w:qFormat/>
    <w:uiPriority w:val="0"/>
    <w:pPr>
      <w:spacing w:line="360" w:lineRule="auto"/>
      <w:ind w:right="210" w:firstLine="560"/>
    </w:pPr>
    <w:rPr>
      <w:rFonts w:ascii="宋体" w:hAnsi="宋体" w:cs="宋体"/>
      <w:color w:val="000000"/>
      <w:kern w:val="0"/>
      <w:sz w:val="24"/>
      <w:szCs w:val="20"/>
    </w:rPr>
  </w:style>
  <w:style w:type="paragraph" w:styleId="14">
    <w:name w:val="Balloon Text"/>
    <w:basedOn w:val="1"/>
    <w:link w:val="58"/>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15">
    <w:name w:val="footer"/>
    <w:basedOn w:val="1"/>
    <w:link w:val="57"/>
    <w:qFormat/>
    <w:uiPriority w:val="99"/>
    <w:pPr>
      <w:tabs>
        <w:tab w:val="center" w:pos="4153"/>
        <w:tab w:val="right" w:pos="8306"/>
      </w:tabs>
      <w:snapToGrid w:val="0"/>
      <w:jc w:val="left"/>
    </w:pPr>
    <w:rPr>
      <w:sz w:val="18"/>
    </w:rPr>
  </w:style>
  <w:style w:type="paragraph" w:styleId="16">
    <w:name w:val="header"/>
    <w:basedOn w:val="1"/>
    <w:link w:val="5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List"/>
    <w:basedOn w:val="1"/>
    <w:qFormat/>
    <w:uiPriority w:val="99"/>
    <w:pPr>
      <w:ind w:left="200" w:hanging="200" w:hangingChars="200"/>
    </w:pPr>
  </w:style>
  <w:style w:type="paragraph" w:styleId="18">
    <w:name w:val="footnote text"/>
    <w:basedOn w:val="1"/>
    <w:next w:val="9"/>
    <w:qFormat/>
    <w:uiPriority w:val="0"/>
    <w:pPr>
      <w:adjustRightInd w:val="0"/>
      <w:spacing w:line="312" w:lineRule="atLeast"/>
      <w:jc w:val="left"/>
      <w:textAlignment w:val="baseline"/>
    </w:pPr>
    <w:rPr>
      <w:sz w:val="18"/>
    </w:rPr>
  </w:style>
  <w:style w:type="paragraph" w:styleId="19">
    <w:name w:val="annotation subject"/>
    <w:basedOn w:val="10"/>
    <w:next w:val="10"/>
    <w:link w:val="72"/>
    <w:qFormat/>
    <w:uiPriority w:val="0"/>
    <w:rPr>
      <w:b/>
      <w:bCs/>
    </w:rPr>
  </w:style>
  <w:style w:type="paragraph" w:styleId="20">
    <w:name w:val="Body Text First Indent"/>
    <w:basedOn w:val="5"/>
    <w:qFormat/>
    <w:uiPriority w:val="0"/>
    <w:pPr>
      <w:adjustRightInd w:val="0"/>
      <w:spacing w:line="360" w:lineRule="auto"/>
      <w:ind w:right="-24" w:rightChars="-10" w:firstLine="425" w:firstLineChars="225"/>
    </w:pPr>
    <w:rPr>
      <w:rFonts w:ascii="Arial" w:cs="Arial"/>
      <w:szCs w:val="32"/>
    </w:rPr>
  </w:style>
  <w:style w:type="paragraph" w:styleId="21">
    <w:name w:val="Body Text First Indent 2"/>
    <w:basedOn w:val="11"/>
    <w:next w:val="20"/>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qFormat/>
    <w:uiPriority w:val="0"/>
    <w:rPr>
      <w:color w:val="800080"/>
      <w:u w:val="none"/>
    </w:rPr>
  </w:style>
  <w:style w:type="character" w:styleId="27">
    <w:name w:val="Emphasis"/>
    <w:basedOn w:val="24"/>
    <w:qFormat/>
    <w:uiPriority w:val="20"/>
    <w:rPr>
      <w:b/>
      <w:bCs/>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18"/>
      <w:szCs w:val="18"/>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0"/>
    <w:rPr>
      <w:color w:val="0000FF"/>
      <w:u w:val="none"/>
    </w:rPr>
  </w:style>
  <w:style w:type="character" w:styleId="33">
    <w:name w:val="HTML Code"/>
    <w:basedOn w:val="24"/>
    <w:qFormat/>
    <w:uiPriority w:val="0"/>
    <w:rPr>
      <w:rFonts w:ascii="monospace" w:hAnsi="monospace" w:eastAsia="monospace" w:cs="monospace"/>
      <w:sz w:val="20"/>
    </w:rPr>
  </w:style>
  <w:style w:type="character" w:styleId="34">
    <w:name w:val="annotation reference"/>
    <w:basedOn w:val="24"/>
    <w:qFormat/>
    <w:uiPriority w:val="0"/>
    <w:rPr>
      <w:sz w:val="21"/>
      <w:szCs w:val="21"/>
    </w:rPr>
  </w:style>
  <w:style w:type="character" w:styleId="35">
    <w:name w:val="HTML Cite"/>
    <w:basedOn w:val="24"/>
    <w:qFormat/>
    <w:uiPriority w:val="0"/>
  </w:style>
  <w:style w:type="character" w:styleId="36">
    <w:name w:val="HTML Keyboard"/>
    <w:basedOn w:val="24"/>
    <w:qFormat/>
    <w:uiPriority w:val="0"/>
    <w:rPr>
      <w:rFonts w:hint="default" w:ascii="monospace" w:hAnsi="monospace" w:eastAsia="monospace" w:cs="monospace"/>
      <w:sz w:val="20"/>
    </w:rPr>
  </w:style>
  <w:style w:type="character" w:styleId="37">
    <w:name w:val="HTML Sample"/>
    <w:basedOn w:val="24"/>
    <w:qFormat/>
    <w:uiPriority w:val="0"/>
    <w:rPr>
      <w:rFonts w:hint="default" w:ascii="monospace" w:hAnsi="monospace" w:eastAsia="monospace" w:cs="monospace"/>
    </w:rPr>
  </w:style>
  <w:style w:type="paragraph" w:customStyle="1" w:styleId="3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39">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41">
    <w:name w:val="正文缩进2格"/>
    <w:basedOn w:val="1"/>
    <w:link w:val="61"/>
    <w:qFormat/>
    <w:uiPriority w:val="0"/>
    <w:pPr>
      <w:spacing w:line="600" w:lineRule="exact"/>
      <w:ind w:firstLine="639" w:firstLineChars="206"/>
    </w:pPr>
    <w:rPr>
      <w:rFonts w:ascii="仿宋_GB2312" w:hAnsi="宋体" w:eastAsia="仿宋_GB2312"/>
      <w:kern w:val="0"/>
      <w:sz w:val="31"/>
      <w:szCs w:val="28"/>
    </w:rPr>
  </w:style>
  <w:style w:type="character" w:customStyle="1" w:styleId="42">
    <w:name w:val="NormalCharacter"/>
    <w:semiHidden/>
    <w:qFormat/>
    <w:uiPriority w:val="0"/>
  </w:style>
  <w:style w:type="paragraph" w:styleId="43">
    <w:name w:val="List Paragraph"/>
    <w:basedOn w:val="1"/>
    <w:qFormat/>
    <w:uiPriority w:val="99"/>
    <w:pPr>
      <w:ind w:firstLine="420" w:firstLineChars="200"/>
    </w:pPr>
    <w:rPr>
      <w:kern w:val="0"/>
      <w:sz w:val="20"/>
      <w:szCs w:val="20"/>
    </w:rPr>
  </w:style>
  <w:style w:type="paragraph" w:customStyle="1" w:styleId="44">
    <w:name w:val="HtmlNormal"/>
    <w:basedOn w:val="1"/>
    <w:qFormat/>
    <w:uiPriority w:val="0"/>
    <w:pPr>
      <w:jc w:val="left"/>
    </w:pPr>
    <w:rPr>
      <w:kern w:val="0"/>
      <w:sz w:val="24"/>
    </w:rPr>
  </w:style>
  <w:style w:type="paragraph" w:customStyle="1" w:styleId="45">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6">
    <w:name w:val="Heading #1|1"/>
    <w:basedOn w:val="1"/>
    <w:qFormat/>
    <w:uiPriority w:val="0"/>
    <w:pPr>
      <w:spacing w:after="1100"/>
      <w:jc w:val="center"/>
      <w:outlineLvl w:val="0"/>
    </w:pPr>
    <w:rPr>
      <w:rFonts w:ascii="宋体" w:hAnsi="宋体" w:cs="宋体"/>
      <w:sz w:val="36"/>
      <w:szCs w:val="36"/>
      <w:lang w:val="zh-TW" w:eastAsia="zh-TW" w:bidi="zh-TW"/>
    </w:rPr>
  </w:style>
  <w:style w:type="paragraph" w:customStyle="1" w:styleId="47">
    <w:name w:val="Body text|3"/>
    <w:basedOn w:val="1"/>
    <w:qFormat/>
    <w:uiPriority w:val="0"/>
    <w:pPr>
      <w:spacing w:after="180" w:line="515" w:lineRule="exact"/>
      <w:ind w:firstLine="500"/>
    </w:pPr>
    <w:rPr>
      <w:rFonts w:ascii="宋体" w:hAnsi="宋体" w:cs="宋体"/>
      <w:lang w:val="zh-TW" w:eastAsia="zh-TW" w:bidi="zh-TW"/>
    </w:rPr>
  </w:style>
  <w:style w:type="character" w:customStyle="1" w:styleId="48">
    <w:name w:val="Body text|2_"/>
    <w:basedOn w:val="24"/>
    <w:link w:val="49"/>
    <w:qFormat/>
    <w:uiPriority w:val="0"/>
    <w:rPr>
      <w:sz w:val="20"/>
      <w:szCs w:val="20"/>
    </w:rPr>
  </w:style>
  <w:style w:type="paragraph" w:customStyle="1" w:styleId="49">
    <w:name w:val="Body text|2"/>
    <w:basedOn w:val="1"/>
    <w:link w:val="48"/>
    <w:qFormat/>
    <w:uiPriority w:val="0"/>
    <w:pPr>
      <w:spacing w:after="480"/>
    </w:pPr>
    <w:rPr>
      <w:sz w:val="20"/>
      <w:szCs w:val="20"/>
    </w:rPr>
  </w:style>
  <w:style w:type="paragraph" w:customStyle="1" w:styleId="50">
    <w:name w:val="Other|1"/>
    <w:basedOn w:val="1"/>
    <w:qFormat/>
    <w:uiPriority w:val="0"/>
    <w:pPr>
      <w:spacing w:line="413" w:lineRule="auto"/>
      <w:ind w:firstLine="400"/>
      <w:jc w:val="left"/>
    </w:pPr>
    <w:rPr>
      <w:rFonts w:ascii="宋体" w:hAnsi="宋体" w:cs="宋体"/>
      <w:kern w:val="0"/>
      <w:sz w:val="19"/>
      <w:szCs w:val="19"/>
      <w:lang w:val="zh-TW" w:eastAsia="zh-TW" w:bidi="zh-TW"/>
    </w:rPr>
  </w:style>
  <w:style w:type="paragraph" w:customStyle="1" w:styleId="51">
    <w:name w:val="Body text|1"/>
    <w:basedOn w:val="1"/>
    <w:qFormat/>
    <w:uiPriority w:val="0"/>
    <w:pPr>
      <w:spacing w:line="413" w:lineRule="auto"/>
      <w:ind w:firstLine="400"/>
      <w:jc w:val="left"/>
    </w:pPr>
    <w:rPr>
      <w:rFonts w:ascii="宋体" w:hAnsi="宋体" w:cs="宋体"/>
      <w:kern w:val="0"/>
      <w:sz w:val="19"/>
      <w:szCs w:val="19"/>
      <w:lang w:val="zh-TW" w:eastAsia="zh-TW" w:bidi="zh-TW"/>
    </w:rPr>
  </w:style>
  <w:style w:type="character" w:customStyle="1" w:styleId="52">
    <w:name w:val="标题 3 Char"/>
    <w:basedOn w:val="24"/>
    <w:link w:val="4"/>
    <w:qFormat/>
    <w:uiPriority w:val="0"/>
    <w:rPr>
      <w:rFonts w:ascii="Times New Roman" w:hAnsi="Times New Roman" w:eastAsia="宋体" w:cs="Times New Roman"/>
      <w:b/>
      <w:bCs/>
      <w:sz w:val="32"/>
      <w:szCs w:val="32"/>
    </w:rPr>
  </w:style>
  <w:style w:type="character" w:customStyle="1" w:styleId="53">
    <w:name w:val="标题 4 Char"/>
    <w:basedOn w:val="24"/>
    <w:link w:val="6"/>
    <w:qFormat/>
    <w:uiPriority w:val="9"/>
    <w:rPr>
      <w:rFonts w:ascii="Times New Roman" w:hAnsi="Times New Roman" w:eastAsia="新宋体" w:cs="Times New Roman"/>
      <w:sz w:val="30"/>
      <w:szCs w:val="21"/>
    </w:rPr>
  </w:style>
  <w:style w:type="table" w:customStyle="1" w:styleId="54">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5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character" w:customStyle="1" w:styleId="56">
    <w:name w:val="页眉 Char"/>
    <w:basedOn w:val="24"/>
    <w:link w:val="16"/>
    <w:qFormat/>
    <w:uiPriority w:val="0"/>
    <w:rPr>
      <w:rFonts w:ascii="Times New Roman" w:hAnsi="Times New Roman" w:eastAsia="宋体" w:cs="Times New Roman"/>
      <w:kern w:val="2"/>
      <w:sz w:val="18"/>
      <w:szCs w:val="24"/>
    </w:rPr>
  </w:style>
  <w:style w:type="character" w:customStyle="1" w:styleId="57">
    <w:name w:val="页脚 Char"/>
    <w:basedOn w:val="24"/>
    <w:link w:val="15"/>
    <w:qFormat/>
    <w:uiPriority w:val="0"/>
    <w:rPr>
      <w:rFonts w:ascii="Times New Roman" w:hAnsi="Times New Roman" w:eastAsia="宋体" w:cs="Times New Roman"/>
      <w:kern w:val="2"/>
      <w:sz w:val="18"/>
      <w:szCs w:val="24"/>
    </w:rPr>
  </w:style>
  <w:style w:type="character" w:customStyle="1" w:styleId="58">
    <w:name w:val="批注框文本 Char"/>
    <w:basedOn w:val="24"/>
    <w:link w:val="14"/>
    <w:qFormat/>
    <w:uiPriority w:val="0"/>
    <w:rPr>
      <w:rFonts w:ascii="Arial" w:hAnsi="Arial" w:eastAsia="Arial" w:cs="Arial"/>
      <w:snapToGrid w:val="0"/>
      <w:color w:val="000000"/>
      <w:sz w:val="18"/>
      <w:szCs w:val="18"/>
      <w:lang w:eastAsia="en-US"/>
    </w:rPr>
  </w:style>
  <w:style w:type="character" w:customStyle="1" w:styleId="59">
    <w:name w:val="普通正文 Char"/>
    <w:link w:val="60"/>
    <w:qFormat/>
    <w:uiPriority w:val="0"/>
    <w:rPr>
      <w:rFonts w:ascii="Arial" w:hAnsi="Arial"/>
      <w:sz w:val="24"/>
      <w:szCs w:val="24"/>
    </w:rPr>
  </w:style>
  <w:style w:type="paragraph" w:customStyle="1" w:styleId="60">
    <w:name w:val="普通正文"/>
    <w:basedOn w:val="1"/>
    <w:link w:val="59"/>
    <w:qFormat/>
    <w:uiPriority w:val="0"/>
    <w:pPr>
      <w:adjustRightInd w:val="0"/>
      <w:spacing w:before="120" w:after="120" w:line="360" w:lineRule="auto"/>
      <w:ind w:left="-2" w:right="120" w:firstLine="480"/>
      <w:jc w:val="center"/>
      <w:textAlignment w:val="baseline"/>
    </w:pPr>
    <w:rPr>
      <w:rFonts w:ascii="Arial" w:hAnsi="Arial" w:eastAsiaTheme="minorEastAsia" w:cstheme="minorBidi"/>
      <w:kern w:val="0"/>
      <w:sz w:val="24"/>
    </w:rPr>
  </w:style>
  <w:style w:type="character" w:customStyle="1" w:styleId="61">
    <w:name w:val="正文缩进2格 Char"/>
    <w:link w:val="41"/>
    <w:qFormat/>
    <w:uiPriority w:val="0"/>
    <w:rPr>
      <w:rFonts w:ascii="仿宋_GB2312" w:hAnsi="宋体" w:eastAsia="仿宋_GB2312" w:cs="Times New Roman"/>
      <w:sz w:val="31"/>
      <w:szCs w:val="28"/>
    </w:rPr>
  </w:style>
  <w:style w:type="character" w:customStyle="1" w:styleId="62">
    <w:name w:val="font01"/>
    <w:basedOn w:val="24"/>
    <w:qFormat/>
    <w:uiPriority w:val="0"/>
    <w:rPr>
      <w:rFonts w:hint="eastAsia" w:ascii="宋体" w:hAnsi="宋体" w:eastAsia="宋体" w:cs="宋体"/>
      <w:b/>
      <w:color w:val="000000"/>
      <w:sz w:val="23"/>
      <w:szCs w:val="23"/>
      <w:u w:val="none"/>
    </w:rPr>
  </w:style>
  <w:style w:type="character" w:customStyle="1" w:styleId="63">
    <w:name w:val="font31"/>
    <w:basedOn w:val="24"/>
    <w:qFormat/>
    <w:uiPriority w:val="0"/>
    <w:rPr>
      <w:rFonts w:hint="eastAsia" w:ascii="宋体" w:hAnsi="宋体" w:eastAsia="宋体" w:cs="宋体"/>
      <w:b/>
      <w:color w:val="0D0D0D"/>
      <w:sz w:val="21"/>
      <w:szCs w:val="21"/>
      <w:u w:val="none"/>
    </w:rPr>
  </w:style>
  <w:style w:type="character" w:customStyle="1" w:styleId="64">
    <w:name w:val="font11"/>
    <w:basedOn w:val="24"/>
    <w:qFormat/>
    <w:uiPriority w:val="0"/>
    <w:rPr>
      <w:rFonts w:hint="eastAsia" w:ascii="宋体" w:hAnsi="宋体" w:eastAsia="宋体" w:cs="宋体"/>
      <w:color w:val="FF0000"/>
      <w:sz w:val="22"/>
      <w:szCs w:val="22"/>
      <w:u w:val="none"/>
    </w:rPr>
  </w:style>
  <w:style w:type="character" w:customStyle="1" w:styleId="65">
    <w:name w:val="layui-this"/>
    <w:basedOn w:val="24"/>
    <w:qFormat/>
    <w:uiPriority w:val="0"/>
    <w:rPr>
      <w:bdr w:val="single" w:color="EEEEEE" w:sz="6" w:space="0"/>
      <w:shd w:val="clear" w:color="auto" w:fill="FFFFFF"/>
    </w:rPr>
  </w:style>
  <w:style w:type="character" w:customStyle="1" w:styleId="66">
    <w:name w:val="first-child"/>
    <w:basedOn w:val="24"/>
    <w:qFormat/>
    <w:uiPriority w:val="0"/>
  </w:style>
  <w:style w:type="character" w:customStyle="1" w:styleId="67">
    <w:name w:val="hover3"/>
    <w:basedOn w:val="24"/>
    <w:qFormat/>
    <w:uiPriority w:val="0"/>
    <w:rPr>
      <w:color w:val="5FB878"/>
    </w:rPr>
  </w:style>
  <w:style w:type="character" w:customStyle="1" w:styleId="68">
    <w:name w:val="hover4"/>
    <w:basedOn w:val="24"/>
    <w:qFormat/>
    <w:uiPriority w:val="0"/>
    <w:rPr>
      <w:color w:val="5FB878"/>
    </w:rPr>
  </w:style>
  <w:style w:type="character" w:customStyle="1" w:styleId="69">
    <w:name w:val="hover5"/>
    <w:basedOn w:val="24"/>
    <w:qFormat/>
    <w:uiPriority w:val="0"/>
    <w:rPr>
      <w:color w:val="FFFFFF"/>
    </w:rPr>
  </w:style>
  <w:style w:type="paragraph" w:customStyle="1" w:styleId="70">
    <w:name w:val="二级目录"/>
    <w:next w:val="1"/>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character" w:customStyle="1" w:styleId="71">
    <w:name w:val="批注文字 Char"/>
    <w:basedOn w:val="24"/>
    <w:link w:val="10"/>
    <w:qFormat/>
    <w:uiPriority w:val="0"/>
    <w:rPr>
      <w:kern w:val="2"/>
      <w:sz w:val="21"/>
      <w:szCs w:val="24"/>
    </w:rPr>
  </w:style>
  <w:style w:type="character" w:customStyle="1" w:styleId="72">
    <w:name w:val="批注主题 Char"/>
    <w:basedOn w:val="71"/>
    <w:link w:val="19"/>
    <w:qFormat/>
    <w:uiPriority w:val="0"/>
    <w:rPr>
      <w:kern w:val="2"/>
      <w:sz w:val="21"/>
      <w:szCs w:val="24"/>
    </w:rPr>
  </w:style>
  <w:style w:type="paragraph" w:customStyle="1" w:styleId="73">
    <w:name w:val="样式 标题 1 + 宋体 段前: 0 磅 段后: 0 磅 行距: 单倍行距"/>
    <w:basedOn w:val="2"/>
    <w:next w:val="1"/>
    <w:qFormat/>
    <w:uiPriority w:val="0"/>
    <w:pPr>
      <w:keepNext/>
      <w:keepLines/>
      <w:spacing w:beforeLines="100"/>
    </w:pPr>
    <w:rPr>
      <w:rFonts w:ascii="仿宋_GB2312" w:hAnsi="宋体" w:eastAsia="仿宋_GB2312" w:cs="宋体"/>
      <w:bCs/>
      <w:spacing w:val="0"/>
      <w:kern w:val="44"/>
      <w:sz w:val="44"/>
    </w:rPr>
  </w:style>
  <w:style w:type="character" w:customStyle="1" w:styleId="74">
    <w:name w:val="font21"/>
    <w:basedOn w:val="24"/>
    <w:qFormat/>
    <w:uiPriority w:val="0"/>
    <w:rPr>
      <w:rFonts w:hint="eastAsia" w:ascii="宋体" w:hAnsi="宋体" w:eastAsia="宋体" w:cs="宋体"/>
      <w:b/>
      <w:bCs/>
      <w:color w:val="000000"/>
      <w:sz w:val="18"/>
      <w:szCs w:val="18"/>
      <w:u w:val="none"/>
    </w:rPr>
  </w:style>
  <w:style w:type="paragraph" w:customStyle="1" w:styleId="7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6">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77">
    <w:name w:val="标题 11"/>
    <w:basedOn w:val="1"/>
    <w:qFormat/>
    <w:uiPriority w:val="1"/>
    <w:pPr>
      <w:spacing w:line="702" w:lineRule="exact"/>
      <w:ind w:right="297"/>
      <w:jc w:val="center"/>
      <w:outlineLvl w:val="1"/>
    </w:pPr>
    <w:rPr>
      <w:rFonts w:ascii="Microsoft JhengHei" w:hAnsi="Microsoft JhengHei" w:eastAsia="Microsoft JhengHei" w:cs="Microsoft JhengHei"/>
      <w:b/>
      <w:bCs/>
      <w:sz w:val="44"/>
      <w:szCs w:val="44"/>
    </w:rPr>
  </w:style>
  <w:style w:type="character" w:customStyle="1" w:styleId="78">
    <w:name w:val="font41"/>
    <w:basedOn w:val="24"/>
    <w:qFormat/>
    <w:uiPriority w:val="0"/>
    <w:rPr>
      <w:rFonts w:hint="eastAsia" w:ascii="宋体" w:hAnsi="宋体" w:eastAsia="宋体" w:cs="宋体"/>
      <w:color w:val="000000"/>
      <w:sz w:val="20"/>
      <w:szCs w:val="20"/>
      <w:u w:val="none"/>
    </w:rPr>
  </w:style>
  <w:style w:type="character" w:customStyle="1" w:styleId="79">
    <w:name w:val="contractReviewCommentRevision_8a596d31142f435eb546b60dd7cb4ecd"/>
    <w:basedOn w:val="24"/>
    <w:qFormat/>
    <w:uiPriority w:val="0"/>
  </w:style>
  <w:style w:type="paragraph" w:customStyle="1" w:styleId="80">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19841</Words>
  <Characters>20116</Characters>
  <Lines>353</Lines>
  <Paragraphs>99</Paragraphs>
  <TotalTime>3</TotalTime>
  <ScaleCrop>false</ScaleCrop>
  <LinksUpToDate>false</LinksUpToDate>
  <CharactersWithSpaces>20795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2023-11-21T05:58:00Z</dcterms:created>
  <dc:creator>69020</dc:creator>
  <cp:lastModifiedBy>╰暖暖╯</cp:lastModifiedBy>
  <cp:lastPrinted>2023-11-22T06:28:00Z</cp:lastPrinted>
  <dcterms:modified xsi:type="dcterms:W3CDTF">2025-12-08T03:36:22Z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3367CE6B9B224D61BBD38F62A0E7F9E8_13</vt:lpwstr>
  </property>
  <property fmtid="{D5CDD505-2E9C-101B-9397-08002B2CF9AE}" pid="4" name="KSOTemplateDocerSaveRecord">
    <vt:lpwstr>eyJoZGlkIjoiZDcwOTFhMjA3NzBhOTEzOGFiNGY2NzdmZDhhNTQyYjQiLCJ1c2VySWQiOiIyNTI3Njc4MTQifQ==</vt:lpwstr>
  </property>
</Properties>
</file>