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3279F">
      <w:pPr>
        <w:spacing w:line="720" w:lineRule="exact"/>
        <w:jc w:val="center"/>
        <w:rPr>
          <w:rFonts w:hint="eastAsia" w:ascii="方正仿宋_GBK" w:hAnsi="方正仿宋_GBK" w:eastAsia="方正仿宋_GBK" w:cs="方正仿宋_GBK"/>
          <w:bCs/>
          <w:color w:val="auto"/>
          <w:sz w:val="44"/>
          <w:szCs w:val="44"/>
          <w:lang w:eastAsia="zh-CN"/>
        </w:rPr>
      </w:pPr>
      <w:bookmarkStart w:id="107" w:name="_GoBack"/>
      <w:bookmarkEnd w:id="107"/>
      <w:r>
        <w:rPr>
          <w:rFonts w:hint="eastAsia" w:ascii="方正仿宋_GBK" w:hAnsi="方正仿宋_GBK" w:eastAsia="方正仿宋_GBK" w:cs="方正仿宋_GBK"/>
          <w:bCs/>
          <w:color w:val="auto"/>
          <w:sz w:val="44"/>
          <w:szCs w:val="44"/>
          <w:lang w:eastAsia="zh-CN"/>
        </w:rPr>
        <w:t>2025年崇川区土壤污染重点监管企业周边土壤和地下水监督性检测项目</w:t>
      </w:r>
    </w:p>
    <w:p w14:paraId="2C78D338">
      <w:pPr>
        <w:pStyle w:val="69"/>
        <w:rPr>
          <w:rFonts w:hint="eastAsia" w:ascii="方正仿宋_GBK" w:hAnsi="方正仿宋_GBK" w:eastAsia="方正仿宋_GBK" w:cs="方正仿宋_GBK"/>
          <w:bCs/>
          <w:color w:val="auto"/>
          <w:sz w:val="48"/>
          <w:szCs w:val="48"/>
        </w:rPr>
      </w:pPr>
    </w:p>
    <w:p w14:paraId="55712FFA">
      <w:pPr>
        <w:pStyle w:val="69"/>
        <w:rPr>
          <w:rFonts w:hint="eastAsia" w:ascii="方正仿宋_GBK" w:hAnsi="方正仿宋_GBK" w:eastAsia="方正仿宋_GBK" w:cs="方正仿宋_GBK"/>
          <w:bCs/>
          <w:color w:val="auto"/>
          <w:sz w:val="48"/>
          <w:szCs w:val="48"/>
        </w:rPr>
      </w:pPr>
    </w:p>
    <w:p w14:paraId="234FE447">
      <w:pPr>
        <w:jc w:val="center"/>
        <w:rPr>
          <w:rFonts w:hint="eastAsia" w:ascii="方正仿宋_GBK" w:hAnsi="方正仿宋_GBK" w:eastAsia="方正仿宋_GBK" w:cs="方正仿宋_GBK"/>
          <w:bCs/>
          <w:color w:val="auto"/>
          <w:sz w:val="100"/>
          <w:szCs w:val="100"/>
        </w:rPr>
      </w:pPr>
      <w:r>
        <w:rPr>
          <w:rFonts w:hint="eastAsia" w:ascii="方正仿宋_GBK" w:hAnsi="方正仿宋_GBK" w:eastAsia="方正仿宋_GBK" w:cs="方正仿宋_GBK"/>
          <w:bCs/>
          <w:color w:val="auto"/>
          <w:sz w:val="100"/>
          <w:szCs w:val="100"/>
        </w:rPr>
        <w:t>招标文件</w:t>
      </w:r>
    </w:p>
    <w:p w14:paraId="0D69831C">
      <w:pPr>
        <w:pStyle w:val="10"/>
        <w:spacing w:line="500" w:lineRule="exact"/>
        <w:rPr>
          <w:rFonts w:hint="eastAsia" w:ascii="方正仿宋_GBK" w:hAnsi="方正仿宋_GBK" w:eastAsia="方正仿宋_GBK" w:cs="方正仿宋_GBK"/>
          <w:b w:val="0"/>
          <w:bCs/>
          <w:color w:val="auto"/>
        </w:rPr>
      </w:pPr>
    </w:p>
    <w:p w14:paraId="6A818250">
      <w:pPr>
        <w:pStyle w:val="10"/>
        <w:spacing w:line="500" w:lineRule="exact"/>
        <w:rPr>
          <w:rFonts w:hint="eastAsia" w:ascii="方正仿宋_GBK" w:hAnsi="方正仿宋_GBK" w:eastAsia="方正仿宋_GBK" w:cs="方正仿宋_GBK"/>
          <w:bCs/>
          <w:color w:val="auto"/>
          <w:sz w:val="36"/>
          <w:szCs w:val="36"/>
        </w:rPr>
      </w:pPr>
      <w:r>
        <w:rPr>
          <w:rFonts w:hint="eastAsia" w:ascii="方正仿宋_GBK" w:hAnsi="方正仿宋_GBK" w:eastAsia="方正仿宋_GBK" w:cs="方正仿宋_GBK"/>
          <w:bCs/>
          <w:color w:val="auto"/>
          <w:sz w:val="36"/>
          <w:szCs w:val="36"/>
        </w:rPr>
        <w:t>项目编号：ZRNT20250041</w:t>
      </w:r>
    </w:p>
    <w:p w14:paraId="06EB7C35">
      <w:pPr>
        <w:spacing w:line="500" w:lineRule="exact"/>
        <w:jc w:val="center"/>
        <w:rPr>
          <w:rFonts w:hint="eastAsia" w:ascii="方正仿宋_GBK" w:hAnsi="方正仿宋_GBK" w:eastAsia="方正仿宋_GBK" w:cs="方正仿宋_GBK"/>
          <w:b/>
          <w:color w:val="auto"/>
          <w:sz w:val="36"/>
        </w:rPr>
      </w:pPr>
    </w:p>
    <w:p w14:paraId="372BE0B1">
      <w:pPr>
        <w:spacing w:line="500" w:lineRule="exact"/>
        <w:jc w:val="center"/>
        <w:rPr>
          <w:rFonts w:hint="eastAsia" w:ascii="方正仿宋_GBK" w:hAnsi="方正仿宋_GBK" w:eastAsia="方正仿宋_GBK" w:cs="方正仿宋_GBK"/>
          <w:b/>
          <w:color w:val="auto"/>
          <w:sz w:val="36"/>
        </w:rPr>
      </w:pPr>
    </w:p>
    <w:p w14:paraId="3AACE739">
      <w:pPr>
        <w:spacing w:line="500" w:lineRule="exact"/>
        <w:jc w:val="center"/>
        <w:rPr>
          <w:rFonts w:hint="eastAsia" w:ascii="方正仿宋_GBK" w:hAnsi="方正仿宋_GBK" w:eastAsia="方正仿宋_GBK" w:cs="方正仿宋_GBK"/>
          <w:b/>
          <w:color w:val="auto"/>
          <w:sz w:val="36"/>
        </w:rPr>
      </w:pPr>
    </w:p>
    <w:p w14:paraId="58FBF633">
      <w:pPr>
        <w:spacing w:line="500" w:lineRule="exact"/>
        <w:jc w:val="center"/>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rPr>
        <w:t>、</w:t>
      </w:r>
    </w:p>
    <w:p w14:paraId="2C5D0D36">
      <w:pPr>
        <w:rPr>
          <w:rFonts w:hint="eastAsia" w:ascii="方正仿宋_GBK" w:hAnsi="方正仿宋_GBK" w:eastAsia="方正仿宋_GBK" w:cs="方正仿宋_GBK"/>
          <w:color w:val="auto"/>
          <w:sz w:val="32"/>
        </w:rPr>
      </w:pPr>
    </w:p>
    <w:p w14:paraId="363A6B70">
      <w:pPr>
        <w:pStyle w:val="21"/>
        <w:rPr>
          <w:rFonts w:hint="eastAsia" w:ascii="方正仿宋_GBK" w:hAnsi="方正仿宋_GBK" w:eastAsia="方正仿宋_GBK" w:cs="方正仿宋_GBK"/>
          <w:color w:val="auto"/>
        </w:rPr>
      </w:pPr>
    </w:p>
    <w:p w14:paraId="58EDC06A">
      <w:pPr>
        <w:pStyle w:val="96"/>
        <w:rPr>
          <w:rFonts w:hint="eastAsia" w:ascii="方正仿宋_GBK" w:hAnsi="方正仿宋_GBK" w:eastAsia="方正仿宋_GBK" w:cs="方正仿宋_GBK"/>
          <w:color w:val="auto"/>
          <w:sz w:val="32"/>
        </w:rPr>
      </w:pPr>
    </w:p>
    <w:p w14:paraId="2AC9D781">
      <w:pPr>
        <w:pStyle w:val="96"/>
        <w:rPr>
          <w:rFonts w:hint="eastAsia" w:ascii="方正仿宋_GBK" w:hAnsi="方正仿宋_GBK" w:eastAsia="方正仿宋_GBK" w:cs="方正仿宋_GBK"/>
          <w:color w:val="auto"/>
          <w:sz w:val="32"/>
        </w:rPr>
      </w:pPr>
    </w:p>
    <w:p w14:paraId="7B98ADDB">
      <w:pPr>
        <w:spacing w:line="500" w:lineRule="exact"/>
        <w:jc w:val="center"/>
        <w:rPr>
          <w:rFonts w:hint="eastAsia" w:ascii="方正仿宋_GBK" w:hAnsi="方正仿宋_GBK" w:eastAsia="方正仿宋_GBK" w:cs="方正仿宋_GBK"/>
          <w:color w:val="auto"/>
          <w:sz w:val="32"/>
        </w:rPr>
      </w:pPr>
    </w:p>
    <w:p w14:paraId="71031A13">
      <w:pPr>
        <w:spacing w:line="500" w:lineRule="exact"/>
        <w:jc w:val="center"/>
        <w:rPr>
          <w:rFonts w:hint="eastAsia" w:ascii="方正仿宋_GBK" w:hAnsi="方正仿宋_GBK" w:eastAsia="方正仿宋_GBK" w:cs="方正仿宋_GBK"/>
          <w:color w:val="auto"/>
          <w:sz w:val="32"/>
        </w:rPr>
      </w:pPr>
    </w:p>
    <w:p w14:paraId="14F8CA50">
      <w:pPr>
        <w:spacing w:line="500" w:lineRule="exact"/>
        <w:rPr>
          <w:rFonts w:hint="eastAsia" w:ascii="方正仿宋_GBK" w:hAnsi="方正仿宋_GBK" w:eastAsia="方正仿宋_GBK" w:cs="方正仿宋_GBK"/>
          <w:color w:val="auto"/>
          <w:sz w:val="32"/>
        </w:rPr>
      </w:pPr>
    </w:p>
    <w:p w14:paraId="263940DE">
      <w:pPr>
        <w:adjustRightInd w:val="0"/>
        <w:spacing w:before="120" w:after="120" w:line="500" w:lineRule="exact"/>
        <w:ind w:left="-2" w:right="120"/>
        <w:jc w:val="center"/>
        <w:textAlignment w:val="baseline"/>
        <w:rPr>
          <w:rFonts w:hint="eastAsia" w:ascii="方正仿宋_GBK" w:hAnsi="方正仿宋_GBK" w:eastAsia="方正仿宋_GBK" w:cs="方正仿宋_GBK"/>
          <w:b/>
          <w:color w:val="auto"/>
          <w:spacing w:val="20"/>
          <w:sz w:val="40"/>
          <w:szCs w:val="40"/>
        </w:rPr>
      </w:pPr>
    </w:p>
    <w:p w14:paraId="0EF88F50">
      <w:pPr>
        <w:adjustRightInd w:val="0"/>
        <w:spacing w:before="120" w:after="120" w:line="500" w:lineRule="exact"/>
        <w:ind w:right="120"/>
        <w:jc w:val="center"/>
        <w:textAlignment w:val="baseline"/>
        <w:rPr>
          <w:rFonts w:hint="eastAsia" w:ascii="方正仿宋_GBK" w:hAnsi="方正仿宋_GBK" w:eastAsia="方正仿宋_GBK" w:cs="方正仿宋_GBK"/>
          <w:b/>
          <w:color w:val="auto"/>
          <w:spacing w:val="20"/>
          <w:sz w:val="40"/>
          <w:szCs w:val="40"/>
          <w:lang w:eastAsia="zh-CN"/>
        </w:rPr>
      </w:pPr>
      <w:r>
        <w:rPr>
          <w:rFonts w:hint="eastAsia" w:ascii="方正仿宋_GBK" w:hAnsi="方正仿宋_GBK" w:eastAsia="方正仿宋_GBK" w:cs="方正仿宋_GBK"/>
          <w:b/>
          <w:color w:val="auto"/>
          <w:spacing w:val="20"/>
          <w:sz w:val="40"/>
          <w:szCs w:val="40"/>
          <w:lang w:eastAsia="zh-CN"/>
        </w:rPr>
        <w:t>南通市崇川生态环境局</w:t>
      </w:r>
    </w:p>
    <w:p w14:paraId="2B9B2547">
      <w:pPr>
        <w:adjustRightInd w:val="0"/>
        <w:spacing w:before="120" w:after="120" w:line="500" w:lineRule="exact"/>
        <w:ind w:right="120"/>
        <w:jc w:val="center"/>
        <w:textAlignment w:val="baseline"/>
        <w:rPr>
          <w:rFonts w:hint="eastAsia" w:ascii="方正仿宋_GBK" w:hAnsi="方正仿宋_GBK" w:eastAsia="方正仿宋_GBK" w:cs="方正仿宋_GBK"/>
          <w:b/>
          <w:bCs/>
          <w:color w:val="auto"/>
          <w:sz w:val="44"/>
          <w:szCs w:val="44"/>
        </w:rPr>
      </w:pPr>
      <w:r>
        <w:rPr>
          <w:rFonts w:hint="eastAsia" w:ascii="方正仿宋_GBK" w:hAnsi="方正仿宋_GBK" w:eastAsia="方正仿宋_GBK" w:cs="方正仿宋_GBK"/>
          <w:b/>
          <w:bCs/>
          <w:color w:val="auto"/>
          <w:sz w:val="32"/>
        </w:rPr>
        <w:t>202</w:t>
      </w:r>
      <w:r>
        <w:rPr>
          <w:rFonts w:hint="eastAsia" w:ascii="方正仿宋_GBK" w:hAnsi="方正仿宋_GBK" w:eastAsia="方正仿宋_GBK" w:cs="方正仿宋_GBK"/>
          <w:b/>
          <w:bCs/>
          <w:color w:val="auto"/>
          <w:sz w:val="32"/>
          <w:lang w:val="en-US" w:eastAsia="zh-CN"/>
        </w:rPr>
        <w:t>5</w:t>
      </w:r>
      <w:r>
        <w:rPr>
          <w:rFonts w:hint="eastAsia" w:ascii="方正仿宋_GBK" w:hAnsi="方正仿宋_GBK" w:eastAsia="方正仿宋_GBK" w:cs="方正仿宋_GBK"/>
          <w:b/>
          <w:bCs/>
          <w:color w:val="auto"/>
          <w:sz w:val="32"/>
        </w:rPr>
        <w:t>年</w:t>
      </w:r>
      <w:r>
        <w:rPr>
          <w:rFonts w:hint="eastAsia" w:ascii="方正仿宋_GBK" w:hAnsi="方正仿宋_GBK" w:eastAsia="方正仿宋_GBK" w:cs="方正仿宋_GBK"/>
          <w:b/>
          <w:bCs/>
          <w:color w:val="auto"/>
          <w:sz w:val="32"/>
          <w:lang w:val="en-US" w:eastAsia="zh-CN"/>
        </w:rPr>
        <w:t>04</w:t>
      </w:r>
      <w:r>
        <w:rPr>
          <w:rFonts w:hint="eastAsia" w:ascii="方正仿宋_GBK" w:hAnsi="方正仿宋_GBK" w:eastAsia="方正仿宋_GBK" w:cs="方正仿宋_GBK"/>
          <w:b/>
          <w:bCs/>
          <w:color w:val="auto"/>
          <w:sz w:val="32"/>
        </w:rPr>
        <w:t>月</w:t>
      </w:r>
    </w:p>
    <w:p w14:paraId="6F769932">
      <w:pPr>
        <w:adjustRightInd w:val="0"/>
        <w:snapToGrid w:val="0"/>
        <w:ind w:left="-158" w:leftChars="-75"/>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44"/>
          <w:szCs w:val="44"/>
        </w:rPr>
        <w:br w:type="page"/>
      </w:r>
      <w:r>
        <w:rPr>
          <w:rFonts w:hint="eastAsia" w:ascii="方正仿宋_GBK" w:hAnsi="方正仿宋_GBK" w:eastAsia="方正仿宋_GBK" w:cs="方正仿宋_GBK"/>
          <w:b/>
          <w:bCs/>
          <w:color w:val="auto"/>
          <w:sz w:val="44"/>
          <w:szCs w:val="44"/>
        </w:rPr>
        <w:t>目 录</w:t>
      </w:r>
    </w:p>
    <w:p w14:paraId="0BDE3C4D">
      <w:pPr>
        <w:tabs>
          <w:tab w:val="left" w:pos="7740"/>
        </w:tabs>
        <w:adjustRightInd w:val="0"/>
        <w:snapToGrid w:val="0"/>
        <w:spacing w:line="1000" w:lineRule="exact"/>
        <w:ind w:firstLine="640" w:firstLineChars="200"/>
        <w:rPr>
          <w:rFonts w:hint="eastAsia" w:ascii="方正仿宋_GBK" w:hAnsi="方正仿宋_GBK" w:eastAsia="方正仿宋_GBK" w:cs="方正仿宋_GBK"/>
          <w:bCs/>
          <w:color w:val="auto"/>
          <w:sz w:val="32"/>
          <w:szCs w:val="32"/>
        </w:rPr>
      </w:pPr>
    </w:p>
    <w:p w14:paraId="68B4EA38">
      <w:pPr>
        <w:tabs>
          <w:tab w:val="left" w:pos="7740"/>
        </w:tabs>
        <w:adjustRightInd w:val="0"/>
        <w:snapToGrid w:val="0"/>
        <w:spacing w:line="1000" w:lineRule="exact"/>
        <w:ind w:firstLine="640" w:firstLineChars="200"/>
        <w:rPr>
          <w:rFonts w:hint="eastAsia" w:ascii="方正仿宋_GBK" w:hAnsi="方正仿宋_GBK" w:eastAsia="方正仿宋_GBK" w:cs="方正仿宋_GBK"/>
          <w:color w:val="auto"/>
          <w:spacing w:val="2"/>
          <w:sz w:val="32"/>
          <w:szCs w:val="32"/>
        </w:rPr>
      </w:pPr>
      <w:r>
        <w:rPr>
          <w:rFonts w:hint="eastAsia" w:ascii="方正仿宋_GBK" w:hAnsi="方正仿宋_GBK" w:eastAsia="方正仿宋_GBK" w:cs="方正仿宋_GBK"/>
          <w:bCs/>
          <w:color w:val="auto"/>
          <w:sz w:val="32"/>
          <w:szCs w:val="32"/>
        </w:rPr>
        <w:t>第一部分  投标邀请</w:t>
      </w:r>
    </w:p>
    <w:p w14:paraId="5A493A35">
      <w:pPr>
        <w:tabs>
          <w:tab w:val="left" w:pos="7740"/>
        </w:tabs>
        <w:adjustRightInd w:val="0"/>
        <w:snapToGrid w:val="0"/>
        <w:spacing w:line="1000" w:lineRule="exact"/>
        <w:ind w:firstLine="640" w:firstLineChars="200"/>
        <w:rPr>
          <w:rFonts w:hint="eastAsia" w:ascii="方正仿宋_GBK" w:hAnsi="方正仿宋_GBK" w:eastAsia="方正仿宋_GBK" w:cs="方正仿宋_GBK"/>
          <w:color w:val="auto"/>
          <w:spacing w:val="2"/>
          <w:sz w:val="32"/>
          <w:szCs w:val="32"/>
        </w:rPr>
      </w:pPr>
      <w:r>
        <w:rPr>
          <w:rFonts w:hint="eastAsia" w:ascii="方正仿宋_GBK" w:hAnsi="方正仿宋_GBK" w:eastAsia="方正仿宋_GBK" w:cs="方正仿宋_GBK"/>
          <w:bCs/>
          <w:color w:val="auto"/>
          <w:sz w:val="32"/>
          <w:szCs w:val="32"/>
        </w:rPr>
        <w:t>第二部分  投标须知</w:t>
      </w:r>
    </w:p>
    <w:p w14:paraId="56C891BE">
      <w:pPr>
        <w:tabs>
          <w:tab w:val="left" w:pos="7740"/>
        </w:tabs>
        <w:adjustRightInd w:val="0"/>
        <w:snapToGrid w:val="0"/>
        <w:spacing w:line="1000" w:lineRule="exact"/>
        <w:ind w:firstLine="640" w:firstLineChars="200"/>
        <w:rPr>
          <w:rFonts w:hint="eastAsia" w:ascii="方正仿宋_GBK" w:hAnsi="方正仿宋_GBK" w:eastAsia="方正仿宋_GBK" w:cs="方正仿宋_GBK"/>
          <w:color w:val="auto"/>
          <w:spacing w:val="2"/>
          <w:sz w:val="32"/>
          <w:szCs w:val="32"/>
        </w:rPr>
      </w:pPr>
      <w:r>
        <w:rPr>
          <w:rFonts w:hint="eastAsia" w:ascii="方正仿宋_GBK" w:hAnsi="方正仿宋_GBK" w:eastAsia="方正仿宋_GBK" w:cs="方正仿宋_GBK"/>
          <w:bCs/>
          <w:color w:val="auto"/>
          <w:sz w:val="32"/>
          <w:szCs w:val="32"/>
        </w:rPr>
        <w:t>第三部分  项目需求</w:t>
      </w:r>
    </w:p>
    <w:p w14:paraId="2ED710A3">
      <w:pPr>
        <w:tabs>
          <w:tab w:val="left" w:pos="7740"/>
        </w:tabs>
        <w:adjustRightInd w:val="0"/>
        <w:snapToGrid w:val="0"/>
        <w:spacing w:line="1000" w:lineRule="exact"/>
        <w:ind w:firstLine="640" w:firstLineChars="200"/>
        <w:rPr>
          <w:rFonts w:hint="eastAsia" w:ascii="方正仿宋_GBK" w:hAnsi="方正仿宋_GBK" w:eastAsia="方正仿宋_GBK" w:cs="方正仿宋_GBK"/>
          <w:color w:val="auto"/>
          <w:spacing w:val="2"/>
          <w:sz w:val="32"/>
          <w:szCs w:val="32"/>
        </w:rPr>
      </w:pPr>
      <w:r>
        <w:rPr>
          <w:rFonts w:hint="eastAsia" w:ascii="方正仿宋_GBK" w:hAnsi="方正仿宋_GBK" w:eastAsia="方正仿宋_GBK" w:cs="方正仿宋_GBK"/>
          <w:color w:val="auto"/>
          <w:sz w:val="32"/>
          <w:szCs w:val="32"/>
        </w:rPr>
        <w:t xml:space="preserve">第四部分  </w:t>
      </w:r>
      <w:r>
        <w:rPr>
          <w:rFonts w:hint="eastAsia" w:ascii="方正仿宋_GBK" w:hAnsi="方正仿宋_GBK" w:eastAsia="方正仿宋_GBK" w:cs="方正仿宋_GBK"/>
          <w:bCs/>
          <w:color w:val="auto"/>
          <w:sz w:val="32"/>
          <w:szCs w:val="32"/>
        </w:rPr>
        <w:t>开标和评标</w:t>
      </w:r>
    </w:p>
    <w:p w14:paraId="3F6A10FF">
      <w:pPr>
        <w:tabs>
          <w:tab w:val="left" w:pos="7740"/>
        </w:tabs>
        <w:adjustRightInd w:val="0"/>
        <w:snapToGrid w:val="0"/>
        <w:spacing w:line="1000" w:lineRule="exact"/>
        <w:ind w:firstLine="640" w:firstLineChars="200"/>
        <w:rPr>
          <w:rFonts w:hint="eastAsia" w:ascii="方正仿宋_GBK" w:hAnsi="方正仿宋_GBK" w:eastAsia="方正仿宋_GBK" w:cs="方正仿宋_GBK"/>
          <w:color w:val="auto"/>
          <w:spacing w:val="2"/>
          <w:sz w:val="32"/>
          <w:szCs w:val="32"/>
        </w:rPr>
      </w:pPr>
      <w:r>
        <w:rPr>
          <w:rFonts w:hint="eastAsia" w:ascii="方正仿宋_GBK" w:hAnsi="方正仿宋_GBK" w:eastAsia="方正仿宋_GBK" w:cs="方正仿宋_GBK"/>
          <w:bCs/>
          <w:color w:val="auto"/>
          <w:sz w:val="32"/>
          <w:szCs w:val="32"/>
        </w:rPr>
        <w:t>第五部分  投标文件组成</w:t>
      </w:r>
    </w:p>
    <w:p w14:paraId="299C1067">
      <w:pPr>
        <w:spacing w:line="500" w:lineRule="exact"/>
        <w:rPr>
          <w:rFonts w:hint="eastAsia" w:ascii="方正仿宋_GBK" w:hAnsi="方正仿宋_GBK" w:eastAsia="方正仿宋_GBK" w:cs="方正仿宋_GBK"/>
          <w:b/>
          <w:color w:val="auto"/>
          <w:sz w:val="32"/>
          <w:szCs w:val="32"/>
        </w:rPr>
      </w:pPr>
    </w:p>
    <w:p w14:paraId="46F4DA79">
      <w:pPr>
        <w:tabs>
          <w:tab w:val="left" w:pos="7740"/>
        </w:tabs>
        <w:spacing w:line="500" w:lineRule="exact"/>
        <w:rPr>
          <w:rFonts w:hint="eastAsia" w:ascii="方正仿宋_GBK" w:hAnsi="方正仿宋_GBK" w:eastAsia="方正仿宋_GBK" w:cs="方正仿宋_GBK"/>
          <w:b/>
          <w:color w:val="auto"/>
          <w:spacing w:val="2"/>
          <w:sz w:val="32"/>
          <w:szCs w:val="32"/>
        </w:rPr>
      </w:pPr>
    </w:p>
    <w:p w14:paraId="4095BC3C">
      <w:pPr>
        <w:tabs>
          <w:tab w:val="left" w:pos="7740"/>
        </w:tabs>
        <w:spacing w:line="500" w:lineRule="exact"/>
        <w:rPr>
          <w:rFonts w:hint="eastAsia" w:ascii="方正仿宋_GBK" w:hAnsi="方正仿宋_GBK" w:eastAsia="方正仿宋_GBK" w:cs="方正仿宋_GBK"/>
          <w:b/>
          <w:color w:val="auto"/>
          <w:spacing w:val="2"/>
          <w:sz w:val="32"/>
          <w:szCs w:val="32"/>
        </w:rPr>
      </w:pPr>
    </w:p>
    <w:p w14:paraId="61E1EA3E">
      <w:pPr>
        <w:tabs>
          <w:tab w:val="left" w:pos="7740"/>
        </w:tabs>
        <w:spacing w:line="500" w:lineRule="exact"/>
        <w:rPr>
          <w:rFonts w:hint="eastAsia" w:ascii="方正仿宋_GBK" w:hAnsi="方正仿宋_GBK" w:eastAsia="方正仿宋_GBK" w:cs="方正仿宋_GBK"/>
          <w:b/>
          <w:bCs/>
          <w:color w:val="auto"/>
          <w:sz w:val="32"/>
          <w:szCs w:val="32"/>
        </w:rPr>
      </w:pPr>
    </w:p>
    <w:p w14:paraId="7334AD66">
      <w:pPr>
        <w:spacing w:line="500" w:lineRule="exact"/>
        <w:outlineLvl w:val="0"/>
        <w:rPr>
          <w:rFonts w:hint="eastAsia" w:ascii="方正仿宋_GBK" w:hAnsi="方正仿宋_GBK" w:eastAsia="方正仿宋_GBK" w:cs="方正仿宋_GBK"/>
          <w:b/>
          <w:color w:val="auto"/>
          <w:sz w:val="44"/>
          <w:szCs w:val="44"/>
        </w:rPr>
      </w:pPr>
    </w:p>
    <w:p w14:paraId="66FB69BE">
      <w:pPr>
        <w:spacing w:line="500" w:lineRule="exact"/>
        <w:outlineLvl w:val="0"/>
        <w:rPr>
          <w:rFonts w:hint="eastAsia" w:ascii="方正仿宋_GBK" w:hAnsi="方正仿宋_GBK" w:eastAsia="方正仿宋_GBK" w:cs="方正仿宋_GBK"/>
          <w:color w:val="auto"/>
          <w:sz w:val="44"/>
          <w:szCs w:val="44"/>
        </w:rPr>
      </w:pPr>
    </w:p>
    <w:p w14:paraId="3834EEDA">
      <w:pPr>
        <w:spacing w:line="500" w:lineRule="exact"/>
        <w:outlineLvl w:val="0"/>
        <w:rPr>
          <w:rFonts w:hint="eastAsia" w:ascii="方正仿宋_GBK" w:hAnsi="方正仿宋_GBK" w:eastAsia="方正仿宋_GBK" w:cs="方正仿宋_GBK"/>
          <w:color w:val="auto"/>
          <w:sz w:val="44"/>
          <w:szCs w:val="44"/>
        </w:rPr>
      </w:pPr>
    </w:p>
    <w:p w14:paraId="1698B901">
      <w:pPr>
        <w:spacing w:line="500" w:lineRule="exact"/>
        <w:outlineLvl w:val="0"/>
        <w:rPr>
          <w:rFonts w:hint="eastAsia" w:ascii="方正仿宋_GBK" w:hAnsi="方正仿宋_GBK" w:eastAsia="方正仿宋_GBK" w:cs="方正仿宋_GBK"/>
          <w:color w:val="auto"/>
          <w:sz w:val="44"/>
          <w:szCs w:val="44"/>
        </w:rPr>
      </w:pPr>
    </w:p>
    <w:p w14:paraId="0DA3987F">
      <w:pPr>
        <w:spacing w:line="500" w:lineRule="exact"/>
        <w:outlineLvl w:val="0"/>
        <w:rPr>
          <w:rFonts w:hint="eastAsia" w:ascii="方正仿宋_GBK" w:hAnsi="方正仿宋_GBK" w:eastAsia="方正仿宋_GBK" w:cs="方正仿宋_GBK"/>
          <w:color w:val="auto"/>
          <w:sz w:val="44"/>
          <w:szCs w:val="44"/>
        </w:rPr>
      </w:pPr>
    </w:p>
    <w:p w14:paraId="3E282B22">
      <w:pPr>
        <w:spacing w:line="500" w:lineRule="exact"/>
        <w:outlineLvl w:val="0"/>
        <w:rPr>
          <w:rFonts w:hint="eastAsia" w:ascii="方正仿宋_GBK" w:hAnsi="方正仿宋_GBK" w:eastAsia="方正仿宋_GBK" w:cs="方正仿宋_GBK"/>
          <w:color w:val="auto"/>
          <w:sz w:val="44"/>
          <w:szCs w:val="44"/>
        </w:rPr>
      </w:pPr>
    </w:p>
    <w:p w14:paraId="0922BB92">
      <w:pPr>
        <w:adjustRightInd w:val="0"/>
        <w:snapToGrid w:val="0"/>
        <w:spacing w:line="500" w:lineRule="exact"/>
        <w:jc w:val="center"/>
        <w:outlineLvl w:val="0"/>
        <w:rPr>
          <w:rFonts w:hint="eastAsia" w:ascii="方正仿宋_GBK" w:hAnsi="方正仿宋_GBK" w:eastAsia="方正仿宋_GBK" w:cs="方正仿宋_GBK"/>
          <w:b/>
          <w:color w:val="auto"/>
          <w:sz w:val="32"/>
          <w:szCs w:val="32"/>
        </w:rPr>
      </w:pPr>
      <w:bookmarkStart w:id="0" w:name="OLE_LINK5"/>
      <w:bookmarkStart w:id="1" w:name="OLE_LINK7"/>
    </w:p>
    <w:p w14:paraId="37D9CE99">
      <w:pPr>
        <w:adjustRightInd w:val="0"/>
        <w:snapToGrid w:val="0"/>
        <w:spacing w:line="500" w:lineRule="exact"/>
        <w:jc w:val="center"/>
        <w:outlineLvl w:val="0"/>
        <w:rPr>
          <w:rFonts w:hint="eastAsia" w:ascii="方正仿宋_GBK" w:hAnsi="方正仿宋_GBK" w:eastAsia="方正仿宋_GBK" w:cs="方正仿宋_GBK"/>
          <w:b/>
          <w:color w:val="auto"/>
          <w:sz w:val="32"/>
          <w:szCs w:val="32"/>
        </w:rPr>
      </w:pPr>
    </w:p>
    <w:p w14:paraId="0B611913">
      <w:pPr>
        <w:adjustRightInd w:val="0"/>
        <w:snapToGrid w:val="0"/>
        <w:spacing w:line="500" w:lineRule="exact"/>
        <w:jc w:val="center"/>
        <w:outlineLvl w:val="0"/>
        <w:rPr>
          <w:rFonts w:hint="eastAsia" w:ascii="方正仿宋_GBK" w:hAnsi="方正仿宋_GBK" w:eastAsia="方正仿宋_GBK" w:cs="方正仿宋_GBK"/>
          <w:b/>
          <w:color w:val="auto"/>
          <w:sz w:val="32"/>
          <w:szCs w:val="32"/>
        </w:rPr>
      </w:pPr>
    </w:p>
    <w:p w14:paraId="23980120">
      <w:pPr>
        <w:adjustRightInd w:val="0"/>
        <w:snapToGrid w:val="0"/>
        <w:spacing w:line="500" w:lineRule="exact"/>
        <w:jc w:val="center"/>
        <w:outlineLvl w:val="0"/>
        <w:rPr>
          <w:rFonts w:hint="eastAsia" w:ascii="方正仿宋_GBK" w:hAnsi="方正仿宋_GBK" w:eastAsia="方正仿宋_GBK" w:cs="方正仿宋_GBK"/>
          <w:b/>
          <w:color w:val="auto"/>
          <w:sz w:val="32"/>
          <w:szCs w:val="32"/>
        </w:rPr>
      </w:pPr>
    </w:p>
    <w:p w14:paraId="74F9FA79">
      <w:pPr>
        <w:adjustRightInd w:val="0"/>
        <w:snapToGrid w:val="0"/>
        <w:spacing w:line="500" w:lineRule="exact"/>
        <w:jc w:val="center"/>
        <w:outlineLvl w:val="0"/>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br w:type="page"/>
      </w:r>
      <w:r>
        <w:rPr>
          <w:rFonts w:hint="eastAsia" w:ascii="方正仿宋_GBK" w:hAnsi="方正仿宋_GBK" w:eastAsia="方正仿宋_GBK" w:cs="方正仿宋_GBK"/>
          <w:b/>
          <w:color w:val="auto"/>
          <w:sz w:val="36"/>
          <w:szCs w:val="36"/>
        </w:rPr>
        <w:t>第一部分 投标邀请</w:t>
      </w:r>
    </w:p>
    <w:p w14:paraId="55C65BB2">
      <w:pPr>
        <w:adjustRightInd w:val="0"/>
        <w:snapToGrid w:val="0"/>
        <w:spacing w:line="500" w:lineRule="exact"/>
        <w:jc w:val="center"/>
        <w:outlineLvl w:val="0"/>
        <w:rPr>
          <w:rFonts w:hint="eastAsia" w:ascii="方正仿宋_GBK" w:hAnsi="方正仿宋_GBK" w:eastAsia="方正仿宋_GBK" w:cs="方正仿宋_GBK"/>
          <w:b/>
          <w:color w:val="auto"/>
          <w:sz w:val="32"/>
          <w:szCs w:val="32"/>
        </w:rPr>
      </w:pPr>
    </w:p>
    <w:p w14:paraId="67BF216A">
      <w:pPr>
        <w:pBdr>
          <w:top w:val="single" w:color="auto" w:sz="4" w:space="1"/>
          <w:left w:val="single" w:color="auto" w:sz="4" w:space="4"/>
          <w:bottom w:val="single" w:color="auto" w:sz="4" w:space="1"/>
          <w:right w:val="single" w:color="auto" w:sz="4" w:space="4"/>
        </w:pBdr>
        <w:adjustRightInd w:val="0"/>
        <w:snapToGrid w:val="0"/>
        <w:spacing w:line="480" w:lineRule="exact"/>
        <w:rPr>
          <w:rFonts w:hint="eastAsia" w:ascii="方正仿宋_GBK" w:hAnsi="方正仿宋_GBK" w:eastAsia="方正仿宋_GBK" w:cs="方正仿宋_GBK"/>
          <w:color w:val="auto"/>
          <w:sz w:val="28"/>
          <w:szCs w:val="28"/>
        </w:rPr>
      </w:pPr>
      <w:bookmarkStart w:id="2" w:name="OLE_LINK6"/>
      <w:r>
        <w:rPr>
          <w:rFonts w:hint="eastAsia" w:ascii="方正仿宋_GBK" w:hAnsi="方正仿宋_GBK" w:eastAsia="方正仿宋_GBK" w:cs="方正仿宋_GBK"/>
          <w:color w:val="auto"/>
          <w:sz w:val="28"/>
          <w:szCs w:val="28"/>
        </w:rPr>
        <w:t>项目概况</w:t>
      </w:r>
    </w:p>
    <w:p w14:paraId="2AFAD89D">
      <w:pPr>
        <w:pBdr>
          <w:top w:val="single" w:color="auto" w:sz="4" w:space="1"/>
          <w:left w:val="single" w:color="auto" w:sz="4" w:space="4"/>
          <w:bottom w:val="single" w:color="auto" w:sz="4" w:space="1"/>
          <w:right w:val="single" w:color="auto" w:sz="4" w:space="4"/>
        </w:pBd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eastAsia="zh-CN"/>
        </w:rPr>
        <w:t>2025年崇川区土壤污染重点监管企业周边土壤和地下水监督性检测</w:t>
      </w:r>
      <w:r>
        <w:rPr>
          <w:rFonts w:hint="eastAsia" w:ascii="方正仿宋_GBK" w:hAnsi="方正仿宋_GBK" w:eastAsia="方正仿宋_GBK" w:cs="方正仿宋_GBK"/>
          <w:color w:val="auto"/>
          <w:sz w:val="28"/>
          <w:szCs w:val="28"/>
        </w:rPr>
        <w:t>）招标项目的潜在投标人应在</w:t>
      </w:r>
      <w:r>
        <w:rPr>
          <w:rFonts w:hint="eastAsia" w:ascii="方正仿宋_GBK" w:hAnsi="方正仿宋_GBK" w:eastAsia="方正仿宋_GBK" w:cs="方正仿宋_GBK"/>
          <w:b/>
          <w:bCs/>
          <w:color w:val="auto"/>
          <w:sz w:val="28"/>
          <w:szCs w:val="28"/>
          <w:u w:val="single"/>
          <w:lang w:eastAsia="zh-CN"/>
        </w:rPr>
        <w:t>崇川区人民政府网站</w:t>
      </w:r>
      <w:r>
        <w:rPr>
          <w:rFonts w:hint="eastAsia" w:ascii="方正仿宋_GBK" w:hAnsi="方正仿宋_GBK" w:eastAsia="方正仿宋_GBK" w:cs="方正仿宋_GBK"/>
          <w:color w:val="auto"/>
          <w:sz w:val="28"/>
          <w:szCs w:val="28"/>
        </w:rPr>
        <w:t>获取招标文件，并于202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14</w:t>
      </w:r>
      <w:r>
        <w:rPr>
          <w:rFonts w:hint="eastAsia" w:ascii="方正仿宋_GBK" w:hAnsi="方正仿宋_GBK" w:eastAsia="方正仿宋_GBK" w:cs="方正仿宋_GBK"/>
          <w:color w:val="auto"/>
          <w:sz w:val="28"/>
          <w:szCs w:val="28"/>
        </w:rPr>
        <w:t>点</w:t>
      </w:r>
      <w:r>
        <w:rPr>
          <w:rFonts w:hint="eastAsia" w:ascii="方正仿宋_GBK" w:hAnsi="方正仿宋_GBK" w:eastAsia="方正仿宋_GBK" w:cs="方正仿宋_GBK"/>
          <w:color w:val="auto"/>
          <w:sz w:val="28"/>
          <w:szCs w:val="28"/>
          <w:lang w:val="en-US" w:eastAsia="zh-CN"/>
        </w:rPr>
        <w:t>00</w:t>
      </w:r>
      <w:r>
        <w:rPr>
          <w:rFonts w:hint="eastAsia" w:ascii="方正仿宋_GBK" w:hAnsi="方正仿宋_GBK" w:eastAsia="方正仿宋_GBK" w:cs="方正仿宋_GBK"/>
          <w:color w:val="auto"/>
          <w:sz w:val="28"/>
          <w:szCs w:val="28"/>
        </w:rPr>
        <w:t>分（北京时间）前递交投标文件。</w:t>
      </w:r>
    </w:p>
    <w:p w14:paraId="4CD7632A">
      <w:pPr>
        <w:adjustRightInd w:val="0"/>
        <w:snapToGrid w:val="0"/>
        <w:spacing w:line="480" w:lineRule="exact"/>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一、项目基本情况</w:t>
      </w:r>
    </w:p>
    <w:p w14:paraId="2DD51625">
      <w:pPr>
        <w:adjustRightInd w:val="0"/>
        <w:snapToGrid w:val="0"/>
        <w:spacing w:line="480" w:lineRule="exact"/>
        <w:ind w:firstLine="560" w:firstLineChars="200"/>
        <w:rPr>
          <w:rFonts w:hint="eastAsia" w:ascii="方正仿宋_GBK" w:hAnsi="方正仿宋_GBK" w:eastAsia="方正仿宋_GBK" w:cs="方正仿宋_GBK"/>
          <w:color w:val="auto"/>
          <w:spacing w:val="7"/>
          <w:kern w:val="0"/>
          <w:sz w:val="28"/>
          <w:szCs w:val="22"/>
          <w:lang w:val="en-US" w:eastAsia="zh-CN"/>
        </w:rPr>
      </w:pPr>
      <w:r>
        <w:rPr>
          <w:rFonts w:hint="eastAsia" w:ascii="方正仿宋_GBK" w:hAnsi="方正仿宋_GBK" w:eastAsia="方正仿宋_GBK" w:cs="方正仿宋_GBK"/>
          <w:color w:val="auto"/>
          <w:sz w:val="28"/>
          <w:szCs w:val="28"/>
        </w:rPr>
        <w:t>项目编号：ZRNT20250041</w:t>
      </w:r>
    </w:p>
    <w:p w14:paraId="4CEF2538">
      <w:pPr>
        <w:adjustRightInd w:val="0"/>
        <w:snapToGrid w:val="0"/>
        <w:spacing w:line="48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项目名称：</w:t>
      </w:r>
      <w:r>
        <w:rPr>
          <w:rFonts w:hint="eastAsia" w:ascii="方正仿宋_GBK" w:hAnsi="方正仿宋_GBK" w:eastAsia="方正仿宋_GBK" w:cs="方正仿宋_GBK"/>
          <w:color w:val="auto"/>
          <w:sz w:val="28"/>
          <w:szCs w:val="28"/>
          <w:lang w:eastAsia="zh-CN"/>
        </w:rPr>
        <w:t>2025年崇川区土壤污染重点监管企业周边土壤和地下水监督性检测项目</w:t>
      </w:r>
    </w:p>
    <w:p w14:paraId="1CE75B8A">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预算金额：</w:t>
      </w:r>
      <w:r>
        <w:rPr>
          <w:rFonts w:hint="eastAsia" w:ascii="方正仿宋_GBK" w:hAnsi="方正仿宋_GBK" w:eastAsia="方正仿宋_GBK" w:cs="方正仿宋_GBK"/>
          <w:color w:val="auto"/>
          <w:sz w:val="28"/>
          <w:szCs w:val="28"/>
          <w:lang w:val="en-US" w:eastAsia="zh-CN"/>
        </w:rPr>
        <w:t>48.8</w:t>
      </w:r>
      <w:r>
        <w:rPr>
          <w:rFonts w:hint="eastAsia" w:ascii="方正仿宋_GBK" w:hAnsi="方正仿宋_GBK" w:eastAsia="方正仿宋_GBK" w:cs="方正仿宋_GBK"/>
          <w:color w:val="auto"/>
          <w:sz w:val="28"/>
          <w:szCs w:val="28"/>
        </w:rPr>
        <w:t>万元</w:t>
      </w:r>
    </w:p>
    <w:p w14:paraId="02BCB82C">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最高限价：</w:t>
      </w:r>
      <w:r>
        <w:rPr>
          <w:rFonts w:hint="eastAsia" w:ascii="方正仿宋_GBK" w:hAnsi="方正仿宋_GBK" w:eastAsia="方正仿宋_GBK" w:cs="方正仿宋_GBK"/>
          <w:color w:val="auto"/>
          <w:sz w:val="28"/>
          <w:szCs w:val="28"/>
          <w:lang w:val="en-US" w:eastAsia="zh-CN"/>
        </w:rPr>
        <w:t>48.8</w:t>
      </w:r>
      <w:r>
        <w:rPr>
          <w:rFonts w:hint="eastAsia" w:ascii="方正仿宋_GBK" w:hAnsi="方正仿宋_GBK" w:eastAsia="方正仿宋_GBK" w:cs="方正仿宋_GBK"/>
          <w:color w:val="auto"/>
          <w:sz w:val="28"/>
          <w:szCs w:val="28"/>
        </w:rPr>
        <w:t>万元，投标报价超过本项目最高限价，作无效报价处理。</w:t>
      </w:r>
    </w:p>
    <w:p w14:paraId="35E862B9">
      <w:pPr>
        <w:autoSpaceDE w:val="0"/>
        <w:autoSpaceDN w:val="0"/>
        <w:adjustRightIn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采购需求：详见招标文件，请仔细研究</w:t>
      </w:r>
    </w:p>
    <w:p w14:paraId="321AA25C">
      <w:pPr>
        <w:autoSpaceDE w:val="0"/>
        <w:autoSpaceDN w:val="0"/>
        <w:adjustRightInd w:val="0"/>
        <w:spacing w:line="48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合同履行期限：合同签订之日起至2025年10月31日</w:t>
      </w:r>
      <w:r>
        <w:rPr>
          <w:rFonts w:hint="eastAsia" w:ascii="方正仿宋_GBK" w:hAnsi="方正仿宋_GBK" w:eastAsia="方正仿宋_GBK" w:cs="方正仿宋_GBK"/>
          <w:color w:val="auto"/>
          <w:sz w:val="28"/>
          <w:szCs w:val="28"/>
          <w:lang w:eastAsia="zh-CN"/>
        </w:rPr>
        <w:t>。</w:t>
      </w:r>
    </w:p>
    <w:p w14:paraId="06C8E243">
      <w:pPr>
        <w:adjustRightInd w:val="0"/>
        <w:snapToGrid w:val="0"/>
        <w:spacing w:line="480" w:lineRule="exact"/>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二、申请人的资格要求</w:t>
      </w:r>
    </w:p>
    <w:p w14:paraId="6FC5FEE6">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满足以下条件：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33C42F65">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2.投标人具有有效的营业执照副本；</w:t>
      </w:r>
    </w:p>
    <w:p w14:paraId="477DB6B8">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3.本项目的特定资格要求：无；</w:t>
      </w:r>
    </w:p>
    <w:p w14:paraId="73A9596A">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4.本项目不接受联合体投标。</w:t>
      </w:r>
    </w:p>
    <w:p w14:paraId="5E11897B">
      <w:pPr>
        <w:adjustRightInd w:val="0"/>
        <w:snapToGrid w:val="0"/>
        <w:spacing w:line="480" w:lineRule="exact"/>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三、获取招标文件</w:t>
      </w:r>
    </w:p>
    <w:p w14:paraId="03DCABB1">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时间：202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17</w:t>
      </w:r>
      <w:r>
        <w:rPr>
          <w:rFonts w:hint="eastAsia" w:ascii="方正仿宋_GBK" w:hAnsi="方正仿宋_GBK" w:eastAsia="方正仿宋_GBK" w:cs="方正仿宋_GBK"/>
          <w:color w:val="auto"/>
          <w:sz w:val="28"/>
          <w:szCs w:val="28"/>
        </w:rPr>
        <w:t>日至202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日；</w:t>
      </w:r>
    </w:p>
    <w:p w14:paraId="1B6E74A0">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地点：</w:t>
      </w:r>
      <w:r>
        <w:rPr>
          <w:rFonts w:hint="eastAsia" w:ascii="方正仿宋_GBK" w:hAnsi="方正仿宋_GBK" w:eastAsia="方正仿宋_GBK" w:cs="方正仿宋_GBK"/>
          <w:color w:val="auto"/>
          <w:sz w:val="28"/>
          <w:szCs w:val="28"/>
          <w:lang w:eastAsia="zh-CN"/>
        </w:rPr>
        <w:t>崇川区人民政府网站</w:t>
      </w:r>
      <w:r>
        <w:rPr>
          <w:rFonts w:hint="eastAsia" w:ascii="方正仿宋_GBK" w:hAnsi="方正仿宋_GBK" w:eastAsia="方正仿宋_GBK" w:cs="方正仿宋_GBK"/>
          <w:color w:val="auto"/>
          <w:sz w:val="28"/>
          <w:szCs w:val="28"/>
        </w:rPr>
        <w:t>；</w:t>
      </w:r>
    </w:p>
    <w:p w14:paraId="042FF95E">
      <w:pPr>
        <w:shd w:val="clear" w:color="auto" w:fill="FFFFFF"/>
        <w:spacing w:line="480" w:lineRule="exact"/>
        <w:ind w:firstLine="560" w:firstLineChars="200"/>
        <w:rPr>
          <w:rFonts w:hint="eastAsia" w:ascii="方正仿宋_GBK" w:hAnsi="方正仿宋_GBK" w:eastAsia="方正仿宋_GBK" w:cs="方正仿宋_GBK"/>
          <w:color w:val="auto"/>
          <w:spacing w:val="7"/>
          <w:sz w:val="28"/>
          <w:szCs w:val="28"/>
        </w:rPr>
      </w:pPr>
      <w:r>
        <w:rPr>
          <w:rFonts w:hint="eastAsia" w:ascii="方正仿宋_GBK" w:hAnsi="方正仿宋_GBK" w:eastAsia="方正仿宋_GBK" w:cs="方正仿宋_GBK"/>
          <w:color w:val="auto"/>
          <w:sz w:val="28"/>
          <w:szCs w:val="28"/>
        </w:rPr>
        <w:t>方式：自行下载招标文件。</w:t>
      </w:r>
    </w:p>
    <w:p w14:paraId="1F248C66">
      <w:pPr>
        <w:adjustRightInd w:val="0"/>
        <w:snapToGrid w:val="0"/>
        <w:spacing w:line="480" w:lineRule="exact"/>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四、提交投标文件截止时间、开标时间和地点</w:t>
      </w:r>
    </w:p>
    <w:p w14:paraId="506769ED">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14</w:t>
      </w:r>
      <w:r>
        <w:rPr>
          <w:rFonts w:hint="eastAsia" w:ascii="方正仿宋_GBK" w:hAnsi="方正仿宋_GBK" w:eastAsia="方正仿宋_GBK" w:cs="方正仿宋_GBK"/>
          <w:color w:val="auto"/>
          <w:sz w:val="28"/>
          <w:szCs w:val="28"/>
        </w:rPr>
        <w:t>点</w:t>
      </w:r>
      <w:r>
        <w:rPr>
          <w:rFonts w:hint="eastAsia" w:ascii="方正仿宋_GBK" w:hAnsi="方正仿宋_GBK" w:eastAsia="方正仿宋_GBK" w:cs="方正仿宋_GBK"/>
          <w:color w:val="auto"/>
          <w:sz w:val="28"/>
          <w:szCs w:val="28"/>
          <w:lang w:val="en-US" w:eastAsia="zh-CN"/>
        </w:rPr>
        <w:t>00</w:t>
      </w:r>
      <w:r>
        <w:rPr>
          <w:rFonts w:hint="eastAsia" w:ascii="方正仿宋_GBK" w:hAnsi="方正仿宋_GBK" w:eastAsia="方正仿宋_GBK" w:cs="方正仿宋_GBK"/>
          <w:color w:val="auto"/>
          <w:sz w:val="28"/>
          <w:szCs w:val="28"/>
        </w:rPr>
        <w:t>分（北京时间）。逾时，招标人将拒绝接受投标响应文件。</w:t>
      </w:r>
    </w:p>
    <w:p w14:paraId="788EFD3D">
      <w:pPr>
        <w:adjustRightInd w:val="0"/>
        <w:snapToGrid w:val="0"/>
        <w:spacing w:line="480" w:lineRule="exact"/>
        <w:ind w:firstLine="560" w:firstLineChars="200"/>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地点：南通市崇川路58号南通产业技术研究院9号楼10楼开标室，如有变动另行通知。</w:t>
      </w:r>
    </w:p>
    <w:p w14:paraId="1A17324E">
      <w:pPr>
        <w:adjustRightInd w:val="0"/>
        <w:snapToGrid w:val="0"/>
        <w:spacing w:line="480" w:lineRule="exact"/>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五、公告期限</w:t>
      </w:r>
    </w:p>
    <w:p w14:paraId="5B991604">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自本公告发布之日起5个工作日。</w:t>
      </w:r>
    </w:p>
    <w:p w14:paraId="5A679310">
      <w:pPr>
        <w:adjustRightInd w:val="0"/>
        <w:snapToGrid w:val="0"/>
        <w:spacing w:line="480" w:lineRule="exact"/>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六、其他补充事宜</w:t>
      </w:r>
    </w:p>
    <w:p w14:paraId="1E6897D9">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1.投标保证金：免收</w:t>
      </w:r>
    </w:p>
    <w:p w14:paraId="126E963F">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2.项目开标活动模式：见面开标模式，投标人在</w:t>
      </w:r>
      <w:r>
        <w:rPr>
          <w:rFonts w:hint="eastAsia" w:ascii="方正仿宋_GBK" w:hAnsi="方正仿宋_GBK" w:eastAsia="方正仿宋_GBK" w:cs="方正仿宋_GBK"/>
          <w:color w:val="auto"/>
          <w:sz w:val="28"/>
          <w:szCs w:val="28"/>
          <w:u w:val="single"/>
          <w:lang w:eastAsia="zh-CN"/>
        </w:rPr>
        <w:t>南通市崇川路58号南通产业技术研究院9号楼10楼开标室</w:t>
      </w:r>
      <w:r>
        <w:rPr>
          <w:rFonts w:hint="eastAsia" w:ascii="方正仿宋_GBK" w:hAnsi="方正仿宋_GBK" w:eastAsia="方正仿宋_GBK" w:cs="方正仿宋_GBK"/>
          <w:color w:val="auto"/>
          <w:sz w:val="28"/>
          <w:szCs w:val="28"/>
        </w:rPr>
        <w:t>参加开标会。</w:t>
      </w:r>
    </w:p>
    <w:p w14:paraId="29006512">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3.项目演示、样品、答辩：无</w:t>
      </w:r>
    </w:p>
    <w:p w14:paraId="362CA892">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4.对项目需求部分（投标人资格要求、项目需求、商务技术评分标准）的询问、质疑请向招标人提出，由招标人负责答复；对项目招标文件其它部分的询问请向代理机构经办人提出。</w:t>
      </w:r>
    </w:p>
    <w:p w14:paraId="0DF5DC16">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投标人应依照规定提交各类声明函、承诺函，不再同时提供原件备查或提供有关部门出具的相关证明文件。但投标人应做好提交声明函、承诺函、认证、业绩等相应原件的核查准备；核查后发现虚假或违背承诺的，依照相关法律法规规定处理。</w:t>
      </w:r>
    </w:p>
    <w:p w14:paraId="470115F9">
      <w:pPr>
        <w:adjustRightInd w:val="0"/>
        <w:snapToGrid w:val="0"/>
        <w:spacing w:line="480" w:lineRule="exact"/>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七、对本次招标提出询问，请按以下方式联系。</w:t>
      </w:r>
    </w:p>
    <w:p w14:paraId="5FD21A32">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1.招标人信息</w:t>
      </w:r>
    </w:p>
    <w:p w14:paraId="2A7FC488">
      <w:pPr>
        <w:adjustRightInd w:val="0"/>
        <w:snapToGrid w:val="0"/>
        <w:spacing w:line="48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名称：</w:t>
      </w:r>
      <w:r>
        <w:rPr>
          <w:rFonts w:hint="eastAsia" w:ascii="方正仿宋_GBK" w:hAnsi="方正仿宋_GBK" w:eastAsia="方正仿宋_GBK" w:cs="方正仿宋_GBK"/>
          <w:color w:val="auto"/>
          <w:sz w:val="28"/>
          <w:szCs w:val="28"/>
          <w:lang w:eastAsia="zh-CN"/>
        </w:rPr>
        <w:t>南通市崇川生态环境局</w:t>
      </w:r>
    </w:p>
    <w:p w14:paraId="1B90ED2F">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地址：南通市崇川区城港路58号</w:t>
      </w:r>
    </w:p>
    <w:p w14:paraId="249CBBBE">
      <w:pPr>
        <w:adjustRightInd w:val="0"/>
        <w:snapToGrid w:val="0"/>
        <w:spacing w:line="480" w:lineRule="exact"/>
        <w:ind w:firstLine="560" w:firstLineChars="200"/>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关先生</w:t>
      </w:r>
    </w:p>
    <w:p w14:paraId="2BD331E3">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联系方式：</w:t>
      </w:r>
      <w:r>
        <w:rPr>
          <w:rFonts w:hint="eastAsia" w:ascii="方正仿宋_GBK" w:hAnsi="方正仿宋_GBK" w:eastAsia="方正仿宋_GBK" w:cs="方正仿宋_GBK"/>
          <w:color w:val="auto"/>
          <w:spacing w:val="7"/>
          <w:sz w:val="28"/>
          <w:szCs w:val="28"/>
        </w:rPr>
        <w:t>0513-85609810</w:t>
      </w:r>
    </w:p>
    <w:p w14:paraId="75A08DB7">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2.招标代理机构信息</w:t>
      </w:r>
    </w:p>
    <w:p w14:paraId="54C50305">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名称：江苏中润工程建设咨询有限公司</w:t>
      </w:r>
    </w:p>
    <w:p w14:paraId="16F85179">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地址：南通市崇川路58号南通产业技术研究院9号楼1004室</w:t>
      </w:r>
    </w:p>
    <w:p w14:paraId="0BD2CD2C">
      <w:pPr>
        <w:shd w:val="clear" w:color="auto" w:fill="FFFFFF"/>
        <w:spacing w:line="480" w:lineRule="exact"/>
        <w:ind w:firstLine="560" w:firstLineChars="200"/>
        <w:rPr>
          <w:rFonts w:hint="eastAsia" w:ascii="方正仿宋_GBK" w:hAnsi="方正仿宋_GBK" w:eastAsia="方正仿宋_GBK" w:cs="方正仿宋_GBK"/>
          <w:color w:val="auto"/>
          <w:spacing w:val="7"/>
          <w:sz w:val="28"/>
          <w:szCs w:val="28"/>
        </w:rPr>
      </w:pPr>
      <w:r>
        <w:rPr>
          <w:rFonts w:hint="eastAsia" w:ascii="方正仿宋_GBK" w:hAnsi="方正仿宋_GBK" w:eastAsia="方正仿宋_GBK" w:cs="方正仿宋_GBK"/>
          <w:color w:val="auto"/>
          <w:sz w:val="28"/>
          <w:szCs w:val="28"/>
        </w:rPr>
        <w:t>联系方式：王  工 051355887688   13906272111</w:t>
      </w:r>
    </w:p>
    <w:p w14:paraId="5A8B0D43">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p>
    <w:p w14:paraId="4A4B1C61">
      <w:pPr>
        <w:jc w:val="center"/>
        <w:rPr>
          <w:rFonts w:hint="eastAsia" w:ascii="方正仿宋_GBK" w:hAnsi="方正仿宋_GBK" w:eastAsia="方正仿宋_GBK" w:cs="方正仿宋_GBK"/>
          <w:bCs/>
          <w:color w:val="auto"/>
          <w:sz w:val="36"/>
          <w:szCs w:val="36"/>
        </w:rPr>
      </w:pPr>
      <w:r>
        <w:rPr>
          <w:rFonts w:hint="eastAsia" w:ascii="方正仿宋_GBK" w:hAnsi="方正仿宋_GBK" w:eastAsia="方正仿宋_GBK" w:cs="方正仿宋_GBK"/>
          <w:bCs/>
          <w:color w:val="auto"/>
          <w:sz w:val="36"/>
          <w:szCs w:val="36"/>
        </w:rPr>
        <w:br w:type="page"/>
      </w:r>
      <w:r>
        <w:rPr>
          <w:rFonts w:hint="eastAsia" w:ascii="方正仿宋_GBK" w:hAnsi="方正仿宋_GBK" w:eastAsia="方正仿宋_GBK" w:cs="方正仿宋_GBK"/>
          <w:b/>
          <w:color w:val="auto"/>
          <w:sz w:val="36"/>
          <w:szCs w:val="36"/>
        </w:rPr>
        <w:t>第二部分  投标须知</w:t>
      </w:r>
    </w:p>
    <w:p w14:paraId="73E20C7A">
      <w:pPr>
        <w:pStyle w:val="7"/>
        <w:adjustRightInd w:val="0"/>
        <w:snapToGrid w:val="0"/>
        <w:spacing w:before="0" w:after="0" w:line="480" w:lineRule="exact"/>
        <w:ind w:firstLine="562" w:firstLineChars="200"/>
        <w:rPr>
          <w:rFonts w:hint="eastAsia" w:ascii="方正仿宋_GBK" w:hAnsi="方正仿宋_GBK" w:eastAsia="方正仿宋_GBK" w:cs="方正仿宋_GBK"/>
          <w:color w:val="auto"/>
          <w:sz w:val="28"/>
          <w:szCs w:val="28"/>
        </w:rPr>
      </w:pPr>
      <w:bookmarkStart w:id="3" w:name="_Toc20823275"/>
      <w:bookmarkStart w:id="4" w:name="_Toc513029203"/>
      <w:bookmarkStart w:id="5" w:name="_Toc120614214"/>
      <w:bookmarkStart w:id="6" w:name="_Toc16938519"/>
      <w:r>
        <w:rPr>
          <w:rFonts w:hint="eastAsia" w:ascii="方正仿宋_GBK" w:hAnsi="方正仿宋_GBK" w:eastAsia="方正仿宋_GBK" w:cs="方正仿宋_GBK"/>
          <w:color w:val="auto"/>
          <w:sz w:val="28"/>
          <w:szCs w:val="28"/>
        </w:rPr>
        <w:t>一、总则</w:t>
      </w:r>
      <w:bookmarkEnd w:id="3"/>
      <w:bookmarkEnd w:id="4"/>
      <w:bookmarkEnd w:id="5"/>
      <w:bookmarkEnd w:id="6"/>
    </w:p>
    <w:p w14:paraId="3F3DFFA6">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7" w:name="_Hlt16619475"/>
      <w:bookmarkEnd w:id="7"/>
      <w:bookmarkStart w:id="8" w:name="_Toc458694821"/>
      <w:bookmarkStart w:id="9" w:name="_Toc20823276"/>
      <w:bookmarkStart w:id="10" w:name="_Toc16938520"/>
      <w:bookmarkStart w:id="11" w:name="_Toc513029204"/>
      <w:r>
        <w:rPr>
          <w:rFonts w:hint="eastAsia" w:ascii="方正仿宋_GBK" w:hAnsi="方正仿宋_GBK" w:eastAsia="方正仿宋_GBK" w:cs="方正仿宋_GBK"/>
          <w:color w:val="auto"/>
          <w:sz w:val="28"/>
          <w:szCs w:val="28"/>
        </w:rPr>
        <w:t>1</w:t>
      </w:r>
      <w:bookmarkEnd w:id="8"/>
      <w:r>
        <w:rPr>
          <w:rFonts w:hint="eastAsia" w:ascii="方正仿宋_GBK" w:hAnsi="方正仿宋_GBK" w:eastAsia="方正仿宋_GBK" w:cs="方正仿宋_GBK"/>
          <w:color w:val="auto"/>
          <w:sz w:val="28"/>
          <w:szCs w:val="28"/>
        </w:rPr>
        <w:t>.招标方式</w:t>
      </w:r>
      <w:bookmarkEnd w:id="9"/>
      <w:bookmarkEnd w:id="10"/>
      <w:bookmarkEnd w:id="11"/>
    </w:p>
    <w:p w14:paraId="582C9EC3">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 本次招标采取公开招标方式，本招标文件仅适用于招标公告中所述项目。</w:t>
      </w:r>
    </w:p>
    <w:p w14:paraId="6363B1E6">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12" w:name="_Toc513029205"/>
      <w:bookmarkStart w:id="13" w:name="_Toc20823277"/>
      <w:bookmarkStart w:id="14" w:name="_Toc16938521"/>
      <w:r>
        <w:rPr>
          <w:rFonts w:hint="eastAsia" w:ascii="方正仿宋_GBK" w:hAnsi="方正仿宋_GBK" w:eastAsia="方正仿宋_GBK" w:cs="方正仿宋_GBK"/>
          <w:color w:val="auto"/>
          <w:sz w:val="28"/>
          <w:szCs w:val="28"/>
        </w:rPr>
        <w:t>2.合格的投标人</w:t>
      </w:r>
      <w:bookmarkEnd w:id="12"/>
      <w:bookmarkEnd w:id="13"/>
      <w:bookmarkEnd w:id="14"/>
    </w:p>
    <w:p w14:paraId="051A5E44">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2.1满足招标公告中投标人的资格要求的规定。</w:t>
      </w:r>
    </w:p>
    <w:p w14:paraId="0C4BF8D0">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2.2 满足本文件实质性条款的规定。</w:t>
      </w:r>
    </w:p>
    <w:p w14:paraId="6A9B1326">
      <w:pPr>
        <w:pStyle w:val="8"/>
        <w:adjustRightInd w:val="0"/>
        <w:snapToGrid w:val="0"/>
        <w:spacing w:line="480" w:lineRule="exact"/>
        <w:ind w:firstLine="560" w:firstLineChars="200"/>
        <w:jc w:val="both"/>
        <w:rPr>
          <w:rFonts w:hint="eastAsia" w:ascii="方正仿宋_GBK" w:hAnsi="方正仿宋_GBK" w:eastAsia="方正仿宋_GBK" w:cs="方正仿宋_GBK"/>
          <w:color w:val="auto"/>
          <w:sz w:val="28"/>
          <w:szCs w:val="28"/>
        </w:rPr>
      </w:pPr>
      <w:bookmarkStart w:id="15" w:name="_Toc20823278"/>
      <w:bookmarkStart w:id="16" w:name="_Toc16938522"/>
      <w:bookmarkStart w:id="17" w:name="_Toc513029206"/>
      <w:r>
        <w:rPr>
          <w:rFonts w:hint="eastAsia" w:ascii="方正仿宋_GBK" w:hAnsi="方正仿宋_GBK" w:eastAsia="方正仿宋_GBK" w:cs="方正仿宋_GBK"/>
          <w:color w:val="auto"/>
          <w:sz w:val="28"/>
          <w:szCs w:val="28"/>
        </w:rPr>
        <w:t>采购项目</w:t>
      </w:r>
      <w:r>
        <w:rPr>
          <w:rFonts w:hint="eastAsia" w:ascii="方正仿宋_GBK" w:hAnsi="方正仿宋_GBK" w:eastAsia="方正仿宋_GBK" w:cs="方正仿宋_GBK"/>
          <w:color w:val="auto"/>
          <w:sz w:val="28"/>
          <w:szCs w:val="28"/>
          <w:lang w:val="en-US" w:eastAsia="zh-CN"/>
        </w:rPr>
        <w:t>招标</w:t>
      </w:r>
      <w:r>
        <w:rPr>
          <w:rFonts w:hint="eastAsia" w:ascii="方正仿宋_GBK" w:hAnsi="方正仿宋_GBK" w:eastAsia="方正仿宋_GBK" w:cs="方正仿宋_GBK"/>
          <w:color w:val="auto"/>
          <w:sz w:val="28"/>
          <w:szCs w:val="28"/>
        </w:rPr>
        <w:t>开始后，不再接受</w:t>
      </w: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rPr>
        <w:t>人对</w:t>
      </w:r>
      <w:r>
        <w:rPr>
          <w:rFonts w:hint="eastAsia" w:ascii="方正仿宋_GBK" w:hAnsi="方正仿宋_GBK" w:eastAsia="方正仿宋_GBK" w:cs="方正仿宋_GBK"/>
          <w:color w:val="auto"/>
          <w:sz w:val="28"/>
          <w:szCs w:val="28"/>
          <w:lang w:val="en-US" w:eastAsia="zh-CN"/>
        </w:rPr>
        <w:t>招标</w:t>
      </w:r>
      <w:r>
        <w:rPr>
          <w:rFonts w:hint="eastAsia" w:ascii="方正仿宋_GBK" w:hAnsi="方正仿宋_GBK" w:eastAsia="方正仿宋_GBK" w:cs="方正仿宋_GBK"/>
          <w:color w:val="auto"/>
          <w:sz w:val="28"/>
          <w:szCs w:val="28"/>
        </w:rPr>
        <w:t>文件（含更正公告等）内容的异议或质询（质疑）。</w:t>
      </w:r>
    </w:p>
    <w:p w14:paraId="29337945">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rPr>
        <w:t>3.适用法律</w:t>
      </w:r>
      <w:bookmarkEnd w:id="15"/>
      <w:bookmarkEnd w:id="16"/>
      <w:bookmarkEnd w:id="17"/>
    </w:p>
    <w:p w14:paraId="15FEE44B">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3.1本次招标及由此产生的合同受中华人民共和国有关的法律法规制约和保护。</w:t>
      </w:r>
    </w:p>
    <w:p w14:paraId="46E7C8D1">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18" w:name="_Toc16938523"/>
      <w:bookmarkStart w:id="19" w:name="_Toc462564067"/>
      <w:bookmarkStart w:id="20" w:name="_Toc513029207"/>
      <w:bookmarkStart w:id="21" w:name="_Toc20823279"/>
      <w:r>
        <w:rPr>
          <w:rFonts w:hint="eastAsia" w:ascii="方正仿宋_GBK" w:hAnsi="方正仿宋_GBK" w:eastAsia="方正仿宋_GBK" w:cs="方正仿宋_GBK"/>
          <w:color w:val="auto"/>
          <w:sz w:val="28"/>
          <w:szCs w:val="28"/>
        </w:rPr>
        <w:t>4.投标费用</w:t>
      </w:r>
      <w:bookmarkEnd w:id="18"/>
      <w:bookmarkEnd w:id="19"/>
      <w:bookmarkEnd w:id="20"/>
      <w:bookmarkEnd w:id="21"/>
    </w:p>
    <w:p w14:paraId="29955189">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4.1 供应商应自行承担所有与参与投标有关的费用，无论投标过程中的做法和结果如何，江苏中润工程建设咨询有限公司（以下简称招标代理机构）在任何情况下均无义务和责任承担这些费用。</w:t>
      </w:r>
    </w:p>
    <w:p w14:paraId="65ACECC4">
      <w:pPr>
        <w:spacing w:line="480" w:lineRule="exact"/>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本项目招标代理费</w:t>
      </w:r>
      <w:r>
        <w:rPr>
          <w:rFonts w:hint="eastAsia" w:ascii="方正仿宋_GBK" w:hAnsi="方正仿宋_GBK" w:eastAsia="方正仿宋_GBK" w:cs="方正仿宋_GBK"/>
          <w:color w:val="auto"/>
          <w:sz w:val="28"/>
          <w:szCs w:val="28"/>
          <w:lang w:val="en-US" w:eastAsia="zh-CN"/>
        </w:rPr>
        <w:t>3000元</w:t>
      </w:r>
      <w:r>
        <w:rPr>
          <w:rFonts w:hint="eastAsia" w:ascii="方正仿宋_GBK" w:hAnsi="方正仿宋_GBK" w:eastAsia="方正仿宋_GBK" w:cs="方正仿宋_GBK"/>
          <w:color w:val="auto"/>
          <w:sz w:val="28"/>
          <w:szCs w:val="28"/>
        </w:rPr>
        <w:t>，评委费标准按南通市财政局通财购（2018）18号文执行，由成交供应商支付，响应供应商</w:t>
      </w:r>
      <w:r>
        <w:rPr>
          <w:rFonts w:hint="eastAsia" w:ascii="方正仿宋_GBK" w:hAnsi="方正仿宋_GBK" w:eastAsia="方正仿宋_GBK" w:cs="方正仿宋_GBK"/>
          <w:color w:val="auto"/>
          <w:sz w:val="28"/>
          <w:szCs w:val="28"/>
          <w:lang w:val="zh-CN"/>
        </w:rPr>
        <w:t>综合考虑在报价内（不单列）。</w:t>
      </w:r>
    </w:p>
    <w:p w14:paraId="1CB3665D">
      <w:pPr>
        <w:keepNext/>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zh-CN"/>
        </w:rPr>
        <w:t>代理费、</w:t>
      </w:r>
      <w:r>
        <w:rPr>
          <w:rFonts w:hint="eastAsia" w:ascii="方正仿宋_GBK" w:hAnsi="方正仿宋_GBK" w:eastAsia="方正仿宋_GBK" w:cs="方正仿宋_GBK"/>
          <w:color w:val="auto"/>
          <w:sz w:val="28"/>
          <w:szCs w:val="28"/>
        </w:rPr>
        <w:t>评委费</w:t>
      </w:r>
      <w:r>
        <w:rPr>
          <w:rFonts w:hint="eastAsia" w:ascii="方正仿宋_GBK" w:hAnsi="方正仿宋_GBK" w:eastAsia="方正仿宋_GBK" w:cs="方正仿宋_GBK"/>
          <w:color w:val="auto"/>
          <w:sz w:val="28"/>
          <w:szCs w:val="28"/>
          <w:lang w:val="zh-CN"/>
        </w:rPr>
        <w:t>定标后由中标候选人支付给代理机构。因中标人原因导致中标结果变更或取消中标资格等，代理费、</w:t>
      </w:r>
      <w:r>
        <w:rPr>
          <w:rFonts w:hint="eastAsia" w:ascii="方正仿宋_GBK" w:hAnsi="方正仿宋_GBK" w:eastAsia="方正仿宋_GBK" w:cs="方正仿宋_GBK"/>
          <w:color w:val="auto"/>
          <w:sz w:val="28"/>
          <w:szCs w:val="28"/>
        </w:rPr>
        <w:t>评委费</w:t>
      </w:r>
      <w:r>
        <w:rPr>
          <w:rFonts w:hint="eastAsia" w:ascii="方正仿宋_GBK" w:hAnsi="方正仿宋_GBK" w:eastAsia="方正仿宋_GBK" w:cs="方正仿宋_GBK"/>
          <w:color w:val="auto"/>
          <w:sz w:val="28"/>
          <w:szCs w:val="28"/>
          <w:lang w:val="zh-CN"/>
        </w:rPr>
        <w:t>不予退还。</w:t>
      </w:r>
    </w:p>
    <w:p w14:paraId="7D4F19FC">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rPr>
        <w:t>5.招标文件的约束力</w:t>
      </w:r>
    </w:p>
    <w:p w14:paraId="3F7F10D1">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5.1</w:t>
      </w:r>
      <w:r>
        <w:rPr>
          <w:rFonts w:hint="eastAsia" w:ascii="方正仿宋_GBK" w:hAnsi="方正仿宋_GBK" w:eastAsia="方正仿宋_GBK" w:cs="方正仿宋_GBK"/>
          <w:color w:val="auto"/>
          <w:sz w:val="28"/>
          <w:szCs w:val="28"/>
        </w:rPr>
        <w:t xml:space="preserve"> 投标人一旦参加本项目采购活动，即被认为接受了本招标文件的规定和约束。</w:t>
      </w:r>
    </w:p>
    <w:p w14:paraId="566E82CA">
      <w:pPr>
        <w:pStyle w:val="8"/>
        <w:adjustRightInd w:val="0"/>
        <w:snapToGrid w:val="0"/>
        <w:spacing w:line="480" w:lineRule="exact"/>
        <w:ind w:firstLine="560" w:firstLineChars="2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6.招标文件的解释</w:t>
      </w:r>
    </w:p>
    <w:p w14:paraId="04206982">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6.1</w:t>
      </w:r>
      <w:r>
        <w:rPr>
          <w:rFonts w:hint="eastAsia" w:ascii="方正仿宋_GBK" w:hAnsi="方正仿宋_GBK" w:eastAsia="方正仿宋_GBK" w:cs="方正仿宋_GBK"/>
          <w:color w:val="auto"/>
          <w:sz w:val="28"/>
          <w:szCs w:val="28"/>
        </w:rPr>
        <w:t>招标文件需求部分（投标人资格要求、项目需求、商务技术评分标准）由招标人解释，其它部分由代理机构解释。</w:t>
      </w:r>
    </w:p>
    <w:p w14:paraId="31AFEAC4">
      <w:pPr>
        <w:pStyle w:val="7"/>
        <w:adjustRightInd w:val="0"/>
        <w:snapToGrid w:val="0"/>
        <w:spacing w:before="0" w:after="0" w:line="480" w:lineRule="exact"/>
        <w:ind w:firstLine="562" w:firstLineChars="200"/>
        <w:rPr>
          <w:rFonts w:hint="eastAsia" w:ascii="方正仿宋_GBK" w:hAnsi="方正仿宋_GBK" w:eastAsia="方正仿宋_GBK" w:cs="方正仿宋_GBK"/>
          <w:color w:val="auto"/>
          <w:sz w:val="28"/>
          <w:szCs w:val="28"/>
        </w:rPr>
      </w:pPr>
      <w:bookmarkStart w:id="22" w:name="_Toc20823281"/>
      <w:bookmarkStart w:id="23" w:name="_Toc120614215"/>
      <w:bookmarkStart w:id="24" w:name="_Toc16938525"/>
      <w:bookmarkStart w:id="25" w:name="_Toc513029209"/>
      <w:r>
        <w:rPr>
          <w:rFonts w:hint="eastAsia" w:ascii="方正仿宋_GBK" w:hAnsi="方正仿宋_GBK" w:eastAsia="方正仿宋_GBK" w:cs="方正仿宋_GBK"/>
          <w:color w:val="auto"/>
          <w:sz w:val="28"/>
          <w:szCs w:val="28"/>
        </w:rPr>
        <w:t>二、招标文件</w:t>
      </w:r>
      <w:bookmarkEnd w:id="22"/>
      <w:bookmarkEnd w:id="23"/>
      <w:bookmarkEnd w:id="24"/>
      <w:bookmarkEnd w:id="25"/>
    </w:p>
    <w:p w14:paraId="3C0F68D7">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26" w:name="_Toc20823282"/>
      <w:bookmarkStart w:id="27" w:name="_Toc16938526"/>
      <w:bookmarkStart w:id="28" w:name="_Toc513029210"/>
      <w:r>
        <w:rPr>
          <w:rFonts w:hint="eastAsia" w:ascii="方正仿宋_GBK" w:hAnsi="方正仿宋_GBK" w:eastAsia="方正仿宋_GBK" w:cs="方正仿宋_GBK"/>
          <w:color w:val="auto"/>
          <w:sz w:val="28"/>
          <w:szCs w:val="28"/>
        </w:rPr>
        <w:t>1.招标文件构成</w:t>
      </w:r>
      <w:bookmarkEnd w:id="26"/>
      <w:bookmarkEnd w:id="27"/>
      <w:bookmarkEnd w:id="28"/>
    </w:p>
    <w:p w14:paraId="03500997">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1.1</w:t>
      </w:r>
      <w:r>
        <w:rPr>
          <w:rFonts w:hint="eastAsia" w:ascii="方正仿宋_GBK" w:hAnsi="方正仿宋_GBK" w:eastAsia="方正仿宋_GBK" w:cs="方正仿宋_GBK"/>
          <w:color w:val="auto"/>
          <w:sz w:val="28"/>
          <w:szCs w:val="28"/>
        </w:rPr>
        <w:t xml:space="preserve"> 招标文件由以下部分组成：</w:t>
      </w:r>
    </w:p>
    <w:p w14:paraId="43577BD0">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（1）招标邀请</w:t>
      </w:r>
    </w:p>
    <w:p w14:paraId="28584316">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（2）投标须知</w:t>
      </w:r>
    </w:p>
    <w:p w14:paraId="691E2B48">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（3）项目需求</w:t>
      </w:r>
    </w:p>
    <w:p w14:paraId="6685E7BD">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（4）开标和评标</w:t>
      </w:r>
    </w:p>
    <w:p w14:paraId="7C0AA5A9">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（5）投标文件组成</w:t>
      </w:r>
    </w:p>
    <w:p w14:paraId="02189635">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（6）附件（如有）</w:t>
      </w:r>
    </w:p>
    <w:p w14:paraId="25332B5A">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请仔细检查招标文件是否齐全，如有缺漏请立即与代理机构联系解决。</w:t>
      </w:r>
    </w:p>
    <w:p w14:paraId="399FA125">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1.2</w:t>
      </w:r>
      <w:r>
        <w:rPr>
          <w:rFonts w:hint="eastAsia" w:ascii="方正仿宋_GBK" w:hAnsi="方正仿宋_GBK" w:eastAsia="方正仿宋_GBK" w:cs="方正仿宋_GBK"/>
          <w:color w:val="auto"/>
          <w:sz w:val="28"/>
          <w:szCs w:val="28"/>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1640B37">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29" w:name="_Toc16938527"/>
      <w:bookmarkStart w:id="30" w:name="_Toc513029211"/>
      <w:bookmarkStart w:id="31" w:name="_Toc20823283"/>
      <w:bookmarkStart w:id="32" w:name="_Toc462564070"/>
      <w:r>
        <w:rPr>
          <w:rFonts w:hint="eastAsia" w:ascii="方正仿宋_GBK" w:hAnsi="方正仿宋_GBK" w:eastAsia="方正仿宋_GBK" w:cs="方正仿宋_GBK"/>
          <w:color w:val="auto"/>
          <w:sz w:val="28"/>
          <w:szCs w:val="28"/>
        </w:rPr>
        <w:t>2.招标文件的澄清</w:t>
      </w:r>
      <w:bookmarkEnd w:id="29"/>
      <w:bookmarkEnd w:id="30"/>
      <w:bookmarkEnd w:id="31"/>
      <w:bookmarkEnd w:id="32"/>
    </w:p>
    <w:p w14:paraId="3097793E">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2.1</w:t>
      </w:r>
      <w:r>
        <w:rPr>
          <w:rFonts w:hint="eastAsia" w:ascii="方正仿宋_GBK" w:hAnsi="方正仿宋_GBK" w:eastAsia="方正仿宋_GBK" w:cs="方正仿宋_GBK"/>
          <w:color w:val="auto"/>
          <w:sz w:val="28"/>
          <w:szCs w:val="28"/>
        </w:rPr>
        <w:t xml:space="preserve"> 任何要求对招标文件进行澄清的投标人，应在投标截止期十日前按招标公告中的通讯地址，以书面形式通知招标人。招标人有权对发出的招标文件进行必要的澄清或修改</w:t>
      </w:r>
    </w:p>
    <w:p w14:paraId="79084A5B">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2.2招标人视情组织答疑会</w:t>
      </w:r>
    </w:p>
    <w:p w14:paraId="42E95F96">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33" w:name="_Toc20823284"/>
      <w:bookmarkStart w:id="34" w:name="_Toc513029212"/>
      <w:bookmarkStart w:id="35" w:name="_Toc462564071"/>
      <w:bookmarkStart w:id="36" w:name="_Toc16938528"/>
      <w:r>
        <w:rPr>
          <w:rFonts w:hint="eastAsia" w:ascii="方正仿宋_GBK" w:hAnsi="方正仿宋_GBK" w:eastAsia="方正仿宋_GBK" w:cs="方正仿宋_GBK"/>
          <w:color w:val="auto"/>
          <w:sz w:val="28"/>
          <w:szCs w:val="28"/>
        </w:rPr>
        <w:t>3.招标文件的修改</w:t>
      </w:r>
      <w:bookmarkEnd w:id="33"/>
      <w:bookmarkEnd w:id="34"/>
      <w:bookmarkEnd w:id="35"/>
      <w:bookmarkEnd w:id="36"/>
    </w:p>
    <w:p w14:paraId="048AB793">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3.1</w:t>
      </w:r>
      <w:r>
        <w:rPr>
          <w:rFonts w:hint="eastAsia" w:ascii="方正仿宋_GBK" w:hAnsi="方正仿宋_GBK" w:eastAsia="方正仿宋_GBK" w:cs="方正仿宋_GBK"/>
          <w:color w:val="auto"/>
          <w:sz w:val="28"/>
          <w:szCs w:val="28"/>
        </w:rPr>
        <w:t xml:space="preserve"> 在投标截止时间前，代理机构可以对招标文件进行修改。</w:t>
      </w:r>
    </w:p>
    <w:p w14:paraId="47E3D3B2">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 xml:space="preserve">3.2 </w:t>
      </w:r>
      <w:r>
        <w:rPr>
          <w:rFonts w:hint="eastAsia" w:ascii="方正仿宋_GBK" w:hAnsi="方正仿宋_GBK" w:eastAsia="方正仿宋_GBK" w:cs="方正仿宋_GBK"/>
          <w:color w:val="auto"/>
          <w:sz w:val="28"/>
          <w:szCs w:val="28"/>
        </w:rPr>
        <w:t>代理机构有权按照法定的要求推迟投标截止日期和开标日期。</w:t>
      </w:r>
    </w:p>
    <w:p w14:paraId="3182966F">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 xml:space="preserve">3.3 </w:t>
      </w:r>
      <w:r>
        <w:rPr>
          <w:rFonts w:hint="eastAsia" w:ascii="方正仿宋_GBK" w:hAnsi="方正仿宋_GBK" w:eastAsia="方正仿宋_GBK" w:cs="方正仿宋_GBK"/>
          <w:color w:val="auto"/>
          <w:sz w:val="28"/>
          <w:szCs w:val="28"/>
        </w:rPr>
        <w:t>招标文件的修改将在</w:t>
      </w:r>
      <w:r>
        <w:rPr>
          <w:rFonts w:hint="eastAsia" w:ascii="方正仿宋_GBK" w:hAnsi="方正仿宋_GBK" w:eastAsia="方正仿宋_GBK" w:cs="方正仿宋_GBK"/>
          <w:color w:val="auto"/>
          <w:sz w:val="28"/>
          <w:szCs w:val="28"/>
          <w:lang w:eastAsia="zh-CN"/>
        </w:rPr>
        <w:t>崇川区人民政府网站</w:t>
      </w:r>
      <w:r>
        <w:rPr>
          <w:rFonts w:hint="eastAsia" w:ascii="方正仿宋_GBK" w:hAnsi="方正仿宋_GBK" w:eastAsia="方正仿宋_GBK" w:cs="方正仿宋_GBK"/>
          <w:color w:val="auto"/>
          <w:sz w:val="28"/>
          <w:szCs w:val="28"/>
        </w:rPr>
        <w:t>公布，补充文件将作为招标文件的组成部分，并对投标人具有约束力。</w:t>
      </w:r>
    </w:p>
    <w:p w14:paraId="33E296F9">
      <w:pPr>
        <w:pStyle w:val="7"/>
        <w:adjustRightInd w:val="0"/>
        <w:snapToGrid w:val="0"/>
        <w:spacing w:before="0" w:after="0" w:line="480" w:lineRule="exact"/>
        <w:ind w:firstLine="562" w:firstLineChars="200"/>
        <w:rPr>
          <w:rFonts w:hint="eastAsia" w:ascii="方正仿宋_GBK" w:hAnsi="方正仿宋_GBK" w:eastAsia="方正仿宋_GBK" w:cs="方正仿宋_GBK"/>
          <w:color w:val="auto"/>
          <w:sz w:val="28"/>
          <w:szCs w:val="28"/>
        </w:rPr>
      </w:pPr>
      <w:bookmarkStart w:id="37" w:name="_Toc120614216"/>
      <w:bookmarkStart w:id="38" w:name="_Toc20823285"/>
      <w:bookmarkStart w:id="39" w:name="_Toc16938529"/>
      <w:bookmarkStart w:id="40" w:name="_Toc513029213"/>
      <w:bookmarkStart w:id="41" w:name="_Toc462564072"/>
      <w:r>
        <w:rPr>
          <w:rFonts w:hint="eastAsia" w:ascii="方正仿宋_GBK" w:hAnsi="方正仿宋_GBK" w:eastAsia="方正仿宋_GBK" w:cs="方正仿宋_GBK"/>
          <w:color w:val="auto"/>
          <w:sz w:val="28"/>
          <w:szCs w:val="28"/>
        </w:rPr>
        <w:t>三、投标文件的编制</w:t>
      </w:r>
      <w:bookmarkEnd w:id="37"/>
      <w:bookmarkEnd w:id="38"/>
      <w:bookmarkEnd w:id="39"/>
      <w:bookmarkEnd w:id="40"/>
      <w:bookmarkEnd w:id="41"/>
    </w:p>
    <w:p w14:paraId="0DCEF62D">
      <w:pPr>
        <w:pStyle w:val="8"/>
        <w:adjustRightInd w:val="0"/>
        <w:snapToGrid w:val="0"/>
        <w:spacing w:line="480" w:lineRule="exact"/>
        <w:ind w:firstLine="560" w:firstLineChars="200"/>
        <w:jc w:val="both"/>
        <w:rPr>
          <w:rFonts w:hint="eastAsia" w:ascii="方正仿宋_GBK" w:hAnsi="方正仿宋_GBK" w:eastAsia="方正仿宋_GBK" w:cs="方正仿宋_GBK"/>
          <w:bCs/>
          <w:color w:val="auto"/>
          <w:sz w:val="28"/>
          <w:szCs w:val="28"/>
        </w:rPr>
      </w:pPr>
      <w:bookmarkStart w:id="42" w:name="_Toc20823286"/>
      <w:bookmarkStart w:id="43" w:name="_Toc513029214"/>
      <w:bookmarkStart w:id="44" w:name="_Toc16938530"/>
      <w:bookmarkStart w:id="45" w:name="_Toc462564073"/>
      <w:r>
        <w:rPr>
          <w:rFonts w:hint="eastAsia" w:ascii="方正仿宋_GBK" w:hAnsi="方正仿宋_GBK" w:eastAsia="方正仿宋_GBK" w:cs="方正仿宋_GBK"/>
          <w:color w:val="auto"/>
          <w:sz w:val="28"/>
          <w:szCs w:val="28"/>
        </w:rPr>
        <w:t>1.投标文件的语言及度量衡单位</w:t>
      </w:r>
      <w:bookmarkEnd w:id="42"/>
      <w:bookmarkEnd w:id="43"/>
      <w:bookmarkEnd w:id="44"/>
      <w:bookmarkEnd w:id="45"/>
    </w:p>
    <w:p w14:paraId="30A7C70F">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1.1</w:t>
      </w:r>
      <w:r>
        <w:rPr>
          <w:rFonts w:hint="eastAsia" w:ascii="方正仿宋_GBK" w:hAnsi="方正仿宋_GBK" w:eastAsia="方正仿宋_GBK" w:cs="方正仿宋_GBK"/>
          <w:color w:val="auto"/>
          <w:sz w:val="28"/>
          <w:szCs w:val="28"/>
        </w:rPr>
        <w:t xml:space="preserve"> 投标人提交的投标文件以及投标人与代理机构就有关投标的所有来往通知、函件和文件均应使用</w:t>
      </w:r>
      <w:r>
        <w:rPr>
          <w:rFonts w:hint="eastAsia" w:ascii="方正仿宋_GBK" w:hAnsi="方正仿宋_GBK" w:eastAsia="方正仿宋_GBK" w:cs="方正仿宋_GBK"/>
          <w:bCs/>
          <w:color w:val="auto"/>
          <w:sz w:val="28"/>
          <w:szCs w:val="28"/>
        </w:rPr>
        <w:t>简体中文</w:t>
      </w:r>
      <w:r>
        <w:rPr>
          <w:rFonts w:hint="eastAsia" w:ascii="方正仿宋_GBK" w:hAnsi="方正仿宋_GBK" w:eastAsia="方正仿宋_GBK" w:cs="方正仿宋_GBK"/>
          <w:color w:val="auto"/>
          <w:sz w:val="28"/>
          <w:szCs w:val="28"/>
        </w:rPr>
        <w:t>。</w:t>
      </w:r>
    </w:p>
    <w:p w14:paraId="0A10030D">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1.2</w:t>
      </w:r>
      <w:r>
        <w:rPr>
          <w:rFonts w:hint="eastAsia" w:ascii="方正仿宋_GBK" w:hAnsi="方正仿宋_GBK" w:eastAsia="方正仿宋_GBK" w:cs="方正仿宋_GBK"/>
          <w:color w:val="auto"/>
          <w:sz w:val="28"/>
          <w:szCs w:val="28"/>
        </w:rPr>
        <w:t xml:space="preserve"> 除技术性能另有规定外，投标文件所使用的度量衡单位，均须采用国家法定计量单位。</w:t>
      </w:r>
    </w:p>
    <w:p w14:paraId="2B6E4443">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46" w:name="_Toc20823287"/>
      <w:bookmarkStart w:id="47" w:name="_Toc513029215"/>
      <w:bookmarkStart w:id="48" w:name="_Toc462564074"/>
      <w:bookmarkStart w:id="49" w:name="_Toc16938531"/>
      <w:r>
        <w:rPr>
          <w:rFonts w:hint="eastAsia" w:ascii="方正仿宋_GBK" w:hAnsi="方正仿宋_GBK" w:eastAsia="方正仿宋_GBK" w:cs="方正仿宋_GBK"/>
          <w:color w:val="auto"/>
          <w:sz w:val="28"/>
          <w:szCs w:val="28"/>
        </w:rPr>
        <w:t>2.投标文件构成</w:t>
      </w:r>
      <w:bookmarkEnd w:id="46"/>
      <w:bookmarkEnd w:id="47"/>
      <w:bookmarkEnd w:id="48"/>
      <w:bookmarkEnd w:id="49"/>
    </w:p>
    <w:p w14:paraId="1D89B3BB">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2.1</w:t>
      </w:r>
      <w:r>
        <w:rPr>
          <w:rFonts w:hint="eastAsia" w:ascii="方正仿宋_GBK" w:hAnsi="方正仿宋_GBK" w:eastAsia="方正仿宋_GBK" w:cs="方正仿宋_GBK"/>
          <w:color w:val="auto"/>
          <w:sz w:val="28"/>
          <w:szCs w:val="28"/>
        </w:rPr>
        <w:t xml:space="preserve"> 投标人编写的投标文件应包括资格审查文件文件、商务技术文件文件、价格文件文件。投标人按“第五部分 投标文件组成”要求编写投标文件</w:t>
      </w:r>
    </w:p>
    <w:p w14:paraId="0638BE27">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50" w:name="_Hlt26670360"/>
      <w:bookmarkEnd w:id="50"/>
      <w:bookmarkStart w:id="51" w:name="_Hlt26954838"/>
      <w:bookmarkEnd w:id="51"/>
      <w:bookmarkStart w:id="52" w:name="_Hlt26668975"/>
      <w:bookmarkEnd w:id="52"/>
      <w:bookmarkStart w:id="53" w:name="_Toc14577360"/>
      <w:bookmarkStart w:id="54" w:name="_Toc49090511"/>
      <w:r>
        <w:rPr>
          <w:rFonts w:hint="eastAsia" w:ascii="方正仿宋_GBK" w:hAnsi="方正仿宋_GBK" w:eastAsia="方正仿宋_GBK" w:cs="方正仿宋_GBK"/>
          <w:color w:val="auto"/>
          <w:sz w:val="28"/>
          <w:szCs w:val="28"/>
        </w:rPr>
        <w:t>3.投标有效期</w:t>
      </w:r>
      <w:bookmarkEnd w:id="53"/>
      <w:bookmarkEnd w:id="54"/>
    </w:p>
    <w:p w14:paraId="664B4B8C">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3.1投标有效期为代理机构规定的开标之日后</w:t>
      </w:r>
      <w:r>
        <w:rPr>
          <w:rFonts w:hint="eastAsia" w:ascii="方正仿宋_GBK" w:hAnsi="方正仿宋_GBK" w:eastAsia="方正仿宋_GBK" w:cs="方正仿宋_GBK"/>
          <w:b/>
          <w:color w:val="auto"/>
          <w:sz w:val="28"/>
          <w:szCs w:val="28"/>
          <w:u w:val="single"/>
        </w:rPr>
        <w:t>六十（60）天</w:t>
      </w:r>
      <w:r>
        <w:rPr>
          <w:rFonts w:hint="eastAsia" w:ascii="方正仿宋_GBK" w:hAnsi="方正仿宋_GBK" w:eastAsia="方正仿宋_GBK" w:cs="方正仿宋_GBK"/>
          <w:bCs/>
          <w:color w:val="auto"/>
          <w:sz w:val="28"/>
          <w:szCs w:val="28"/>
        </w:rPr>
        <w:t>。投标有效期比规定短的将被视为非响应性投标而予以拒绝。</w:t>
      </w:r>
    </w:p>
    <w:p w14:paraId="3E7C5ABC">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rPr>
        <w:t>4.投标有效期的延长</w:t>
      </w:r>
    </w:p>
    <w:p w14:paraId="49B9553D">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hint="eastAsia" w:ascii="方正仿宋_GBK" w:hAnsi="方正仿宋_GBK" w:eastAsia="方正仿宋_GBK" w:cs="方正仿宋_GBK"/>
          <w:color w:val="auto"/>
          <w:sz w:val="28"/>
          <w:szCs w:val="28"/>
        </w:rPr>
        <w:t>受投标有效期约束的所有权利与义务均延长至新的有效期</w:t>
      </w:r>
      <w:r>
        <w:rPr>
          <w:rFonts w:hint="eastAsia" w:ascii="方正仿宋_GBK" w:hAnsi="方正仿宋_GBK" w:eastAsia="方正仿宋_GBK" w:cs="方正仿宋_GBK"/>
          <w:bCs/>
          <w:color w:val="auto"/>
          <w:sz w:val="28"/>
          <w:szCs w:val="28"/>
        </w:rPr>
        <w:t>。</w:t>
      </w:r>
    </w:p>
    <w:p w14:paraId="6C8AFA61">
      <w:pPr>
        <w:pStyle w:val="8"/>
        <w:adjustRightInd w:val="0"/>
        <w:snapToGrid w:val="0"/>
        <w:spacing w:line="480" w:lineRule="exact"/>
        <w:ind w:firstLine="560" w:firstLineChars="2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5.投标人资格要求</w:t>
      </w:r>
    </w:p>
    <w:p w14:paraId="7DA82C6D">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5.1投标人应具备承担本项目的资格要求。</w:t>
      </w:r>
    </w:p>
    <w:p w14:paraId="7521976A">
      <w:pPr>
        <w:pStyle w:val="7"/>
        <w:adjustRightInd w:val="0"/>
        <w:snapToGrid w:val="0"/>
        <w:spacing w:before="0" w:after="0" w:line="480" w:lineRule="exact"/>
        <w:ind w:firstLine="562" w:firstLineChars="200"/>
        <w:rPr>
          <w:rFonts w:hint="eastAsia" w:ascii="方正仿宋_GBK" w:hAnsi="方正仿宋_GBK" w:eastAsia="方正仿宋_GBK" w:cs="方正仿宋_GBK"/>
          <w:color w:val="auto"/>
          <w:sz w:val="28"/>
          <w:szCs w:val="28"/>
        </w:rPr>
      </w:pPr>
      <w:bookmarkStart w:id="55" w:name="_Hlt26954852"/>
      <w:bookmarkEnd w:id="55"/>
      <w:bookmarkStart w:id="56" w:name="_Hlt26954739"/>
      <w:bookmarkEnd w:id="56"/>
      <w:bookmarkStart w:id="57" w:name="_Toc16938540"/>
      <w:bookmarkStart w:id="58" w:name="_Toc120614217"/>
      <w:bookmarkStart w:id="59" w:name="_Toc513029224"/>
      <w:bookmarkStart w:id="60" w:name="_Toc20823296"/>
      <w:r>
        <w:rPr>
          <w:rFonts w:hint="eastAsia" w:ascii="方正仿宋_GBK" w:hAnsi="方正仿宋_GBK" w:eastAsia="方正仿宋_GBK" w:cs="方正仿宋_GBK"/>
          <w:color w:val="auto"/>
          <w:sz w:val="28"/>
          <w:szCs w:val="28"/>
        </w:rPr>
        <w:t>四、投标文件的递交</w:t>
      </w:r>
      <w:bookmarkEnd w:id="57"/>
      <w:bookmarkEnd w:id="58"/>
      <w:bookmarkEnd w:id="59"/>
      <w:bookmarkEnd w:id="60"/>
    </w:p>
    <w:p w14:paraId="579E9FA9">
      <w:pPr>
        <w:keepNext/>
        <w:adjustRightInd w:val="0"/>
        <w:snapToGrid w:val="0"/>
        <w:spacing w:line="480" w:lineRule="exact"/>
        <w:ind w:firstLine="560" w:firstLineChars="200"/>
        <w:outlineLvl w:val="3"/>
        <w:rPr>
          <w:rFonts w:hint="eastAsia" w:ascii="方正仿宋_GBK" w:hAnsi="方正仿宋_GBK" w:eastAsia="方正仿宋_GBK" w:cs="方正仿宋_GBK"/>
          <w:b/>
          <w:bCs/>
          <w:color w:val="auto"/>
          <w:kern w:val="0"/>
          <w:sz w:val="28"/>
          <w:szCs w:val="28"/>
        </w:rPr>
      </w:pPr>
      <w:bookmarkStart w:id="61" w:name="_Toc20823297"/>
      <w:bookmarkStart w:id="62" w:name="_Toc513029225"/>
      <w:bookmarkStart w:id="63" w:name="_Toc16938541"/>
      <w:bookmarkStart w:id="64" w:name="_Toc462564084"/>
      <w:bookmarkStart w:id="65" w:name="_Toc16938542"/>
      <w:bookmarkStart w:id="66" w:name="_Toc513029226"/>
      <w:bookmarkStart w:id="67" w:name="_Toc20823298"/>
      <w:r>
        <w:rPr>
          <w:rFonts w:hint="eastAsia" w:ascii="方正仿宋_GBK" w:hAnsi="方正仿宋_GBK" w:eastAsia="方正仿宋_GBK" w:cs="方正仿宋_GBK"/>
          <w:color w:val="auto"/>
          <w:kern w:val="0"/>
          <w:sz w:val="28"/>
          <w:szCs w:val="28"/>
        </w:rPr>
        <w:t>1.响应文件</w:t>
      </w:r>
      <w:bookmarkEnd w:id="61"/>
      <w:bookmarkEnd w:id="62"/>
      <w:bookmarkEnd w:id="63"/>
      <w:bookmarkEnd w:id="64"/>
      <w:r>
        <w:rPr>
          <w:rFonts w:hint="eastAsia" w:ascii="方正仿宋_GBK" w:hAnsi="方正仿宋_GBK" w:eastAsia="方正仿宋_GBK" w:cs="方正仿宋_GBK"/>
          <w:color w:val="auto"/>
          <w:kern w:val="0"/>
          <w:sz w:val="28"/>
          <w:szCs w:val="28"/>
        </w:rPr>
        <w:t>的提交</w:t>
      </w:r>
    </w:p>
    <w:p w14:paraId="0309E33F">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1.1纸质响应文件三部分内容（资格审查文件、商务技术文件、价格文件）须分别单独密封，</w:t>
      </w:r>
      <w:r>
        <w:rPr>
          <w:rFonts w:hint="eastAsia" w:ascii="方正仿宋_GBK" w:hAnsi="方正仿宋_GBK" w:eastAsia="方正仿宋_GBK" w:cs="方正仿宋_GBK"/>
          <w:bCs/>
          <w:color w:val="auto"/>
          <w:sz w:val="28"/>
          <w:szCs w:val="28"/>
          <w:lang w:val="zh-CN"/>
        </w:rPr>
        <w:t>并牢</w:t>
      </w:r>
      <w:r>
        <w:rPr>
          <w:rFonts w:hint="eastAsia" w:ascii="方正仿宋_GBK" w:hAnsi="方正仿宋_GBK" w:eastAsia="方正仿宋_GBK" w:cs="方正仿宋_GBK"/>
          <w:bCs/>
          <w:color w:val="auto"/>
          <w:sz w:val="28"/>
          <w:szCs w:val="28"/>
        </w:rPr>
        <w:t>固装订成册，不得相互混淆。价格文件不得出现于其他响应文件中。</w:t>
      </w:r>
    </w:p>
    <w:p w14:paraId="68D730C3">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1.2纸质响应文件每一部分内容均须提供“一正、一副”，将每一部分正本、副本及图纸类等（如需提供图纸等其它资料的话）合并密封，统一装在一个密封袋或密封箱内（如有A3大小的图纸类，可单独密封）。</w:t>
      </w:r>
    </w:p>
    <w:p w14:paraId="49107F33">
      <w:pPr>
        <w:snapToGrid w:val="0"/>
        <w:spacing w:line="480" w:lineRule="exact"/>
        <w:ind w:firstLine="560" w:firstLineChars="200"/>
        <w:outlineLvl w:val="1"/>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rPr>
        <w:t>本项目要求提供电子响应文件一份，电子响应文件的内容为资格审查文件、商务技术文件、价格文件打印盖章（或电子签章）后的响应文件的扫描件（资格审查文件、商务技术文件、价格文件需分别逐页连续扫描为三个独立的PDF文件），可以采取U盘、电子光盘两种方式中任意一种方式提交，需单独密封提交。</w:t>
      </w:r>
    </w:p>
    <w:p w14:paraId="252889CA">
      <w:pPr>
        <w:snapToGrid w:val="0"/>
        <w:spacing w:line="480" w:lineRule="exact"/>
        <w:ind w:firstLine="560" w:firstLineChars="200"/>
        <w:outlineLvl w:val="1"/>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rPr>
        <w:t>电子响应文件内容应与提交的纸质响应文件内容一致。否则，由此产生的后果投标人自负。</w:t>
      </w:r>
    </w:p>
    <w:p w14:paraId="744F1E5E">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1.3纸质响应文件须</w:t>
      </w:r>
      <w:r>
        <w:rPr>
          <w:rFonts w:hint="eastAsia" w:ascii="方正仿宋_GBK" w:hAnsi="方正仿宋_GBK" w:eastAsia="方正仿宋_GBK" w:cs="方正仿宋_GBK"/>
          <w:bCs/>
          <w:color w:val="auto"/>
          <w:sz w:val="28"/>
          <w:szCs w:val="28"/>
          <w:lang w:val="zh-CN"/>
        </w:rPr>
        <w:t>采用A4纸（</w:t>
      </w:r>
      <w:r>
        <w:rPr>
          <w:rFonts w:hint="eastAsia" w:ascii="方正仿宋_GBK" w:hAnsi="方正仿宋_GBK" w:eastAsia="方正仿宋_GBK" w:cs="方正仿宋_GBK"/>
          <w:bCs/>
          <w:color w:val="auto"/>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14:paraId="70578562">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1.4递交时间：</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须在规定的响应文件接收截止时间前送达指定地点。</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提交投标文件，即视为已响应参加政府采购活动。</w:t>
      </w:r>
    </w:p>
    <w:p w14:paraId="191F9C8B">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友情提醒：代理机构将拒绝接收在响应文件接收截止时间后递交的响应文件。</w:t>
      </w:r>
    </w:p>
    <w:p w14:paraId="236073A9">
      <w:pPr>
        <w:adjustRightInd w:val="0"/>
        <w:snapToGrid w:val="0"/>
        <w:spacing w:line="480" w:lineRule="exact"/>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2.投标截止日期</w:t>
      </w:r>
      <w:bookmarkEnd w:id="65"/>
      <w:bookmarkEnd w:id="66"/>
      <w:bookmarkEnd w:id="67"/>
    </w:p>
    <w:p w14:paraId="615BC82B">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2.1 </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提交响应文件的时间不得迟于招标公告中规定的响应文件提交截止时间。</w:t>
      </w:r>
    </w:p>
    <w:p w14:paraId="3B6DF085">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应充分考虑到交通路况、停车、疫情管控等风险因素，如因</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自身原因造成的投标响应文件提交不成功由</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自行承担全部责任。</w:t>
      </w:r>
    </w:p>
    <w:p w14:paraId="469FA46F">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2.2</w:t>
      </w:r>
      <w:r>
        <w:rPr>
          <w:rFonts w:hint="eastAsia" w:ascii="方正仿宋_GBK" w:hAnsi="方正仿宋_GBK" w:eastAsia="方正仿宋_GBK" w:cs="方正仿宋_GBK"/>
          <w:bCs/>
          <w:color w:val="auto"/>
          <w:sz w:val="28"/>
          <w:szCs w:val="28"/>
        </w:rPr>
        <w:t>代理机构可以按照规定，通过修改招标文件酌情延长投标截止日期，在此情况下，投标人的所有权利和义务以及投标人受制的截止日期均应以延长后新的截止日期为准。</w:t>
      </w:r>
    </w:p>
    <w:p w14:paraId="47AFBB43">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68" w:name="_Toc16938543"/>
      <w:bookmarkStart w:id="69" w:name="_Toc20823299"/>
      <w:bookmarkStart w:id="70" w:name="_Toc513029227"/>
      <w:r>
        <w:rPr>
          <w:rFonts w:hint="eastAsia" w:ascii="方正仿宋_GBK" w:hAnsi="方正仿宋_GBK" w:eastAsia="方正仿宋_GBK" w:cs="方正仿宋_GBK"/>
          <w:color w:val="auto"/>
          <w:sz w:val="28"/>
          <w:szCs w:val="28"/>
        </w:rPr>
        <w:t>3.投标文件</w:t>
      </w:r>
      <w:bookmarkEnd w:id="68"/>
      <w:bookmarkEnd w:id="69"/>
      <w:bookmarkEnd w:id="70"/>
      <w:r>
        <w:rPr>
          <w:rFonts w:hint="eastAsia" w:ascii="方正仿宋_GBK" w:hAnsi="方正仿宋_GBK" w:eastAsia="方正仿宋_GBK" w:cs="方正仿宋_GBK"/>
          <w:color w:val="auto"/>
          <w:sz w:val="28"/>
          <w:szCs w:val="28"/>
        </w:rPr>
        <w:t>的拒收</w:t>
      </w:r>
    </w:p>
    <w:p w14:paraId="1AEBF5E3">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3.1 代理机构拒绝接收在其规定的投标截止时间后提交的任何投标文件。</w:t>
      </w:r>
    </w:p>
    <w:p w14:paraId="11B316A5">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71" w:name="_Toc20823300"/>
      <w:bookmarkStart w:id="72" w:name="_Toc16938544"/>
      <w:bookmarkStart w:id="73" w:name="_Toc513029228"/>
      <w:r>
        <w:rPr>
          <w:rFonts w:hint="eastAsia" w:ascii="方正仿宋_GBK" w:hAnsi="方正仿宋_GBK" w:eastAsia="方正仿宋_GBK" w:cs="方正仿宋_GBK"/>
          <w:color w:val="auto"/>
          <w:sz w:val="28"/>
          <w:szCs w:val="28"/>
        </w:rPr>
        <w:t>4.投标文件的撤回和修改</w:t>
      </w:r>
      <w:bookmarkEnd w:id="71"/>
      <w:bookmarkEnd w:id="72"/>
      <w:bookmarkEnd w:id="73"/>
    </w:p>
    <w:p w14:paraId="1EDDF8A2">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4.1 响应文件的撤回</w:t>
      </w:r>
    </w:p>
    <w:p w14:paraId="00DAB23E">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4.1.1投标人可在响应文件提交截止时间前，书面撤回其投标响应文件。</w:t>
      </w:r>
    </w:p>
    <w:p w14:paraId="255AD75C">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4.1.2 投标人撤回投标文件，则认为其不再参与本项目投标活动。</w:t>
      </w:r>
    </w:p>
    <w:p w14:paraId="6CB44CC8">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4.2 投标文件的修改</w:t>
      </w:r>
    </w:p>
    <w:p w14:paraId="1E7C2535">
      <w:pPr>
        <w:pStyle w:val="7"/>
        <w:adjustRightInd w:val="0"/>
        <w:snapToGrid w:val="0"/>
        <w:spacing w:before="0" w:after="0" w:line="480" w:lineRule="exact"/>
        <w:ind w:firstLine="560" w:firstLineChars="200"/>
        <w:rPr>
          <w:rFonts w:hint="eastAsia" w:ascii="方正仿宋_GBK" w:hAnsi="方正仿宋_GBK" w:eastAsia="方正仿宋_GBK" w:cs="方正仿宋_GBK"/>
          <w:b w:val="0"/>
          <w:bCs w:val="0"/>
          <w:color w:val="auto"/>
          <w:sz w:val="28"/>
          <w:szCs w:val="28"/>
        </w:rPr>
      </w:pPr>
      <w:bookmarkStart w:id="74" w:name="_Toc16938545"/>
      <w:bookmarkStart w:id="75" w:name="_Toc20823301"/>
      <w:bookmarkStart w:id="76" w:name="_Toc513029229"/>
      <w:bookmarkStart w:id="77" w:name="_Toc120614218"/>
      <w:r>
        <w:rPr>
          <w:rFonts w:hint="eastAsia" w:ascii="方正仿宋_GBK" w:hAnsi="方正仿宋_GBK" w:eastAsia="方正仿宋_GBK" w:cs="方正仿宋_GBK"/>
          <w:b w:val="0"/>
          <w:bCs w:val="0"/>
          <w:color w:val="auto"/>
          <w:sz w:val="28"/>
          <w:szCs w:val="28"/>
        </w:rPr>
        <w:t>在响应文件提交截止时间之后，投标人不得再对其提交的响应文件进行修改。</w:t>
      </w:r>
    </w:p>
    <w:p w14:paraId="5D8A7FAD">
      <w:pPr>
        <w:pStyle w:val="7"/>
        <w:adjustRightInd w:val="0"/>
        <w:snapToGrid w:val="0"/>
        <w:spacing w:before="0" w:after="0" w:line="480" w:lineRule="exact"/>
        <w:ind w:firstLine="562"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五、开标与评标</w:t>
      </w:r>
      <w:bookmarkEnd w:id="74"/>
      <w:bookmarkEnd w:id="75"/>
      <w:bookmarkEnd w:id="76"/>
      <w:bookmarkEnd w:id="77"/>
    </w:p>
    <w:p w14:paraId="427EA7DA">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78" w:name="_Toc20823302"/>
      <w:bookmarkStart w:id="79" w:name="_Toc16938546"/>
      <w:bookmarkStart w:id="80" w:name="_Toc513029230"/>
      <w:r>
        <w:rPr>
          <w:rFonts w:hint="eastAsia" w:ascii="方正仿宋_GBK" w:hAnsi="方正仿宋_GBK" w:eastAsia="方正仿宋_GBK" w:cs="方正仿宋_GBK"/>
          <w:color w:val="auto"/>
          <w:sz w:val="28"/>
          <w:szCs w:val="28"/>
        </w:rPr>
        <w:t>1开标</w:t>
      </w:r>
      <w:bookmarkEnd w:id="78"/>
      <w:bookmarkEnd w:id="79"/>
      <w:bookmarkEnd w:id="80"/>
    </w:p>
    <w:p w14:paraId="609B531F">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1.1 代理机构将在招标公告中规定的时间和地点组织公开开标。投标人应当按时在指定地点参加开标活动。</w:t>
      </w:r>
    </w:p>
    <w:p w14:paraId="55AA7E6F">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1.2开标仪</w:t>
      </w:r>
      <w:r>
        <w:rPr>
          <w:rFonts w:hint="eastAsia" w:ascii="方正仿宋_GBK" w:hAnsi="方正仿宋_GBK" w:eastAsia="方正仿宋_GBK" w:cs="方正仿宋_GBK"/>
          <w:color w:val="auto"/>
          <w:sz w:val="28"/>
          <w:szCs w:val="28"/>
        </w:rPr>
        <w:t>式由代理机构组织。</w:t>
      </w:r>
    </w:p>
    <w:p w14:paraId="066CF68D">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81" w:name="_Toc20823303"/>
      <w:bookmarkStart w:id="82" w:name="_Toc513029231"/>
      <w:bookmarkStart w:id="83" w:name="_Toc16938547"/>
      <w:r>
        <w:rPr>
          <w:rFonts w:hint="eastAsia" w:ascii="方正仿宋_GBK" w:hAnsi="方正仿宋_GBK" w:eastAsia="方正仿宋_GBK" w:cs="方正仿宋_GBK"/>
          <w:color w:val="auto"/>
          <w:sz w:val="28"/>
          <w:szCs w:val="28"/>
        </w:rPr>
        <w:t>2评标委员会</w:t>
      </w:r>
    </w:p>
    <w:p w14:paraId="50E72534">
      <w:pPr>
        <w:adjustRightInd w:val="0"/>
        <w:snapToGrid w:val="0"/>
        <w:spacing w:line="480" w:lineRule="exact"/>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2.1开标后，代理机构将立即组织评标委员会（以下简称评委会）进行评标。</w:t>
      </w:r>
    </w:p>
    <w:p w14:paraId="54F8FC34">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2.2 评委会由招标人代表和有关技术、经济等方面的专家组成，且人员构成符合政府采购有关规定。</w:t>
      </w:r>
    </w:p>
    <w:p w14:paraId="38468E13">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2.3评委会独立工作，负责评审所有投标文件并确定中标</w:t>
      </w:r>
      <w:del w:id="0" w:author="0803" w:date="2025-04-24T16:34:58Z">
        <w:r>
          <w:rPr>
            <w:rFonts w:hint="eastAsia" w:ascii="方正仿宋_GBK" w:hAnsi="方正仿宋_GBK" w:eastAsia="方正仿宋_GBK" w:cs="方正仿宋_GBK"/>
            <w:color w:val="auto"/>
            <w:sz w:val="28"/>
            <w:szCs w:val="28"/>
          </w:rPr>
          <w:delText>侯选人</w:delText>
        </w:r>
      </w:del>
      <w:ins w:id="1" w:author="0803" w:date="2025-04-24T16:34:58Z">
        <w:r>
          <w:rPr>
            <w:rFonts w:hint="eastAsia" w:ascii="方正仿宋_GBK" w:hAnsi="方正仿宋_GBK" w:eastAsia="方正仿宋_GBK" w:cs="方正仿宋_GBK"/>
            <w:color w:val="auto"/>
            <w:sz w:val="28"/>
            <w:szCs w:val="28"/>
            <w:lang w:eastAsia="zh-CN"/>
          </w:rPr>
          <w:t>候选人</w:t>
        </w:r>
      </w:ins>
      <w:r>
        <w:rPr>
          <w:rFonts w:hint="eastAsia" w:ascii="方正仿宋_GBK" w:hAnsi="方正仿宋_GBK" w:eastAsia="方正仿宋_GBK" w:cs="方正仿宋_GBK"/>
          <w:color w:val="auto"/>
          <w:sz w:val="28"/>
          <w:szCs w:val="28"/>
        </w:rPr>
        <w:t>。</w:t>
      </w:r>
    </w:p>
    <w:p w14:paraId="5CFB0EBD">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rPr>
        <w:t>3.评标过程的保密与公正</w:t>
      </w:r>
    </w:p>
    <w:bookmarkEnd w:id="81"/>
    <w:bookmarkEnd w:id="82"/>
    <w:bookmarkEnd w:id="83"/>
    <w:p w14:paraId="5059D298">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3.1</w:t>
      </w:r>
      <w:r>
        <w:rPr>
          <w:rFonts w:hint="eastAsia" w:ascii="方正仿宋_GBK" w:hAnsi="方正仿宋_GBK" w:eastAsia="方正仿宋_GBK" w:cs="方正仿宋_GBK"/>
          <w:bCs/>
          <w:color w:val="auto"/>
          <w:sz w:val="28"/>
          <w:szCs w:val="28"/>
        </w:rPr>
        <w:t>公开开标后，直至向中标的投标人授予合同时止，凡是与审查、澄清、评价和比较投标的有关资料以及授标建议等，招标人、评委、代理机构均不得向投标人或与评标无关的其他人员透露。</w:t>
      </w:r>
    </w:p>
    <w:p w14:paraId="0706A3A1">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3.2在评标过程中，投标人不得以任何行为影响评标过程，否则其投标文件将被作为无效投标文件。</w:t>
      </w:r>
    </w:p>
    <w:p w14:paraId="5D24BBE4">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3.3在评标期间，代理机构将设专门人员与投标人联系。</w:t>
      </w:r>
    </w:p>
    <w:p w14:paraId="0728818C">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3.4 代理机构和评标委员会不向未中标的投标人解释未中标原因，也不公布评标过程中的相关细节。</w:t>
      </w:r>
    </w:p>
    <w:p w14:paraId="2B98678E">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3.5 采用综合评分法的项目，公布评标结果时一并公布所有投标人的评审得分及排序情况。</w:t>
      </w:r>
    </w:p>
    <w:p w14:paraId="10CA8C45">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84" w:name="_Toc513029232"/>
      <w:bookmarkStart w:id="85" w:name="_Toc16938548"/>
      <w:bookmarkStart w:id="86" w:name="_Toc20823304"/>
      <w:r>
        <w:rPr>
          <w:rFonts w:hint="eastAsia" w:ascii="方正仿宋_GBK" w:hAnsi="方正仿宋_GBK" w:eastAsia="方正仿宋_GBK" w:cs="方正仿宋_GBK"/>
          <w:color w:val="auto"/>
          <w:sz w:val="28"/>
          <w:szCs w:val="28"/>
        </w:rPr>
        <w:t>4.投标的澄清</w:t>
      </w:r>
      <w:bookmarkEnd w:id="84"/>
      <w:bookmarkEnd w:id="85"/>
      <w:bookmarkEnd w:id="86"/>
    </w:p>
    <w:p w14:paraId="5AE0F4F2">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4.1评标期间，为有助于对投标文件的审查、评价和比较，评委会有权要求投标人对其投标文件进行澄清，但并非对每个投标人都作澄清要求。</w:t>
      </w:r>
    </w:p>
    <w:p w14:paraId="245CB5D7">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4.2接到评委会澄清要求的投标人应按评委会规定的时间和格式做出澄清，澄清的内容作为投标文件的补充部分，但投标的价格和实质性的内容不得做任何更改。</w:t>
      </w:r>
    </w:p>
    <w:p w14:paraId="690EE9C8">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4.3 接到评委会澄清要求的投标人如未按规定做出澄清，其风险由投标人自行承担。</w:t>
      </w:r>
    </w:p>
    <w:p w14:paraId="130DCCDB">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bookmarkStart w:id="87" w:name="_Toc20823305"/>
      <w:bookmarkStart w:id="88" w:name="_Toc16938549"/>
      <w:bookmarkStart w:id="89" w:name="_Toc513029233"/>
      <w:r>
        <w:rPr>
          <w:rFonts w:hint="eastAsia" w:ascii="方正仿宋_GBK" w:hAnsi="方正仿宋_GBK" w:eastAsia="方正仿宋_GBK" w:cs="方正仿宋_GBK"/>
          <w:color w:val="auto"/>
          <w:sz w:val="28"/>
          <w:szCs w:val="28"/>
        </w:rPr>
        <w:t>5对投标文件的初审</w:t>
      </w:r>
      <w:bookmarkEnd w:id="87"/>
      <w:bookmarkEnd w:id="88"/>
      <w:bookmarkEnd w:id="89"/>
    </w:p>
    <w:p w14:paraId="1927ACC0">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5.1</w:t>
      </w:r>
      <w:r>
        <w:rPr>
          <w:rFonts w:hint="eastAsia" w:ascii="方正仿宋_GBK" w:hAnsi="方正仿宋_GBK" w:eastAsia="方正仿宋_GBK" w:cs="方正仿宋_GBK"/>
          <w:bCs/>
          <w:color w:val="auto"/>
          <w:sz w:val="28"/>
          <w:szCs w:val="28"/>
        </w:rPr>
        <w:t>投标文件初审分为资格审查和符合性审查。</w:t>
      </w:r>
    </w:p>
    <w:p w14:paraId="5B821A2A">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5.1.1 资格审查：依据法律法规和招标文件的规定，由招标人对投标文件中的资格证明文件进行审查。</w:t>
      </w:r>
    </w:p>
    <w:p w14:paraId="0F610E52">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5.1.2 符合性审查：依据招标文件的规定，由评委会从投标文件的有效性、完整性和对招标文件的响应程度进行审查，以确定是否对招标文件的实质性要求作出响应。</w:t>
      </w:r>
    </w:p>
    <w:p w14:paraId="08DDD61E">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5.1.3 未通过资格审查或符合性审查的投标人，代理机构将告知未通过资格审查或符合性审查的原因。</w:t>
      </w:r>
    </w:p>
    <w:p w14:paraId="02CE09DF">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5.2在详细评标之前，评委会将首先审查每份投标文件是否实质性响应了招标文件的要求。实质性响应的投标应该是与招标文件要求的全部条款、条件和规格相符，没有重大偏离或保留的投标。</w:t>
      </w:r>
    </w:p>
    <w:p w14:paraId="3CA4EB51">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方正仿宋_GBK" w:hAnsi="方正仿宋_GBK" w:eastAsia="方正仿宋_GBK" w:cs="方正仿宋_GBK"/>
          <w:bCs/>
          <w:color w:val="auto"/>
          <w:sz w:val="28"/>
          <w:szCs w:val="28"/>
        </w:rPr>
        <w:t>评委决定投标文件的响应性只根据投标文件本身的内容，而不寻求外部的证据。</w:t>
      </w:r>
    </w:p>
    <w:p w14:paraId="46EC282F">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5.3</w:t>
      </w:r>
      <w:r>
        <w:rPr>
          <w:rFonts w:hint="eastAsia" w:ascii="方正仿宋_GBK" w:hAnsi="方正仿宋_GBK" w:eastAsia="方正仿宋_GBK" w:cs="方正仿宋_GBK"/>
          <w:bCs/>
          <w:color w:val="auto"/>
          <w:sz w:val="28"/>
          <w:szCs w:val="28"/>
        </w:rPr>
        <w:t>如果投标文件实质上没有响应招标文件的要求，评委会将予以拒绝，投标人不得通过修改或撤销不合要求的偏离或保留而使其投标成为实质性响应的投标。</w:t>
      </w:r>
    </w:p>
    <w:p w14:paraId="3186C0C2">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5.4</w:t>
      </w:r>
      <w:r>
        <w:rPr>
          <w:rFonts w:hint="eastAsia" w:ascii="方正仿宋_GBK" w:hAnsi="方正仿宋_GBK" w:eastAsia="方正仿宋_GBK" w:cs="方正仿宋_GBK"/>
          <w:bCs/>
          <w:color w:val="auto"/>
          <w:sz w:val="28"/>
          <w:szCs w:val="28"/>
        </w:rPr>
        <w:t>评委会将对确定为实质性响应的投标进行进一步审核，看其是否有计算上或累加上的算术错误，修正错误的原则如下：</w:t>
      </w:r>
    </w:p>
    <w:p w14:paraId="608531B5">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（1）投标文件中开标一览表内容与投标文件中相应内容不一致的，以开标一览表为准。</w:t>
      </w:r>
    </w:p>
    <w:p w14:paraId="2C4C86D6">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（2）大写金额和小写金额不一致的，以大写金额为准。</w:t>
      </w:r>
    </w:p>
    <w:p w14:paraId="7DDEF3D4">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（3）单价金额小数点或者百分比有明显错位的，以开标一览表的总价为准，并修改单价。</w:t>
      </w:r>
    </w:p>
    <w:p w14:paraId="2D880300">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（4）总价金额与按单价汇总金额不一致的，以单价金额计算结果为准。</w:t>
      </w:r>
    </w:p>
    <w:p w14:paraId="49464B67">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同时出现两种以上错误的，按照前款规定的顺序修正。</w:t>
      </w:r>
    </w:p>
    <w:p w14:paraId="3DC8C408">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5.5</w:t>
      </w:r>
      <w:r>
        <w:rPr>
          <w:rFonts w:hint="eastAsia" w:ascii="方正仿宋_GBK" w:hAnsi="方正仿宋_GBK" w:eastAsia="方正仿宋_GBK" w:cs="方正仿宋_GBK"/>
          <w:bCs/>
          <w:color w:val="auto"/>
          <w:sz w:val="28"/>
          <w:szCs w:val="28"/>
        </w:rPr>
        <w:t>评委会将按上述修正错误的方法调整投标文件中的投标报价，并告知投标人，调整后的价格应对投标人具有约束力。如果投标人不接受修正后的价格，则其投标将被拒绝。</w:t>
      </w:r>
    </w:p>
    <w:p w14:paraId="5AF8404F">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5.6</w:t>
      </w:r>
      <w:r>
        <w:rPr>
          <w:rFonts w:hint="eastAsia" w:ascii="方正仿宋_GBK" w:hAnsi="方正仿宋_GBK" w:eastAsia="方正仿宋_GBK" w:cs="方正仿宋_GBK"/>
          <w:bCs/>
          <w:color w:val="auto"/>
          <w:sz w:val="28"/>
          <w:szCs w:val="28"/>
        </w:rPr>
        <w:t>评委会将允许修正投标文件中不构成重大偏离的、微小的、非正规的、不一致的或不规则的地方，但这些修改不能影响任何投标人相应的名次排列。</w:t>
      </w:r>
    </w:p>
    <w:p w14:paraId="032B431F">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bookmarkStart w:id="90" w:name="_Toc16938550"/>
      <w:bookmarkStart w:id="91" w:name="_Toc513029234"/>
      <w:bookmarkStart w:id="92" w:name="_Toc20823306"/>
      <w:r>
        <w:rPr>
          <w:rFonts w:hint="eastAsia" w:ascii="方正仿宋_GBK" w:hAnsi="方正仿宋_GBK" w:eastAsia="方正仿宋_GBK" w:cs="方正仿宋_GBK"/>
          <w:color w:val="auto"/>
          <w:sz w:val="28"/>
          <w:szCs w:val="28"/>
        </w:rPr>
        <w:t>5.7投标人在开、评标全过程中应保持通讯畅通，并安排专人与代理机构及评标委员会联系。</w:t>
      </w:r>
    </w:p>
    <w:bookmarkEnd w:id="90"/>
    <w:bookmarkEnd w:id="91"/>
    <w:bookmarkEnd w:id="92"/>
    <w:p w14:paraId="6C36D8A9">
      <w:pPr>
        <w:pStyle w:val="8"/>
        <w:adjustRightInd w:val="0"/>
        <w:snapToGrid w:val="0"/>
        <w:spacing w:line="480" w:lineRule="exact"/>
        <w:ind w:firstLine="560" w:firstLineChars="200"/>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rPr>
        <w:t>6.无效投标条款和废标条款</w:t>
      </w:r>
    </w:p>
    <w:p w14:paraId="6F8607EE">
      <w:pPr>
        <w:tabs>
          <w:tab w:val="left" w:pos="6555"/>
          <w:tab w:val="right" w:pos="8306"/>
        </w:tabs>
        <w:adjustRightInd w:val="0"/>
        <w:snapToGrid w:val="0"/>
        <w:spacing w:line="480" w:lineRule="exact"/>
        <w:ind w:firstLine="560" w:firstLineChars="200"/>
        <w:rPr>
          <w:rFonts w:hint="eastAsia" w:ascii="方正仿宋_GBK" w:hAnsi="方正仿宋_GBK" w:eastAsia="方正仿宋_GBK" w:cs="方正仿宋_GBK"/>
          <w:b/>
          <w:color w:val="auto"/>
          <w:sz w:val="28"/>
          <w:szCs w:val="28"/>
        </w:rPr>
      </w:pPr>
      <w:bookmarkStart w:id="93" w:name="_Toc20823307"/>
      <w:bookmarkStart w:id="94" w:name="_Toc513029235"/>
      <w:bookmarkStart w:id="95" w:name="_Toc16938551"/>
      <w:r>
        <w:rPr>
          <w:rFonts w:hint="eastAsia" w:ascii="方正仿宋_GBK" w:hAnsi="方正仿宋_GBK" w:eastAsia="方正仿宋_GBK" w:cs="方正仿宋_GBK"/>
          <w:bCs/>
          <w:color w:val="auto"/>
          <w:sz w:val="28"/>
          <w:szCs w:val="28"/>
        </w:rPr>
        <w:t>6.1出现下列情形之一的，作无效响应处理。</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
          <w:color w:val="auto"/>
          <w:sz w:val="28"/>
          <w:szCs w:val="28"/>
        </w:rPr>
        <w:tab/>
      </w:r>
    </w:p>
    <w:p w14:paraId="7130A489">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6.1.1</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在规定的时间内未成功提交响应文件的。</w:t>
      </w:r>
    </w:p>
    <w:p w14:paraId="2373C2D5">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6.1.2未完整提交响应文件的。</w:t>
      </w:r>
    </w:p>
    <w:p w14:paraId="1C879A4F">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6.1.3同一投标人提交两个（含两个）以上不同的响应报价的。</w:t>
      </w:r>
    </w:p>
    <w:p w14:paraId="5EA59503">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6.1.4不具备招标文件中规定的资格要求的。 </w:t>
      </w:r>
    </w:p>
    <w:p w14:paraId="0F581B4D">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6.1.5响应报价超过了采购预算或最高限价的。 </w:t>
      </w:r>
    </w:p>
    <w:p w14:paraId="6DD14CDB">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6.1.6未通过符合性检查的。</w:t>
      </w:r>
    </w:p>
    <w:p w14:paraId="7481B01E">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6.1.7不符合法律、法规和招标文件中规定的其他实质性要求的。</w:t>
      </w:r>
    </w:p>
    <w:p w14:paraId="785CD19E">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6.1.8</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被 “信用中国”网站（www.creditchina.gov.cn）列入失信被执行人或重大税收违法案件当事人名单或采购严重失信行为记录名单，或查询“信用中国”网站后发现</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存在其他不符合合格投标人资格条件的信用记录。</w:t>
      </w:r>
    </w:p>
    <w:p w14:paraId="25A63DEE">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6.1.9 响应文件含有招标人不能接受的附加条件的。</w:t>
      </w:r>
    </w:p>
    <w:p w14:paraId="4D9D4026">
      <w:pPr>
        <w:adjustRightInd w:val="0"/>
        <w:snapToGrid w:val="0"/>
        <w:spacing w:line="480" w:lineRule="exact"/>
        <w:ind w:firstLine="560" w:firstLineChars="200"/>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Cs/>
          <w:color w:val="auto"/>
          <w:sz w:val="28"/>
          <w:szCs w:val="28"/>
        </w:rPr>
        <w:t>6.1.10评标小组认为投标人的报价明显低于其他通过符合性审查</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的报价，有可能影响产品质量或者不能诚信履约的，将要求其在合理的时间内提供说明，必要时提交相关证明材料；投标人不能</w:t>
      </w:r>
      <w:r>
        <w:rPr>
          <w:rFonts w:hint="eastAsia" w:ascii="方正仿宋_GBK" w:hAnsi="方正仿宋_GBK" w:eastAsia="方正仿宋_GBK" w:cs="方正仿宋_GBK"/>
          <w:b w:val="0"/>
          <w:bCs/>
          <w:color w:val="auto"/>
          <w:sz w:val="28"/>
          <w:szCs w:val="28"/>
        </w:rPr>
        <w:t>证明其报价合理性的，评标小组应当将其作为无效响应处理。</w:t>
      </w:r>
    </w:p>
    <w:p w14:paraId="09760953">
      <w:pPr>
        <w:adjustRightInd w:val="0"/>
        <w:snapToGrid w:val="0"/>
        <w:spacing w:line="480" w:lineRule="exact"/>
        <w:ind w:firstLine="560" w:firstLineChars="200"/>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rPr>
        <w:t>6.1.11响应文件未按照招标文件要求盖章、密封的。</w:t>
      </w:r>
    </w:p>
    <w:p w14:paraId="013B293E">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 w:val="0"/>
          <w:bCs/>
          <w:color w:val="auto"/>
          <w:sz w:val="28"/>
          <w:szCs w:val="28"/>
        </w:rPr>
        <w:t>6.1.12投标人的商务技术部分得分相差悬殊</w:t>
      </w:r>
      <w:r>
        <w:rPr>
          <w:rFonts w:hint="eastAsia" w:ascii="方正仿宋_GBK" w:hAnsi="方正仿宋_GBK" w:eastAsia="方正仿宋_GBK" w:cs="方正仿宋_GBK"/>
          <w:bCs/>
          <w:color w:val="auto"/>
          <w:sz w:val="28"/>
          <w:szCs w:val="28"/>
        </w:rPr>
        <w:t>，评标委员会认为得分畸低者没有实质性响应的。</w:t>
      </w:r>
    </w:p>
    <w:p w14:paraId="6C66FA4A">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6.1.13其他法律、法规及本招标文件规定的属无效响应的情形。</w:t>
      </w:r>
    </w:p>
    <w:p w14:paraId="2C960AC5">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6.2废标条款：</w:t>
      </w:r>
    </w:p>
    <w:p w14:paraId="46EC2930">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6.2.1符合专业条件的</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或者对招标文件作实质响应的</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不足三家的。</w:t>
      </w:r>
    </w:p>
    <w:p w14:paraId="601686EA">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6.2.2出现影响采购公正的违法、违规行为的。</w:t>
      </w:r>
    </w:p>
    <w:p w14:paraId="4FA64220">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6.2.3因重大变故，采购任务取消的。</w:t>
      </w:r>
    </w:p>
    <w:p w14:paraId="6FF2418A">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6.2.4评标委员会认定招标文件存在歧义、重大缺陷导致评审工作无法进行。</w:t>
      </w:r>
    </w:p>
    <w:p w14:paraId="13BC99BA">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6.2.5 因系统故障原因造成开评标无法继续进行的（适用于不见面开标模式）。</w:t>
      </w:r>
    </w:p>
    <w:p w14:paraId="401F1C08">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6.3 投标截止时间结束后参加投标的</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不足三家的处理：</w:t>
      </w:r>
    </w:p>
    <w:p w14:paraId="5E795954">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6.3.1如出现投标截止时间结束后参加投标的</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或者在评标期间对招标文件做出实质响应的</w:t>
      </w:r>
      <w:r>
        <w:rPr>
          <w:rFonts w:hint="eastAsia" w:ascii="方正仿宋_GBK" w:hAnsi="方正仿宋_GBK" w:eastAsia="方正仿宋_GBK" w:cs="方正仿宋_GBK"/>
          <w:color w:val="auto"/>
          <w:sz w:val="28"/>
          <w:szCs w:val="28"/>
        </w:rPr>
        <w:t>投标人</w:t>
      </w:r>
      <w:r>
        <w:rPr>
          <w:rFonts w:hint="eastAsia" w:ascii="方正仿宋_GBK" w:hAnsi="方正仿宋_GBK" w:eastAsia="方正仿宋_GBK" w:cs="方正仿宋_GBK"/>
          <w:bCs/>
          <w:color w:val="auto"/>
          <w:sz w:val="28"/>
          <w:szCs w:val="28"/>
        </w:rPr>
        <w:t>不足三家情况，按政府采购相关规定执行。</w:t>
      </w:r>
    </w:p>
    <w:bookmarkEnd w:id="93"/>
    <w:bookmarkEnd w:id="94"/>
    <w:bookmarkEnd w:id="95"/>
    <w:p w14:paraId="6483DB57">
      <w:pPr>
        <w:pStyle w:val="7"/>
        <w:adjustRightInd w:val="0"/>
        <w:snapToGrid w:val="0"/>
        <w:spacing w:before="0" w:after="0" w:line="480" w:lineRule="exact"/>
        <w:ind w:firstLine="562" w:firstLineChars="200"/>
        <w:rPr>
          <w:rFonts w:hint="eastAsia" w:ascii="方正仿宋_GBK" w:hAnsi="方正仿宋_GBK" w:eastAsia="方正仿宋_GBK" w:cs="方正仿宋_GBK"/>
          <w:color w:val="auto"/>
          <w:sz w:val="28"/>
          <w:szCs w:val="28"/>
        </w:rPr>
      </w:pPr>
      <w:bookmarkStart w:id="96" w:name="_Toc120614219"/>
      <w:r>
        <w:rPr>
          <w:rFonts w:hint="eastAsia" w:ascii="方正仿宋_GBK" w:hAnsi="方正仿宋_GBK" w:eastAsia="方正仿宋_GBK" w:cs="方正仿宋_GBK"/>
          <w:color w:val="auto"/>
          <w:sz w:val="28"/>
          <w:szCs w:val="28"/>
        </w:rPr>
        <w:t>六、定标</w:t>
      </w:r>
      <w:bookmarkEnd w:id="96"/>
    </w:p>
    <w:p w14:paraId="4269881D">
      <w:pPr>
        <w:pStyle w:val="8"/>
        <w:adjustRightInd w:val="0"/>
        <w:snapToGrid w:val="0"/>
        <w:spacing w:line="480" w:lineRule="exact"/>
        <w:ind w:firstLine="560" w:firstLineChars="200"/>
        <w:jc w:val="both"/>
        <w:rPr>
          <w:rFonts w:hint="eastAsia" w:ascii="方正仿宋_GBK" w:hAnsi="方正仿宋_GBK" w:eastAsia="方正仿宋_GBK" w:cs="方正仿宋_GBK"/>
          <w:b/>
          <w:color w:val="auto"/>
          <w:sz w:val="28"/>
          <w:szCs w:val="28"/>
        </w:rPr>
      </w:pPr>
      <w:bookmarkStart w:id="97" w:name="_Toc16938554"/>
      <w:bookmarkStart w:id="98" w:name="_Toc20823310"/>
      <w:r>
        <w:rPr>
          <w:rFonts w:hint="eastAsia" w:ascii="方正仿宋_GBK" w:hAnsi="方正仿宋_GBK" w:eastAsia="方正仿宋_GBK" w:cs="方正仿宋_GBK"/>
          <w:color w:val="auto"/>
          <w:sz w:val="28"/>
          <w:szCs w:val="28"/>
        </w:rPr>
        <w:t>1.确定</w:t>
      </w:r>
      <w:bookmarkEnd w:id="97"/>
      <w:bookmarkEnd w:id="98"/>
      <w:r>
        <w:rPr>
          <w:rFonts w:hint="eastAsia" w:ascii="方正仿宋_GBK" w:hAnsi="方正仿宋_GBK" w:eastAsia="方正仿宋_GBK" w:cs="方正仿宋_GBK"/>
          <w:color w:val="auto"/>
          <w:sz w:val="28"/>
          <w:szCs w:val="28"/>
        </w:rPr>
        <w:t>中标单位</w:t>
      </w:r>
    </w:p>
    <w:p w14:paraId="148E4A7B">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1.1中标候选人的选取原则和数量见招标文件第四部分规定。 </w:t>
      </w:r>
    </w:p>
    <w:p w14:paraId="31565C97">
      <w:pPr>
        <w:adjustRightInd w:val="0"/>
        <w:snapToGrid w:val="0"/>
        <w:spacing w:line="48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1.2招标人授权评委会在中标候选人中直接确定中标人。</w:t>
      </w:r>
    </w:p>
    <w:p w14:paraId="61919838">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1.3</w:t>
      </w:r>
      <w:r>
        <w:rPr>
          <w:rFonts w:hint="eastAsia" w:ascii="方正仿宋_GBK" w:hAnsi="方正仿宋_GBK" w:eastAsia="方正仿宋_GBK" w:cs="方正仿宋_GBK"/>
          <w:color w:val="auto"/>
          <w:sz w:val="28"/>
          <w:szCs w:val="28"/>
        </w:rPr>
        <w:t>代理机构将在“</w:t>
      </w:r>
      <w:r>
        <w:rPr>
          <w:rFonts w:hint="eastAsia" w:ascii="方正仿宋_GBK" w:hAnsi="方正仿宋_GBK" w:eastAsia="方正仿宋_GBK" w:cs="方正仿宋_GBK"/>
          <w:color w:val="auto"/>
          <w:sz w:val="28"/>
          <w:szCs w:val="28"/>
          <w:lang w:eastAsia="zh-CN"/>
        </w:rPr>
        <w:t>崇川区人民政府网站</w:t>
      </w:r>
      <w:r>
        <w:rPr>
          <w:rFonts w:hint="eastAsia" w:ascii="方正仿宋_GBK" w:hAnsi="方正仿宋_GBK" w:eastAsia="方正仿宋_GBK" w:cs="方正仿宋_GBK"/>
          <w:color w:val="auto"/>
          <w:sz w:val="28"/>
          <w:szCs w:val="28"/>
        </w:rPr>
        <w:t>”发布中标公告，公告期限为1个工作日。</w:t>
      </w:r>
    </w:p>
    <w:p w14:paraId="12389DBA">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1.4若有充分证据证明，中标人出现下列情况之一的，一经查实，将被取消中标资格：</w:t>
      </w:r>
    </w:p>
    <w:p w14:paraId="788C3729">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1.4.1提供虚假材料谋取中标的。</w:t>
      </w:r>
    </w:p>
    <w:p w14:paraId="1F98265C">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1.4.2向招标人、代理机构行贿或者提供其他不正当利益的。</w:t>
      </w:r>
    </w:p>
    <w:p w14:paraId="3A93312D">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1.4.3恶意竞争，投标总报价明显低于其自身合理成本且又无法提供证明的。</w:t>
      </w:r>
    </w:p>
    <w:p w14:paraId="47F37EFB">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1.4.4属于本文件规定的无效条件，但在评标过程中又未被评委会发现的。</w:t>
      </w:r>
    </w:p>
    <w:p w14:paraId="596DD45B">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1.4.5与招标人或者其他投标人恶意串通的。</w:t>
      </w:r>
    </w:p>
    <w:p w14:paraId="080E1B20">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1.4.6采取不正当手段诋毁、排挤其他投标人的。</w:t>
      </w:r>
    </w:p>
    <w:p w14:paraId="2431CD4F">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bookmarkStart w:id="99" w:name="_Toc200451960"/>
      <w:r>
        <w:rPr>
          <w:rFonts w:hint="eastAsia" w:ascii="方正仿宋_GBK" w:hAnsi="方正仿宋_GBK" w:eastAsia="方正仿宋_GBK" w:cs="方正仿宋_GBK"/>
          <w:color w:val="auto"/>
          <w:sz w:val="28"/>
          <w:szCs w:val="28"/>
        </w:rPr>
        <w:t>1.5.</w:t>
      </w:r>
      <w:r>
        <w:rPr>
          <w:rFonts w:hint="eastAsia" w:ascii="方正仿宋_GBK" w:hAnsi="方正仿宋_GBK" w:eastAsia="方正仿宋_GBK" w:cs="方正仿宋_GBK"/>
          <w:color w:val="auto"/>
          <w:kern w:val="0"/>
          <w:sz w:val="28"/>
          <w:szCs w:val="28"/>
        </w:rPr>
        <w:t>有下列情形之一的，视为投标人串通投标，投标无效：</w:t>
      </w:r>
    </w:p>
    <w:p w14:paraId="09914E66">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1.5.1不同投标人的投标文件由同一单位或者个人编制；</w:t>
      </w:r>
    </w:p>
    <w:p w14:paraId="169FCD10">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1.5.2不同投标人委托同一单位或者个人办理投标事宜；</w:t>
      </w:r>
    </w:p>
    <w:p w14:paraId="6544426E">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1.5.3不同投标人的投标文件载明的项目管理成员或者联系人员为同一人；</w:t>
      </w:r>
    </w:p>
    <w:p w14:paraId="1C99F192">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1.5.4不同投标人的投标文件异常一致或者投标报价呈规律性差异；</w:t>
      </w:r>
    </w:p>
    <w:p w14:paraId="3DD20DAC">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1.5.5不同投标人的投标文件相互混装；</w:t>
      </w:r>
    </w:p>
    <w:p w14:paraId="6BD76B8E">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2.质疑事项</w:t>
      </w:r>
    </w:p>
    <w:bookmarkEnd w:id="99"/>
    <w:p w14:paraId="362A51FD">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bookmarkStart w:id="100" w:name="_Toc120614220"/>
      <w:bookmarkStart w:id="101" w:name="_Toc20823308"/>
      <w:bookmarkStart w:id="102" w:name="_Toc16938552"/>
      <w:bookmarkStart w:id="103" w:name="_Toc513029236"/>
      <w:r>
        <w:rPr>
          <w:rFonts w:hint="eastAsia" w:ascii="方正仿宋_GBK" w:hAnsi="方正仿宋_GBK" w:eastAsia="方正仿宋_GBK" w:cs="方正仿宋_GBK"/>
          <w:color w:val="auto"/>
          <w:sz w:val="28"/>
          <w:szCs w:val="28"/>
        </w:rPr>
        <w:t>2.1 提出质疑的供应商应当是参与所质疑项目采购活动的供应商。潜在供应商依法获取其可质疑的招标文件的，可以对招标文件提出质疑。</w:t>
      </w:r>
    </w:p>
    <w:p w14:paraId="35B636A6">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2.2供应商认为招标文件、采购过程和采购结果使自己的权益受到损害的，可以在知道或应知其权益受到损害之日起七个工作日内，以书面形式向代理机构或招标人提出质疑。上述应知其权益受到损害之日，是指：</w:t>
      </w:r>
    </w:p>
    <w:p w14:paraId="7FBC53B7">
      <w:pPr>
        <w:adjustRightInd w:val="0"/>
        <w:snapToGrid w:val="0"/>
        <w:spacing w:line="480" w:lineRule="exact"/>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2.2.1</w:t>
      </w:r>
      <w:r>
        <w:rPr>
          <w:rFonts w:hint="eastAsia" w:ascii="方正仿宋_GBK" w:hAnsi="方正仿宋_GBK" w:eastAsia="方正仿宋_GBK" w:cs="方正仿宋_GBK"/>
          <w:color w:val="auto"/>
          <w:kern w:val="0"/>
          <w:sz w:val="28"/>
          <w:szCs w:val="28"/>
        </w:rPr>
        <w:t>对可以质疑的招标文件提出质疑的，为收到招标文件之日或者招标文件公告期限届满之日；</w:t>
      </w:r>
    </w:p>
    <w:p w14:paraId="47165D5B">
      <w:pPr>
        <w:adjustRightInd w:val="0"/>
        <w:snapToGrid w:val="0"/>
        <w:spacing w:line="480" w:lineRule="exact"/>
        <w:ind w:firstLine="562" w:firstLineChars="200"/>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sz w:val="28"/>
          <w:szCs w:val="28"/>
        </w:rPr>
        <w:t>2.2.2</w:t>
      </w:r>
      <w:r>
        <w:rPr>
          <w:rFonts w:hint="eastAsia" w:ascii="方正仿宋_GBK" w:hAnsi="方正仿宋_GBK" w:eastAsia="方正仿宋_GBK" w:cs="方正仿宋_GBK"/>
          <w:b/>
          <w:bCs/>
          <w:color w:val="auto"/>
          <w:kern w:val="0"/>
          <w:sz w:val="28"/>
          <w:szCs w:val="28"/>
        </w:rPr>
        <w:t>对采购过程提出质疑的，为各采购程序环节结束之日；</w:t>
      </w:r>
    </w:p>
    <w:p w14:paraId="6FD14816">
      <w:pPr>
        <w:adjustRightInd w:val="0"/>
        <w:snapToGrid w:val="0"/>
        <w:spacing w:line="48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54ED3EF2">
      <w:pPr>
        <w:adjustRightInd w:val="0"/>
        <w:snapToGrid w:val="0"/>
        <w:spacing w:line="480" w:lineRule="exact"/>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2.2.3</w:t>
      </w:r>
      <w:r>
        <w:rPr>
          <w:rFonts w:hint="eastAsia" w:ascii="方正仿宋_GBK" w:hAnsi="方正仿宋_GBK" w:eastAsia="方正仿宋_GBK" w:cs="方正仿宋_GBK"/>
          <w:color w:val="auto"/>
          <w:kern w:val="0"/>
          <w:sz w:val="28"/>
          <w:szCs w:val="28"/>
        </w:rPr>
        <w:t>对中标或者成交结果提出质疑的，为中标或者成交结果公告期限届满之日。</w:t>
      </w:r>
    </w:p>
    <w:p w14:paraId="44C798B7">
      <w:pPr>
        <w:adjustRightInd w:val="0"/>
        <w:snapToGrid w:val="0"/>
        <w:spacing w:line="480" w:lineRule="exact"/>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供应商应当在法定质疑期内一次性提出针对同一采购程序环节的质疑。</w:t>
      </w:r>
    </w:p>
    <w:p w14:paraId="0CCD3171">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2.3质疑函必须按照本招标文件中《质疑函范本》要求的格式和内容进行填写。</w:t>
      </w:r>
    </w:p>
    <w:p w14:paraId="4BBA6B9E">
      <w:pPr>
        <w:adjustRightInd w:val="0"/>
        <w:snapToGrid w:val="0"/>
        <w:spacing w:line="480" w:lineRule="exact"/>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2.4对采购方式、招标文件中项目需求、供应商资格条件、评审方法和评审标准、资格审查结果等应当由</w:t>
      </w:r>
      <w:r>
        <w:rPr>
          <w:rFonts w:hint="eastAsia" w:ascii="方正仿宋_GBK" w:hAnsi="方正仿宋_GBK" w:eastAsia="方正仿宋_GBK" w:cs="方正仿宋_GBK"/>
          <w:color w:val="auto"/>
          <w:sz w:val="28"/>
          <w:szCs w:val="28"/>
          <w:lang w:eastAsia="zh-CN"/>
        </w:rPr>
        <w:t>招标人</w:t>
      </w:r>
      <w:r>
        <w:rPr>
          <w:rFonts w:hint="eastAsia" w:ascii="方正仿宋_GBK" w:hAnsi="方正仿宋_GBK" w:eastAsia="方正仿宋_GBK" w:cs="方正仿宋_GBK"/>
          <w:color w:val="auto"/>
          <w:sz w:val="28"/>
          <w:szCs w:val="28"/>
        </w:rPr>
        <w:t>答复的质疑，请向招标人提出，由招标人负责答复。投标人对其他事项的质疑，请向招标代理机构提出，由招标人或招标代理机构负责答复。</w:t>
      </w:r>
    </w:p>
    <w:p w14:paraId="4745CBA3">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供应商提起质疑采取书面形式，可以现场送达，也可以邮寄。</w:t>
      </w:r>
    </w:p>
    <w:p w14:paraId="78BAC880">
      <w:pPr>
        <w:adjustRightInd w:val="0"/>
        <w:snapToGrid w:val="0"/>
        <w:spacing w:line="480" w:lineRule="exact"/>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招标人及招标代理机构质疑接收人及联系方式，见招标文件第一部分。</w:t>
      </w:r>
    </w:p>
    <w:p w14:paraId="1285054F">
      <w:pPr>
        <w:adjustRightInd w:val="0"/>
        <w:snapToGrid w:val="0"/>
        <w:spacing w:line="480" w:lineRule="exact"/>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2.5供应商提出质疑应当提交质疑函和必要的证明材料，否则不予受理。质疑函应当包括下列内容：</w:t>
      </w:r>
    </w:p>
    <w:p w14:paraId="359C9B86">
      <w:pPr>
        <w:adjustRightInd w:val="0"/>
        <w:snapToGrid w:val="0"/>
        <w:spacing w:line="480" w:lineRule="exact"/>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供应商的姓名或者名称、地址、邮编、联系人及联系电话；</w:t>
      </w:r>
    </w:p>
    <w:p w14:paraId="49A468B6">
      <w:pPr>
        <w:adjustRightInd w:val="0"/>
        <w:snapToGrid w:val="0"/>
        <w:spacing w:line="480" w:lineRule="exact"/>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质疑项目的名称、编号；</w:t>
      </w:r>
    </w:p>
    <w:p w14:paraId="03A89942">
      <w:pPr>
        <w:adjustRightInd w:val="0"/>
        <w:snapToGrid w:val="0"/>
        <w:spacing w:line="480" w:lineRule="exact"/>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具体、明确的质疑事项和与质疑事项相关的请求；</w:t>
      </w:r>
    </w:p>
    <w:p w14:paraId="01E8C542">
      <w:pPr>
        <w:adjustRightInd w:val="0"/>
        <w:snapToGrid w:val="0"/>
        <w:spacing w:line="480" w:lineRule="exact"/>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事实依据；</w:t>
      </w:r>
    </w:p>
    <w:p w14:paraId="495D580C">
      <w:pPr>
        <w:adjustRightInd w:val="0"/>
        <w:snapToGrid w:val="0"/>
        <w:spacing w:line="480" w:lineRule="exact"/>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必要的法律依据；</w:t>
      </w:r>
    </w:p>
    <w:p w14:paraId="430505E6">
      <w:pPr>
        <w:adjustRightInd w:val="0"/>
        <w:snapToGrid w:val="0"/>
        <w:spacing w:line="480" w:lineRule="exact"/>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提出质疑的日期。</w:t>
      </w:r>
    </w:p>
    <w:p w14:paraId="3D005864">
      <w:pPr>
        <w:adjustRightInd w:val="0"/>
        <w:snapToGrid w:val="0"/>
        <w:spacing w:line="480" w:lineRule="exact"/>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供应商为自然人的，应当由本人签字；供应商为法人或者其他组织的，应当由法定代表人、主要负责人，或者其授权代表签字或者盖章，并加盖公章。</w:t>
      </w:r>
    </w:p>
    <w:p w14:paraId="48FDBC7B">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2.5 以下情形的质疑不予受理</w:t>
      </w:r>
    </w:p>
    <w:p w14:paraId="3B495794">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2.5.1 内容不符合上述规定的质疑。</w:t>
      </w:r>
    </w:p>
    <w:p w14:paraId="0DCA0D3E">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2.5.2 超出采购法定期限的质疑。</w:t>
      </w:r>
    </w:p>
    <w:p w14:paraId="5D91C7B3">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2.5.3 未参加招标活动的供应商或在招标活动中自身权益未受到损害的供应商所提出的质疑。</w:t>
      </w:r>
    </w:p>
    <w:p w14:paraId="5A3690E6">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2.6 投标人提出书面质疑必须有理、有据，不得捏造事实、提供虚假材料进行恶意质疑。否则，一经查实，招标代理机构有权依据招标的有关规定，报请采购监管部门对该供应商进行相应的行政处罚和记录该供应商的失信信息。</w:t>
      </w:r>
    </w:p>
    <w:p w14:paraId="709CBDAF">
      <w:pPr>
        <w:pStyle w:val="8"/>
        <w:adjustRightInd w:val="0"/>
        <w:snapToGrid w:val="0"/>
        <w:spacing w:line="480" w:lineRule="exact"/>
        <w:ind w:firstLine="560" w:firstLineChars="200"/>
        <w:jc w:val="both"/>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3.中标通知书</w:t>
      </w:r>
    </w:p>
    <w:p w14:paraId="2B6A1E55">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3.l中标结果确定后，招标人将向中标人发出中标通知书。成交供应商应在成交结果公告期满后5个工作日内到采购代理机构办理领取中标通知书手续，否则，由此产生的后果供应商自负。</w:t>
      </w:r>
    </w:p>
    <w:p w14:paraId="08513FE1">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3.2中标通知书将是合同的一个组成部分。对招标人和中标人均具有法律效力。中标通知书发出后，招标人改变中标结果的，或者中标人放弃中标项目的，应当依法承担法律责任。</w:t>
      </w:r>
    </w:p>
    <w:p w14:paraId="65908FC0">
      <w:pPr>
        <w:pStyle w:val="7"/>
        <w:adjustRightInd w:val="0"/>
        <w:snapToGrid w:val="0"/>
        <w:spacing w:before="0" w:after="0" w:line="480" w:lineRule="exact"/>
        <w:ind w:firstLine="562"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七、授予合同</w:t>
      </w:r>
      <w:bookmarkEnd w:id="100"/>
    </w:p>
    <w:bookmarkEnd w:id="101"/>
    <w:bookmarkEnd w:id="102"/>
    <w:bookmarkEnd w:id="103"/>
    <w:p w14:paraId="203F6E43">
      <w:pPr>
        <w:pStyle w:val="8"/>
        <w:adjustRightInd w:val="0"/>
        <w:snapToGrid w:val="0"/>
        <w:spacing w:line="480" w:lineRule="exact"/>
        <w:ind w:firstLine="560" w:firstLineChars="200"/>
        <w:jc w:val="both"/>
        <w:rPr>
          <w:rFonts w:hint="eastAsia" w:ascii="方正仿宋_GBK" w:hAnsi="方正仿宋_GBK" w:eastAsia="方正仿宋_GBK" w:cs="方正仿宋_GBK"/>
          <w:b/>
          <w:color w:val="auto"/>
          <w:sz w:val="28"/>
          <w:szCs w:val="28"/>
        </w:rPr>
      </w:pPr>
      <w:bookmarkStart w:id="104" w:name="_Toc16938553"/>
      <w:bookmarkStart w:id="105" w:name="_Toc513029237"/>
      <w:bookmarkStart w:id="106" w:name="_Toc20823309"/>
      <w:r>
        <w:rPr>
          <w:rFonts w:hint="eastAsia" w:ascii="方正仿宋_GBK" w:hAnsi="方正仿宋_GBK" w:eastAsia="方正仿宋_GBK" w:cs="方正仿宋_GBK"/>
          <w:color w:val="auto"/>
          <w:sz w:val="28"/>
          <w:szCs w:val="28"/>
        </w:rPr>
        <w:t>1.签订合同</w:t>
      </w:r>
    </w:p>
    <w:p w14:paraId="5583339A">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1</w:t>
      </w:r>
      <w:r>
        <w:rPr>
          <w:rFonts w:hint="eastAsia" w:ascii="方正仿宋_GBK" w:hAnsi="方正仿宋_GBK" w:eastAsia="方正仿宋_GBK" w:cs="方正仿宋_GBK"/>
          <w:color w:val="auto"/>
          <w:sz w:val="28"/>
          <w:szCs w:val="28"/>
        </w:rPr>
        <w:t>.l中标人应当在中标通知书发出之日起三十日内，按照招标文件确定的事项与招标人签订政府采购合同。</w:t>
      </w:r>
    </w:p>
    <w:p w14:paraId="56157E21">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1.2招标文件、中标人的投标文件及招标过程中有关澄清、承诺文件均应作为合同附件。</w:t>
      </w:r>
    </w:p>
    <w:p w14:paraId="0B92ECAD">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签订合同后，中标人不得将服务进行转包。未经招标人同意，中标人也不得采用分包的形式履行合同，否则招标人有权终止合同。政府采购合同分包履行的，中标人就采购项目和分包项目向招标人负责，分包中标人就分包项目承担责任。转包或分包造成招标人损失的，中标人应承担相应赔偿责任。</w:t>
      </w:r>
    </w:p>
    <w:p w14:paraId="328A6A5E">
      <w:pPr>
        <w:pStyle w:val="8"/>
        <w:adjustRightInd w:val="0"/>
        <w:snapToGrid w:val="0"/>
        <w:spacing w:line="480" w:lineRule="exact"/>
        <w:ind w:firstLine="560" w:firstLineChars="200"/>
        <w:jc w:val="both"/>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2.服务的追加、减少和添购。</w:t>
      </w:r>
    </w:p>
    <w:p w14:paraId="5CC5B1D5">
      <w:pPr>
        <w:adjustRightInd w:val="0"/>
        <w:snapToGrid w:val="0"/>
        <w:spacing w:line="4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2.1采购合同履行中，招标人需追加与合同标的相同的服务的，在不改变合同其他条款的前提下，可以与中标人协商签订补充合同，但所有补充合同的采购金额不超过原合同金额10%。</w:t>
      </w:r>
    </w:p>
    <w:p w14:paraId="0745F5FE">
      <w:pPr>
        <w:adjustRightInd w:val="0"/>
        <w:snapToGrid w:val="0"/>
        <w:spacing w:line="480" w:lineRule="exact"/>
        <w:ind w:firstLine="560" w:firstLineChars="200"/>
        <w:rPr>
          <w:rFonts w:hint="eastAsia" w:ascii="方正仿宋_GBK" w:hAnsi="方正仿宋_GBK" w:eastAsia="方正仿宋_GBK" w:cs="方正仿宋_GBK"/>
          <w:bCs/>
          <w:color w:val="auto"/>
          <w:sz w:val="36"/>
          <w:szCs w:val="36"/>
        </w:rPr>
      </w:pPr>
      <w:r>
        <w:rPr>
          <w:rFonts w:hint="eastAsia" w:ascii="方正仿宋_GBK" w:hAnsi="方正仿宋_GBK" w:eastAsia="方正仿宋_GBK" w:cs="方正仿宋_GBK"/>
          <w:color w:val="auto"/>
          <w:sz w:val="28"/>
          <w:szCs w:val="28"/>
        </w:rPr>
        <w:t>2.2采购结束后，招标人若由于各种客观原因，必须对采购项目所牵涉的服务进行适当的减少时，在双方协商一致的前提下，可以按照招标采购时的价格水平做相应的调减，并据此签订补充合同。</w:t>
      </w:r>
      <w:bookmarkEnd w:id="104"/>
      <w:bookmarkEnd w:id="105"/>
      <w:bookmarkEnd w:id="106"/>
    </w:p>
    <w:p w14:paraId="13AE2D64">
      <w:pPr>
        <w:rPr>
          <w:rFonts w:hint="eastAsia"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br w:type="page"/>
      </w:r>
    </w:p>
    <w:p w14:paraId="6DE49D0D">
      <w:pPr>
        <w:jc w:val="center"/>
        <w:rPr>
          <w:rFonts w:hint="eastAsia" w:ascii="方正仿宋_GBK" w:hAnsi="方正仿宋_GBK" w:eastAsia="方正仿宋_GBK" w:cs="方正仿宋_GBK"/>
          <w:bCs/>
          <w:color w:val="auto"/>
          <w:sz w:val="36"/>
          <w:szCs w:val="36"/>
        </w:rPr>
      </w:pPr>
      <w:r>
        <w:rPr>
          <w:rFonts w:hint="eastAsia" w:ascii="方正仿宋_GBK" w:hAnsi="方正仿宋_GBK" w:eastAsia="方正仿宋_GBK" w:cs="方正仿宋_GBK"/>
          <w:b/>
          <w:color w:val="auto"/>
          <w:sz w:val="36"/>
          <w:szCs w:val="36"/>
        </w:rPr>
        <w:t>第三部分  项目需求</w:t>
      </w:r>
    </w:p>
    <w:p w14:paraId="7D37D57A">
      <w:pPr>
        <w:spacing w:line="520" w:lineRule="exact"/>
        <w:ind w:firstLine="560" w:firstLineChars="20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8A5EDF8">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一、项目概况</w:t>
      </w:r>
    </w:p>
    <w:p w14:paraId="210FA2D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根据土壤污染重点监管单位周边监测相关技术规定，完成</w:t>
      </w:r>
      <w:r>
        <w:rPr>
          <w:rFonts w:hint="eastAsia" w:ascii="方正仿宋_GBK" w:hAnsi="方正仿宋_GBK" w:eastAsia="方正仿宋_GBK" w:cs="方正仿宋_GBK"/>
          <w:color w:val="auto"/>
          <w:sz w:val="28"/>
          <w:szCs w:val="28"/>
          <w:lang w:val="en-US" w:eastAsia="zh-CN"/>
        </w:rPr>
        <w:t>2025年崇川区9家土壤污染</w:t>
      </w:r>
      <w:r>
        <w:rPr>
          <w:rFonts w:hint="eastAsia" w:ascii="方正仿宋_GBK" w:hAnsi="方正仿宋_GBK" w:eastAsia="方正仿宋_GBK" w:cs="方正仿宋_GBK"/>
          <w:color w:val="auto"/>
          <w:sz w:val="28"/>
          <w:szCs w:val="28"/>
        </w:rPr>
        <w:t>重点监管单位</w:t>
      </w:r>
      <w:r>
        <w:rPr>
          <w:rFonts w:hint="eastAsia" w:ascii="方正仿宋_GBK" w:hAnsi="方正仿宋_GBK" w:eastAsia="方正仿宋_GBK" w:cs="方正仿宋_GBK"/>
          <w:color w:val="auto"/>
          <w:sz w:val="28"/>
          <w:szCs w:val="28"/>
          <w:lang w:val="en-US" w:eastAsia="zh-CN"/>
        </w:rPr>
        <w:t>周边土壤和地下水监督性检测工作（其中7家需开展周边土壤与地下水监测，其余两家需开展周边地下水监测）</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并将</w:t>
      </w:r>
      <w:r>
        <w:rPr>
          <w:rFonts w:hint="eastAsia" w:ascii="方正仿宋_GBK" w:hAnsi="方正仿宋_GBK" w:eastAsia="方正仿宋_GBK" w:cs="方正仿宋_GBK"/>
          <w:color w:val="auto"/>
          <w:sz w:val="28"/>
          <w:szCs w:val="28"/>
        </w:rPr>
        <w:t>监测结果</w:t>
      </w:r>
      <w:r>
        <w:rPr>
          <w:rFonts w:hint="eastAsia" w:ascii="方正仿宋_GBK" w:hAnsi="方正仿宋_GBK" w:eastAsia="方正仿宋_GBK" w:cs="方正仿宋_GBK"/>
          <w:color w:val="auto"/>
          <w:sz w:val="28"/>
          <w:szCs w:val="28"/>
          <w:lang w:val="en-US" w:eastAsia="zh-CN"/>
        </w:rPr>
        <w:t>衔接至</w:t>
      </w:r>
      <w:r>
        <w:rPr>
          <w:rFonts w:hint="eastAsia" w:ascii="方正仿宋_GBK" w:hAnsi="方正仿宋_GBK" w:eastAsia="方正仿宋_GBK" w:cs="方正仿宋_GBK"/>
          <w:color w:val="auto"/>
          <w:sz w:val="28"/>
          <w:szCs w:val="28"/>
        </w:rPr>
        <w:t>南通市生态环境监测监控平台土壤和地下水环境监管系统，为建设用地土壤污染源头预防工作提供决策依据，助力</w:t>
      </w:r>
      <w:r>
        <w:rPr>
          <w:rFonts w:hint="eastAsia" w:ascii="方正仿宋_GBK" w:hAnsi="方正仿宋_GBK" w:eastAsia="方正仿宋_GBK" w:cs="方正仿宋_GBK"/>
          <w:color w:val="auto"/>
          <w:sz w:val="28"/>
          <w:szCs w:val="28"/>
          <w:lang w:eastAsia="zh-CN"/>
        </w:rPr>
        <w:t>崇川区</w:t>
      </w:r>
      <w:r>
        <w:rPr>
          <w:rFonts w:hint="eastAsia" w:ascii="方正仿宋_GBK" w:hAnsi="方正仿宋_GBK" w:eastAsia="方正仿宋_GBK" w:cs="方正仿宋_GBK"/>
          <w:color w:val="auto"/>
          <w:sz w:val="28"/>
          <w:szCs w:val="28"/>
        </w:rPr>
        <w:t>土壤和地下水环境质量持续改善。</w:t>
      </w:r>
    </w:p>
    <w:p w14:paraId="163848AC">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二</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项目</w:t>
      </w:r>
      <w:r>
        <w:rPr>
          <w:rFonts w:hint="eastAsia" w:ascii="方正仿宋_GBK" w:hAnsi="方正仿宋_GBK" w:eastAsia="方正仿宋_GBK" w:cs="方正仿宋_GBK"/>
          <w:b/>
          <w:bCs/>
          <w:color w:val="auto"/>
          <w:sz w:val="28"/>
          <w:szCs w:val="28"/>
        </w:rPr>
        <w:t>内容</w:t>
      </w:r>
    </w:p>
    <w:p w14:paraId="6C1EDCC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1.根据关于发布南通市2024年环境监管重点单位名录的通知（通环办〔2024〕25号）、江苏省土壤污染重点监管单位周边监测技术规范（DB32T 4348-2022 ）要求，我区共有9家重点监管单位，其中7家需开展周边土壤与地下水监测，其余两家需开展周边地下水监测。通过对重点监管单位</w:t>
      </w:r>
      <w:r>
        <w:rPr>
          <w:rFonts w:hint="eastAsia" w:ascii="方正仿宋_GBK" w:hAnsi="方正仿宋_GBK" w:eastAsia="方正仿宋_GBK" w:cs="方正仿宋_GBK"/>
          <w:color w:val="auto"/>
          <w:sz w:val="28"/>
          <w:szCs w:val="28"/>
        </w:rPr>
        <w:t>及其周边开展资料收集、现场踏勘、人员访谈、污染识别、</w:t>
      </w:r>
      <w:r>
        <w:rPr>
          <w:rFonts w:hint="eastAsia" w:ascii="方正仿宋_GBK" w:hAnsi="方正仿宋_GBK" w:eastAsia="方正仿宋_GBK" w:cs="方正仿宋_GBK"/>
          <w:color w:val="auto"/>
          <w:sz w:val="28"/>
          <w:szCs w:val="28"/>
          <w:lang w:val="en-US" w:eastAsia="zh-CN"/>
        </w:rPr>
        <w:t>监测井建设、地下水</w:t>
      </w:r>
      <w:r>
        <w:rPr>
          <w:rFonts w:hint="eastAsia" w:ascii="方正仿宋_GBK" w:hAnsi="方正仿宋_GBK" w:eastAsia="方正仿宋_GBK" w:cs="方正仿宋_GBK"/>
          <w:color w:val="auto"/>
          <w:sz w:val="28"/>
          <w:szCs w:val="28"/>
        </w:rPr>
        <w:t>现场采样、样品检测、监测结果分析等工作，完成</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家土壤污染重点监管单位周边</w:t>
      </w:r>
      <w:r>
        <w:rPr>
          <w:rFonts w:hint="eastAsia" w:ascii="方正仿宋_GBK" w:hAnsi="方正仿宋_GBK" w:eastAsia="方正仿宋_GBK" w:cs="方正仿宋_GBK"/>
          <w:color w:val="auto"/>
          <w:sz w:val="28"/>
          <w:szCs w:val="28"/>
          <w:lang w:val="en-US" w:eastAsia="zh-CN"/>
        </w:rPr>
        <w:t>监督性</w:t>
      </w:r>
      <w:r>
        <w:rPr>
          <w:rFonts w:hint="eastAsia" w:ascii="方正仿宋_GBK" w:hAnsi="方正仿宋_GBK" w:eastAsia="方正仿宋_GBK" w:cs="方正仿宋_GBK"/>
          <w:color w:val="auto"/>
          <w:sz w:val="28"/>
          <w:szCs w:val="28"/>
        </w:rPr>
        <w:t>监测报告编制</w:t>
      </w:r>
      <w:r>
        <w:rPr>
          <w:rFonts w:hint="eastAsia" w:ascii="方正仿宋_GBK" w:hAnsi="方正仿宋_GBK" w:eastAsia="方正仿宋_GBK" w:cs="方正仿宋_GBK"/>
          <w:color w:val="auto"/>
          <w:sz w:val="28"/>
          <w:szCs w:val="28"/>
          <w:lang w:eastAsia="zh-CN"/>
        </w:rPr>
        <w:t>。</w:t>
      </w:r>
    </w:p>
    <w:p w14:paraId="005FED7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监测数据及监测结果上传至南通市生态环境监测监控平台土壤和地下水环境监管系统，实现监测点位分布图、超标点位分布图可视化功能，为管理人员提供土壤和地下水监测结果的数据查询、数据管理、数据超标分析等服务功能，为污染识别提供技术支撑。</w:t>
      </w:r>
    </w:p>
    <w:p w14:paraId="4D2DA888">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三</w:t>
      </w:r>
      <w:r>
        <w:rPr>
          <w:rFonts w:hint="eastAsia" w:ascii="方正仿宋_GBK" w:hAnsi="方正仿宋_GBK" w:eastAsia="方正仿宋_GBK" w:cs="方正仿宋_GBK"/>
          <w:b/>
          <w:bCs/>
          <w:color w:val="auto"/>
          <w:sz w:val="28"/>
          <w:szCs w:val="28"/>
        </w:rPr>
        <w:t>、成果提交</w:t>
      </w:r>
    </w:p>
    <w:p w14:paraId="46FE6C6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形成《土壤污染重点监管单位周边监督性监测报告》</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份，并通过专家评审</w:t>
      </w:r>
      <w:r>
        <w:rPr>
          <w:rFonts w:hint="eastAsia" w:ascii="方正仿宋_GBK" w:hAnsi="方正仿宋_GBK" w:eastAsia="方正仿宋_GBK" w:cs="方正仿宋_GBK"/>
          <w:color w:val="auto"/>
          <w:sz w:val="28"/>
          <w:szCs w:val="28"/>
          <w:lang w:val="en-US" w:eastAsia="zh-CN"/>
        </w:rPr>
        <w:t>。</w:t>
      </w:r>
    </w:p>
    <w:p w14:paraId="79635D1D">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四</w:t>
      </w:r>
      <w:r>
        <w:rPr>
          <w:rFonts w:hint="eastAsia" w:ascii="方正仿宋_GBK" w:hAnsi="方正仿宋_GBK" w:eastAsia="方正仿宋_GBK" w:cs="方正仿宋_GBK"/>
          <w:b/>
          <w:bCs/>
          <w:color w:val="auto"/>
          <w:sz w:val="28"/>
          <w:szCs w:val="28"/>
        </w:rPr>
        <w:t>、服务周期</w:t>
      </w:r>
    </w:p>
    <w:p w14:paraId="3E565E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合同签订之日起至202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31日。</w:t>
      </w:r>
    </w:p>
    <w:p w14:paraId="18C92911">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五</w:t>
      </w:r>
      <w:r>
        <w:rPr>
          <w:rFonts w:hint="eastAsia" w:ascii="方正仿宋_GBK" w:hAnsi="方正仿宋_GBK" w:eastAsia="方正仿宋_GBK" w:cs="方正仿宋_GBK"/>
          <w:b/>
          <w:bCs/>
          <w:color w:val="auto"/>
          <w:sz w:val="28"/>
          <w:szCs w:val="28"/>
        </w:rPr>
        <w:t>、付款方式</w:t>
      </w:r>
    </w:p>
    <w:p w14:paraId="56E62841">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color w:val="auto"/>
          <w:sz w:val="28"/>
          <w:szCs w:val="28"/>
        </w:rPr>
        <w:t>合同签订后</w:t>
      </w:r>
      <w:r>
        <w:rPr>
          <w:rFonts w:hint="eastAsia" w:ascii="方正仿宋_GBK" w:hAnsi="方正仿宋_GBK" w:eastAsia="方正仿宋_GBK" w:cs="方正仿宋_GBK"/>
          <w:color w:val="auto"/>
          <w:sz w:val="28"/>
          <w:szCs w:val="28"/>
          <w:lang w:eastAsia="zh-CN"/>
        </w:rPr>
        <w:t>一个月</w:t>
      </w:r>
      <w:r>
        <w:rPr>
          <w:rFonts w:hint="eastAsia" w:ascii="方正仿宋_GBK" w:hAnsi="方正仿宋_GBK" w:eastAsia="方正仿宋_GBK" w:cs="方正仿宋_GBK"/>
          <w:color w:val="auto"/>
          <w:sz w:val="28"/>
          <w:szCs w:val="28"/>
        </w:rPr>
        <w:t>内支付合同金额的50%；完成</w:t>
      </w:r>
      <w:r>
        <w:rPr>
          <w:rFonts w:hint="eastAsia" w:ascii="方正仿宋_GBK" w:hAnsi="方正仿宋_GBK" w:eastAsia="方正仿宋_GBK" w:cs="方正仿宋_GBK"/>
          <w:color w:val="auto"/>
          <w:sz w:val="28"/>
          <w:szCs w:val="28"/>
          <w:lang w:val="en-US" w:eastAsia="zh-CN"/>
        </w:rPr>
        <w:t>2025年崇川区土壤污染重点监管企业周边土壤和地下水监督性检测项目</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支付剩余合同金额的50%。</w:t>
      </w:r>
    </w:p>
    <w:bookmarkEnd w:id="0"/>
    <w:bookmarkEnd w:id="1"/>
    <w:bookmarkEnd w:id="2"/>
    <w:p w14:paraId="6305CEF8">
      <w:pPr>
        <w:rPr>
          <w:rFonts w:hint="eastAsia"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br w:type="page"/>
      </w:r>
    </w:p>
    <w:p w14:paraId="025A6C3E">
      <w:pPr>
        <w:autoSpaceDE w:val="0"/>
        <w:autoSpaceDN w:val="0"/>
        <w:adjustRightInd w:val="0"/>
        <w:spacing w:line="460" w:lineRule="exact"/>
        <w:jc w:val="center"/>
        <w:rPr>
          <w:rFonts w:hint="eastAsia" w:ascii="方正仿宋_GBK" w:hAnsi="方正仿宋_GBK" w:eastAsia="方正仿宋_GBK" w:cs="方正仿宋_GBK"/>
          <w:bCs/>
          <w:color w:val="auto"/>
          <w:sz w:val="36"/>
          <w:szCs w:val="36"/>
        </w:rPr>
      </w:pPr>
      <w:r>
        <w:rPr>
          <w:rFonts w:hint="eastAsia" w:ascii="方正仿宋_GBK" w:hAnsi="方正仿宋_GBK" w:eastAsia="方正仿宋_GBK" w:cs="方正仿宋_GBK"/>
          <w:b/>
          <w:color w:val="auto"/>
          <w:sz w:val="36"/>
          <w:szCs w:val="36"/>
        </w:rPr>
        <w:t>第四部分  开标和评标</w:t>
      </w:r>
    </w:p>
    <w:p w14:paraId="083F176C">
      <w:pPr>
        <w:pStyle w:val="85"/>
        <w:snapToGrid w:val="0"/>
        <w:spacing w:before="0" w:after="0" w:line="520" w:lineRule="exact"/>
        <w:ind w:left="0" w:right="0" w:firstLine="562" w:firstLineChars="200"/>
        <w:jc w:val="left"/>
        <w:rPr>
          <w:rFonts w:hint="eastAsia" w:ascii="方正仿宋_GBK" w:hAnsi="方正仿宋_GBK" w:eastAsia="方正仿宋_GBK" w:cs="方正仿宋_GBK"/>
          <w:b/>
          <w:color w:val="auto"/>
          <w:kern w:val="2"/>
          <w:sz w:val="28"/>
          <w:szCs w:val="28"/>
        </w:rPr>
      </w:pPr>
      <w:r>
        <w:rPr>
          <w:rFonts w:hint="eastAsia" w:ascii="方正仿宋_GBK" w:hAnsi="方正仿宋_GBK" w:eastAsia="方正仿宋_GBK" w:cs="方正仿宋_GBK"/>
          <w:b/>
          <w:color w:val="auto"/>
          <w:kern w:val="2"/>
          <w:sz w:val="28"/>
          <w:szCs w:val="28"/>
        </w:rPr>
        <w:t>一、开标</w:t>
      </w:r>
    </w:p>
    <w:p w14:paraId="0A075017">
      <w:pPr>
        <w:tabs>
          <w:tab w:val="left" w:pos="3585"/>
        </w:tabs>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见面开标模式：投标人在指定地点参加开标会。</w:t>
      </w:r>
    </w:p>
    <w:p w14:paraId="051C15A8">
      <w:pPr>
        <w:pStyle w:val="85"/>
        <w:snapToGrid w:val="0"/>
        <w:spacing w:before="0" w:after="0" w:line="520" w:lineRule="exact"/>
        <w:ind w:left="0" w:right="0" w:firstLine="562" w:firstLineChars="200"/>
        <w:jc w:val="left"/>
        <w:rPr>
          <w:rFonts w:hint="eastAsia" w:ascii="方正仿宋_GBK" w:hAnsi="方正仿宋_GBK" w:eastAsia="方正仿宋_GBK" w:cs="方正仿宋_GBK"/>
          <w:b/>
          <w:color w:val="auto"/>
          <w:kern w:val="2"/>
          <w:sz w:val="28"/>
          <w:szCs w:val="28"/>
        </w:rPr>
      </w:pPr>
      <w:r>
        <w:rPr>
          <w:rFonts w:hint="eastAsia" w:ascii="方正仿宋_GBK" w:hAnsi="方正仿宋_GBK" w:eastAsia="方正仿宋_GBK" w:cs="方正仿宋_GBK"/>
          <w:b/>
          <w:color w:val="auto"/>
          <w:kern w:val="2"/>
          <w:sz w:val="28"/>
          <w:szCs w:val="28"/>
        </w:rPr>
        <w:t>二、评标流程和评标标准</w:t>
      </w:r>
    </w:p>
    <w:p w14:paraId="79E5D19D">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采用综合评分法。分资格审查文件、商务技术文件、价格文件、三部分评审，总分值为100分，加分和减分因素除外。</w:t>
      </w:r>
    </w:p>
    <w:p w14:paraId="580BB1F6">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首先由招标人对投标人资格进行审查，然后评标委员会对符合资格的投标人的投标文件进行符合性审查，最后评标委员会对符合性审查合格的投标文件商务、技术部分进行评估，综合比较与评价。待商务技术文件评审结束后，进行价格文件的开启、评审。投标人商务、技术部分和价格部分的合计分值，为该投标人的评标总得分。</w:t>
      </w:r>
    </w:p>
    <w:p w14:paraId="0C05DD28">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14:paraId="582F2F0C">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评委在认真审阅投标文件的基础上，根据各投标文件的响应程度独立评判，不得统一打分。</w:t>
      </w:r>
    </w:p>
    <w:p w14:paraId="51D5E221">
      <w:pPr>
        <w:adjustRightInd w:val="0"/>
        <w:snapToGrid w:val="0"/>
        <w:spacing w:line="520" w:lineRule="exact"/>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（一）招标人（代表）对投标人资格进行审查。</w:t>
      </w:r>
    </w:p>
    <w:p w14:paraId="42106FF2">
      <w:pPr>
        <w:pStyle w:val="89"/>
        <w:adjustRightInd w:val="0"/>
        <w:snapToGrid w:val="0"/>
        <w:spacing w:line="520" w:lineRule="exact"/>
        <w:ind w:firstLine="560" w:firstLineChars="200"/>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rPr>
        <w:t>投标人资格不合格的，其投标文件判定为无效投标文件。</w:t>
      </w:r>
    </w:p>
    <w:p w14:paraId="5CE2A728">
      <w:pPr>
        <w:adjustRightInd w:val="0"/>
        <w:snapToGrid w:val="0"/>
        <w:spacing w:line="520" w:lineRule="exact"/>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（二）评标委员会对符合资格投标人的投标文件进行符合性审查。</w:t>
      </w:r>
    </w:p>
    <w:p w14:paraId="2E301CF7">
      <w:pPr>
        <w:pStyle w:val="89"/>
        <w:adjustRightInd w:val="0"/>
        <w:snapToGrid w:val="0"/>
        <w:spacing w:line="520" w:lineRule="exact"/>
        <w:ind w:firstLine="560" w:firstLineChars="200"/>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rPr>
        <w:t xml:space="preserve">未通过符合性审查的投标文件，将被判为不满足招标文件实质性要求。 </w:t>
      </w:r>
    </w:p>
    <w:p w14:paraId="7ECABA80">
      <w:pPr>
        <w:adjustRightInd w:val="0"/>
        <w:snapToGrid w:val="0"/>
        <w:spacing w:line="520" w:lineRule="exact"/>
        <w:ind w:firstLine="562" w:firstLineChars="200"/>
        <w:jc w:val="left"/>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b/>
          <w:color w:val="auto"/>
          <w:sz w:val="28"/>
          <w:szCs w:val="28"/>
          <w:lang w:val="zh-CN"/>
        </w:rPr>
        <w:t>三</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b/>
          <w:color w:val="auto"/>
          <w:sz w:val="28"/>
          <w:szCs w:val="28"/>
          <w:lang w:val="zh-CN"/>
        </w:rPr>
        <w:t>商务技术分</w:t>
      </w:r>
      <w:r>
        <w:rPr>
          <w:rFonts w:hint="eastAsia" w:ascii="方正仿宋_GBK" w:hAnsi="方正仿宋_GBK" w:eastAsia="方正仿宋_GBK" w:cs="方正仿宋_GBK"/>
          <w:color w:val="auto"/>
          <w:kern w:val="0"/>
          <w:sz w:val="28"/>
          <w:szCs w:val="28"/>
          <w:lang w:bidi="ar"/>
        </w:rPr>
        <w:t>：</w:t>
      </w:r>
      <w:r>
        <w:rPr>
          <w:rFonts w:hint="eastAsia" w:ascii="方正仿宋_GBK" w:hAnsi="方正仿宋_GBK" w:eastAsia="方正仿宋_GBK" w:cs="方正仿宋_GBK"/>
          <w:color w:val="auto"/>
          <w:kern w:val="0"/>
          <w:sz w:val="28"/>
          <w:szCs w:val="28"/>
          <w:lang w:val="en-US" w:eastAsia="zh-CN" w:bidi="ar"/>
        </w:rPr>
        <w:t>9</w:t>
      </w:r>
      <w:r>
        <w:rPr>
          <w:rFonts w:hint="eastAsia" w:ascii="方正仿宋_GBK" w:hAnsi="方正仿宋_GBK" w:eastAsia="方正仿宋_GBK" w:cs="方正仿宋_GBK"/>
          <w:color w:val="auto"/>
          <w:kern w:val="0"/>
          <w:sz w:val="28"/>
          <w:szCs w:val="28"/>
          <w:lang w:bidi="ar"/>
        </w:rPr>
        <w:t>0分</w:t>
      </w:r>
    </w:p>
    <w:p w14:paraId="0CF234AE">
      <w:pPr>
        <w:autoSpaceDE w:val="0"/>
        <w:autoSpaceDN w:val="0"/>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各投标人得分为评委会成员评分的算术平均分，分值保留小数点后两位。</w:t>
      </w:r>
    </w:p>
    <w:tbl>
      <w:tblPr>
        <w:tblStyle w:val="36"/>
        <w:tblW w:w="518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52"/>
        <w:gridCol w:w="6787"/>
        <w:gridCol w:w="683"/>
      </w:tblGrid>
      <w:tr w14:paraId="1CDAE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668" w:type="pct"/>
            <w:noWrap w:val="0"/>
            <w:vAlign w:val="top"/>
          </w:tcPr>
          <w:p w14:paraId="45D2318E">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评分内容</w:t>
            </w:r>
          </w:p>
        </w:tc>
        <w:tc>
          <w:tcPr>
            <w:tcW w:w="3935" w:type="pct"/>
            <w:noWrap w:val="0"/>
            <w:vAlign w:val="top"/>
          </w:tcPr>
          <w:p w14:paraId="376049A8">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评审标准</w:t>
            </w:r>
          </w:p>
        </w:tc>
        <w:tc>
          <w:tcPr>
            <w:tcW w:w="396" w:type="pct"/>
            <w:noWrap w:val="0"/>
            <w:vAlign w:val="center"/>
          </w:tcPr>
          <w:p w14:paraId="39E21BE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分值</w:t>
            </w:r>
          </w:p>
        </w:tc>
      </w:tr>
      <w:tr w14:paraId="101FE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68" w:type="pct"/>
            <w:noWrap w:val="0"/>
            <w:vAlign w:val="center"/>
          </w:tcPr>
          <w:p w14:paraId="303DC963">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企业综合实力</w:t>
            </w:r>
          </w:p>
        </w:tc>
        <w:tc>
          <w:tcPr>
            <w:tcW w:w="3935" w:type="pct"/>
            <w:noWrap w:val="0"/>
            <w:vAlign w:val="top"/>
          </w:tcPr>
          <w:p w14:paraId="3649C3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1.</w:t>
            </w:r>
            <w:r>
              <w:rPr>
                <w:rFonts w:hint="eastAsia" w:ascii="方正仿宋_GBK" w:hAnsi="方正仿宋_GBK" w:eastAsia="方正仿宋_GBK" w:cs="方正仿宋_GBK"/>
                <w:b w:val="0"/>
                <w:bCs w:val="0"/>
                <w:color w:val="auto"/>
                <w:sz w:val="24"/>
                <w:szCs w:val="24"/>
              </w:rPr>
              <w:t>供应商的信誉（</w:t>
            </w:r>
            <w:r>
              <w:rPr>
                <w:rFonts w:hint="eastAsia" w:ascii="方正仿宋_GBK" w:hAnsi="方正仿宋_GBK" w:eastAsia="方正仿宋_GBK" w:cs="方正仿宋_GBK"/>
                <w:b w:val="0"/>
                <w:bCs w:val="0"/>
                <w:color w:val="auto"/>
                <w:sz w:val="24"/>
                <w:szCs w:val="24"/>
                <w:lang w:val="en-US" w:eastAsia="zh-CN"/>
              </w:rPr>
              <w:t>满分4</w:t>
            </w:r>
            <w:r>
              <w:rPr>
                <w:rFonts w:hint="eastAsia" w:ascii="方正仿宋_GBK" w:hAnsi="方正仿宋_GBK" w:eastAsia="方正仿宋_GBK" w:cs="方正仿宋_GBK"/>
                <w:b w:val="0"/>
                <w:bCs w:val="0"/>
                <w:color w:val="auto"/>
                <w:sz w:val="24"/>
                <w:szCs w:val="24"/>
              </w:rPr>
              <w:t>分）</w:t>
            </w:r>
          </w:p>
          <w:p w14:paraId="1D47861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体系认证：具有 ISO9001 质量管理体系证书、ISO14001 环境管理体系证书、职业健康安全管理体系认证证书</w:t>
            </w:r>
            <w:r>
              <w:rPr>
                <w:rFonts w:hint="eastAsia" w:ascii="方正仿宋_GBK" w:hAnsi="方正仿宋_GBK" w:eastAsia="方正仿宋_GBK" w:cs="方正仿宋_GBK"/>
                <w:color w:val="auto"/>
                <w:sz w:val="24"/>
                <w:szCs w:val="24"/>
                <w:lang w:eastAsia="zh-CN"/>
              </w:rPr>
              <w:t>、信息安全管理体系认证证书，</w:t>
            </w:r>
            <w:r>
              <w:rPr>
                <w:rFonts w:hint="eastAsia" w:ascii="方正仿宋_GBK" w:hAnsi="方正仿宋_GBK" w:eastAsia="方正仿宋_GBK" w:cs="方正仿宋_GBK"/>
                <w:color w:val="auto"/>
                <w:sz w:val="24"/>
                <w:szCs w:val="24"/>
              </w:rPr>
              <w:t>有1个得1分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本小项满分4分</w:t>
            </w:r>
            <w:r>
              <w:rPr>
                <w:rFonts w:hint="eastAsia" w:ascii="方正仿宋_GBK" w:hAnsi="方正仿宋_GBK" w:eastAsia="方正仿宋_GBK" w:cs="方正仿宋_GBK"/>
                <w:color w:val="auto"/>
                <w:sz w:val="24"/>
                <w:szCs w:val="24"/>
              </w:rPr>
              <w:t>；</w:t>
            </w:r>
          </w:p>
          <w:p w14:paraId="0B89CEB8">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投标时需提供相关证书复印件并加盖公章。</w:t>
            </w:r>
          </w:p>
          <w:p w14:paraId="0DFBCDC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2</w:t>
            </w:r>
            <w:r>
              <w:rPr>
                <w:rFonts w:hint="eastAsia" w:ascii="方正仿宋_GBK" w:hAnsi="方正仿宋_GBK" w:eastAsia="方正仿宋_GBK" w:cs="方正仿宋_GBK"/>
                <w:b w:val="0"/>
                <w:bCs w:val="0"/>
                <w:color w:val="auto"/>
                <w:sz w:val="24"/>
                <w:szCs w:val="24"/>
                <w:lang w:val="en-US" w:eastAsia="zh-CN"/>
              </w:rPr>
              <w:t>.</w:t>
            </w:r>
            <w:r>
              <w:rPr>
                <w:rFonts w:hint="eastAsia" w:ascii="方正仿宋_GBK" w:hAnsi="方正仿宋_GBK" w:eastAsia="方正仿宋_GBK" w:cs="方正仿宋_GBK"/>
                <w:b w:val="0"/>
                <w:bCs w:val="0"/>
                <w:color w:val="auto"/>
                <w:sz w:val="24"/>
                <w:szCs w:val="24"/>
              </w:rPr>
              <w:t>实验室及仪器设备（</w:t>
            </w:r>
            <w:r>
              <w:rPr>
                <w:rFonts w:hint="eastAsia" w:ascii="方正仿宋_GBK" w:hAnsi="方正仿宋_GBK" w:eastAsia="方正仿宋_GBK" w:cs="方正仿宋_GBK"/>
                <w:b w:val="0"/>
                <w:bCs w:val="0"/>
                <w:color w:val="auto"/>
                <w:sz w:val="24"/>
                <w:szCs w:val="24"/>
                <w:lang w:val="en-US" w:eastAsia="zh-CN"/>
              </w:rPr>
              <w:t>满分10</w:t>
            </w:r>
            <w:r>
              <w:rPr>
                <w:rFonts w:hint="eastAsia" w:ascii="方正仿宋_GBK" w:hAnsi="方正仿宋_GBK" w:eastAsia="方正仿宋_GBK" w:cs="方正仿宋_GBK"/>
                <w:b w:val="0"/>
                <w:bCs w:val="0"/>
                <w:color w:val="auto"/>
                <w:sz w:val="24"/>
                <w:szCs w:val="24"/>
              </w:rPr>
              <w:t>分）</w:t>
            </w:r>
          </w:p>
          <w:p w14:paraId="64BF527A">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（1）投标人自有</w:t>
            </w:r>
            <w:r>
              <w:rPr>
                <w:rFonts w:hint="eastAsia" w:ascii="方正仿宋_GBK" w:hAnsi="方正仿宋_GBK" w:eastAsia="方正仿宋_GBK" w:cs="方正仿宋_GBK"/>
                <w:color w:val="auto"/>
                <w:sz w:val="24"/>
                <w:szCs w:val="24"/>
                <w:lang w:val="en-US" w:eastAsia="zh-CN"/>
              </w:rPr>
              <w:t>或长期合作</w:t>
            </w:r>
            <w:r>
              <w:rPr>
                <w:rFonts w:hint="eastAsia" w:ascii="方正仿宋_GBK" w:hAnsi="方正仿宋_GBK" w:eastAsia="方正仿宋_GBK" w:cs="方正仿宋_GBK"/>
                <w:color w:val="auto"/>
                <w:sz w:val="24"/>
                <w:szCs w:val="24"/>
              </w:rPr>
              <w:t>实验室具备实验室CMA认证资质且认证证书附表中包含土壤</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地下水</w:t>
            </w:r>
            <w:r>
              <w:rPr>
                <w:rFonts w:hint="eastAsia" w:ascii="方正仿宋_GBK" w:hAnsi="方正仿宋_GBK" w:eastAsia="方正仿宋_GBK" w:cs="方正仿宋_GBK"/>
                <w:color w:val="auto"/>
                <w:sz w:val="24"/>
                <w:szCs w:val="24"/>
              </w:rPr>
              <w:t>相关检测指标的得</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不具备得0分</w:t>
            </w:r>
            <w:r>
              <w:rPr>
                <w:rFonts w:hint="eastAsia" w:ascii="方正仿宋_GBK" w:hAnsi="方正仿宋_GBK" w:eastAsia="方正仿宋_GBK" w:cs="方正仿宋_GBK"/>
                <w:color w:val="auto"/>
                <w:sz w:val="24"/>
                <w:szCs w:val="24"/>
              </w:rPr>
              <w:t>；</w:t>
            </w:r>
          </w:p>
          <w:p w14:paraId="3E878C40">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自有</w:t>
            </w:r>
            <w:r>
              <w:rPr>
                <w:rFonts w:hint="eastAsia" w:ascii="方正仿宋_GBK" w:hAnsi="方正仿宋_GBK" w:eastAsia="方正仿宋_GBK" w:cs="方正仿宋_GBK"/>
                <w:color w:val="auto"/>
                <w:sz w:val="24"/>
                <w:szCs w:val="24"/>
                <w:lang w:val="en-US" w:eastAsia="zh-CN"/>
              </w:rPr>
              <w:t>或长期合作</w:t>
            </w:r>
            <w:r>
              <w:rPr>
                <w:rFonts w:hint="eastAsia" w:ascii="方正仿宋_GBK" w:hAnsi="方正仿宋_GBK" w:eastAsia="方正仿宋_GBK" w:cs="方正仿宋_GBK"/>
                <w:color w:val="auto"/>
                <w:sz w:val="24"/>
                <w:szCs w:val="24"/>
              </w:rPr>
              <w:t>实验室</w:t>
            </w:r>
            <w:r>
              <w:rPr>
                <w:rFonts w:hint="eastAsia" w:ascii="方正仿宋_GBK" w:hAnsi="方正仿宋_GBK" w:eastAsia="方正仿宋_GBK" w:cs="方正仿宋_GBK"/>
                <w:color w:val="auto"/>
                <w:sz w:val="24"/>
                <w:szCs w:val="24"/>
                <w:lang w:val="en-US" w:eastAsia="zh-CN"/>
              </w:rPr>
              <w:t>具有</w:t>
            </w:r>
            <w:r>
              <w:rPr>
                <w:rFonts w:hint="eastAsia" w:ascii="方正仿宋_GBK" w:hAnsi="方正仿宋_GBK" w:eastAsia="方正仿宋_GBK" w:cs="方正仿宋_GBK"/>
                <w:color w:val="auto"/>
                <w:sz w:val="24"/>
                <w:szCs w:val="24"/>
              </w:rPr>
              <w:t>土壤检测能力至少包括《土壤环境质量建设用地土壤污染风险管控标准(试行)》(GB36600-2018)表1中45项及土壤pH;地下水检测能力《地下水质量标准》(GB/T14848-2017)表1中感官性状及一般化学指标、毒理学指标。具备上述检测能力的,得3分,不具备得</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color w:val="auto"/>
                <w:sz w:val="24"/>
                <w:szCs w:val="24"/>
                <w:lang w:eastAsia="zh-CN"/>
              </w:rPr>
              <w:t>；</w:t>
            </w:r>
          </w:p>
          <w:p w14:paraId="1F3FA12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highlight w:val="none"/>
              </w:rPr>
              <w:t>投标人</w:t>
            </w:r>
            <w:r>
              <w:rPr>
                <w:rFonts w:hint="eastAsia" w:ascii="方正仿宋_GBK" w:hAnsi="方正仿宋_GBK" w:eastAsia="方正仿宋_GBK" w:cs="方正仿宋_GBK"/>
                <w:color w:val="auto"/>
                <w:sz w:val="24"/>
                <w:szCs w:val="24"/>
                <w:lang w:val="en-US" w:eastAsia="zh-CN"/>
              </w:rPr>
              <w:t>或长期合作</w:t>
            </w:r>
            <w:r>
              <w:rPr>
                <w:rFonts w:hint="eastAsia" w:ascii="方正仿宋_GBK" w:hAnsi="方正仿宋_GBK" w:eastAsia="方正仿宋_GBK" w:cs="方正仿宋_GBK"/>
                <w:color w:val="auto"/>
                <w:sz w:val="24"/>
                <w:szCs w:val="24"/>
              </w:rPr>
              <w:t>实验室</w:t>
            </w:r>
            <w:r>
              <w:rPr>
                <w:rFonts w:hint="eastAsia" w:ascii="方正仿宋_GBK" w:hAnsi="方正仿宋_GBK" w:eastAsia="方正仿宋_GBK" w:cs="方正仿宋_GBK"/>
                <w:color w:val="auto"/>
                <w:sz w:val="24"/>
                <w:szCs w:val="24"/>
                <w:highlight w:val="none"/>
              </w:rPr>
              <w:t>自有土壤地下水环境取样钻机、便携式</w:t>
            </w:r>
            <w:r>
              <w:rPr>
                <w:rFonts w:hint="eastAsia" w:ascii="方正仿宋_GBK" w:hAnsi="方正仿宋_GBK" w:eastAsia="方正仿宋_GBK" w:cs="方正仿宋_GBK"/>
                <w:color w:val="auto"/>
                <w:sz w:val="24"/>
                <w:szCs w:val="24"/>
                <w:highlight w:val="none"/>
                <w:lang w:val="en-US" w:eastAsia="zh-CN"/>
              </w:rPr>
              <w:t>VOC</w:t>
            </w:r>
            <w:r>
              <w:rPr>
                <w:rFonts w:hint="eastAsia" w:ascii="方正仿宋_GBK" w:hAnsi="方正仿宋_GBK" w:eastAsia="方正仿宋_GBK" w:cs="方正仿宋_GBK"/>
                <w:color w:val="auto"/>
                <w:sz w:val="24"/>
                <w:szCs w:val="24"/>
                <w:highlight w:val="none"/>
              </w:rPr>
              <w:t>检测仪（PID）、手持x荧光光谱仪（XRF）、RTK GNSS地形测量仪、地下金属探测仪的，每具备1项得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本小项满分5分</w:t>
            </w:r>
            <w:r>
              <w:rPr>
                <w:rFonts w:hint="eastAsia" w:ascii="方正仿宋_GBK" w:hAnsi="方正仿宋_GBK" w:eastAsia="方正仿宋_GBK" w:cs="方正仿宋_GBK"/>
                <w:color w:val="auto"/>
                <w:sz w:val="24"/>
                <w:szCs w:val="24"/>
                <w:highlight w:val="none"/>
              </w:rPr>
              <w:t>。</w:t>
            </w:r>
          </w:p>
          <w:p w14:paraId="3CD0DD72">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投标时需提供清晰的设备</w:t>
            </w:r>
            <w:r>
              <w:rPr>
                <w:rFonts w:hint="eastAsia" w:ascii="方正仿宋_GBK" w:hAnsi="方正仿宋_GBK" w:eastAsia="方正仿宋_GBK" w:cs="方正仿宋_GBK"/>
                <w:b/>
                <w:bCs/>
                <w:color w:val="auto"/>
                <w:sz w:val="24"/>
                <w:szCs w:val="24"/>
                <w:lang w:val="en-US" w:eastAsia="zh-CN"/>
              </w:rPr>
              <w:t>购置</w:t>
            </w:r>
            <w:r>
              <w:rPr>
                <w:rFonts w:hint="eastAsia" w:ascii="方正仿宋_GBK" w:hAnsi="方正仿宋_GBK" w:eastAsia="方正仿宋_GBK" w:cs="方正仿宋_GBK"/>
                <w:b/>
                <w:bCs/>
                <w:color w:val="auto"/>
                <w:sz w:val="24"/>
                <w:szCs w:val="24"/>
              </w:rPr>
              <w:t>发票</w:t>
            </w:r>
            <w:r>
              <w:rPr>
                <w:rFonts w:hint="eastAsia" w:ascii="方正仿宋_GBK" w:hAnsi="方正仿宋_GBK" w:eastAsia="方正仿宋_GBK" w:cs="方正仿宋_GBK"/>
                <w:b/>
                <w:bCs/>
                <w:color w:val="auto"/>
                <w:sz w:val="24"/>
                <w:szCs w:val="24"/>
                <w:lang w:eastAsia="zh-CN"/>
              </w:rPr>
              <w:t>，合作的还需提供</w:t>
            </w:r>
            <w:r>
              <w:rPr>
                <w:rFonts w:hint="eastAsia" w:ascii="方正仿宋_GBK" w:hAnsi="方正仿宋_GBK" w:eastAsia="方正仿宋_GBK" w:cs="方正仿宋_GBK"/>
                <w:b/>
                <w:bCs/>
                <w:color w:val="auto"/>
                <w:sz w:val="24"/>
                <w:szCs w:val="24"/>
                <w:lang w:val="en-US" w:eastAsia="zh-CN"/>
              </w:rPr>
              <w:t>合作协议证明等相关材料</w:t>
            </w:r>
            <w:r>
              <w:rPr>
                <w:rFonts w:hint="eastAsia" w:ascii="方正仿宋_GBK" w:hAnsi="方正仿宋_GBK" w:eastAsia="方正仿宋_GBK" w:cs="方正仿宋_GBK"/>
                <w:b/>
                <w:bCs/>
                <w:color w:val="auto"/>
                <w:sz w:val="24"/>
                <w:szCs w:val="24"/>
              </w:rPr>
              <w:t>复印件并加盖公章。</w:t>
            </w:r>
          </w:p>
        </w:tc>
        <w:tc>
          <w:tcPr>
            <w:tcW w:w="396" w:type="pct"/>
            <w:noWrap w:val="0"/>
            <w:vAlign w:val="center"/>
          </w:tcPr>
          <w:p w14:paraId="15CC763D">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14</w:t>
            </w:r>
            <w:r>
              <w:rPr>
                <w:rFonts w:hint="eastAsia" w:ascii="方正仿宋_GBK" w:hAnsi="方正仿宋_GBK" w:eastAsia="方正仿宋_GBK" w:cs="方正仿宋_GBK"/>
                <w:color w:val="auto"/>
                <w:sz w:val="24"/>
                <w:szCs w:val="24"/>
              </w:rPr>
              <w:t>分</w:t>
            </w:r>
          </w:p>
        </w:tc>
      </w:tr>
      <w:tr w14:paraId="604DE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0" w:hRule="atLeast"/>
          <w:jc w:val="center"/>
        </w:trPr>
        <w:tc>
          <w:tcPr>
            <w:tcW w:w="668" w:type="pct"/>
            <w:noWrap w:val="0"/>
            <w:vAlign w:val="center"/>
          </w:tcPr>
          <w:p w14:paraId="1B93E7BF">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人员配备</w:t>
            </w:r>
          </w:p>
        </w:tc>
        <w:tc>
          <w:tcPr>
            <w:tcW w:w="3935" w:type="pct"/>
            <w:noWrap w:val="0"/>
            <w:vAlign w:val="top"/>
          </w:tcPr>
          <w:p w14:paraId="11F6C7A6">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val="0"/>
                <w:color w:val="auto"/>
                <w:sz w:val="24"/>
                <w:szCs w:val="24"/>
                <w:lang w:val="en-US" w:eastAsia="zh-CN"/>
              </w:rPr>
              <w:t>1.</w:t>
            </w:r>
            <w:r>
              <w:rPr>
                <w:rFonts w:hint="eastAsia" w:ascii="方正仿宋_GBK" w:hAnsi="方正仿宋_GBK" w:eastAsia="方正仿宋_GBK" w:cs="方正仿宋_GBK"/>
                <w:b w:val="0"/>
                <w:bCs w:val="0"/>
                <w:color w:val="auto"/>
                <w:sz w:val="24"/>
                <w:szCs w:val="24"/>
              </w:rPr>
              <w:t>拟派项目负责人</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满分</w:t>
            </w:r>
            <w:r>
              <w:rPr>
                <w:rFonts w:hint="eastAsia" w:ascii="方正仿宋_GBK" w:hAnsi="方正仿宋_GBK" w:eastAsia="方正仿宋_GBK" w:cs="方正仿宋_GBK"/>
                <w:b w:val="0"/>
                <w:bCs w:val="0"/>
                <w:color w:val="auto"/>
                <w:sz w:val="24"/>
                <w:szCs w:val="24"/>
                <w:lang w:val="en-US" w:eastAsia="zh-CN"/>
              </w:rPr>
              <w:t>6</w:t>
            </w:r>
            <w:r>
              <w:rPr>
                <w:rFonts w:hint="eastAsia" w:ascii="方正仿宋_GBK" w:hAnsi="方正仿宋_GBK" w:eastAsia="方正仿宋_GBK" w:cs="方正仿宋_GBK"/>
                <w:b w:val="0"/>
                <w:bCs w:val="0"/>
                <w:color w:val="auto"/>
                <w:sz w:val="24"/>
                <w:szCs w:val="24"/>
              </w:rPr>
              <w:t>分</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color w:val="auto"/>
                <w:sz w:val="24"/>
                <w:szCs w:val="24"/>
              </w:rPr>
              <w:t>项目负责人具有环境类</w:t>
            </w:r>
            <w:r>
              <w:rPr>
                <w:rFonts w:hint="eastAsia" w:ascii="方正仿宋_GBK" w:hAnsi="方正仿宋_GBK" w:eastAsia="方正仿宋_GBK" w:cs="方正仿宋_GBK"/>
                <w:color w:val="auto"/>
                <w:sz w:val="24"/>
                <w:szCs w:val="24"/>
                <w:lang w:val="en-US" w:eastAsia="zh-CN"/>
              </w:rPr>
              <w:t>正</w:t>
            </w:r>
            <w:r>
              <w:rPr>
                <w:rFonts w:hint="eastAsia" w:ascii="方正仿宋_GBK" w:hAnsi="方正仿宋_GBK" w:eastAsia="方正仿宋_GBK" w:cs="方正仿宋_GBK"/>
                <w:color w:val="auto"/>
                <w:sz w:val="24"/>
                <w:szCs w:val="24"/>
              </w:rPr>
              <w:t>高级工程师职称的得</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具有环境类</w:t>
            </w:r>
            <w:r>
              <w:rPr>
                <w:rFonts w:hint="eastAsia" w:ascii="方正仿宋_GBK" w:hAnsi="方正仿宋_GBK" w:eastAsia="方正仿宋_GBK" w:cs="方正仿宋_GBK"/>
                <w:color w:val="auto"/>
                <w:sz w:val="24"/>
                <w:szCs w:val="24"/>
                <w:lang w:val="en-US" w:eastAsia="zh-CN"/>
              </w:rPr>
              <w:t>副</w:t>
            </w:r>
            <w:r>
              <w:rPr>
                <w:rFonts w:hint="eastAsia" w:ascii="方正仿宋_GBK" w:hAnsi="方正仿宋_GBK" w:eastAsia="方正仿宋_GBK" w:cs="方正仿宋_GBK"/>
                <w:color w:val="auto"/>
                <w:sz w:val="24"/>
                <w:szCs w:val="24"/>
              </w:rPr>
              <w:t>高级工程师职称的得</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项目负责人</w:t>
            </w:r>
            <w:r>
              <w:rPr>
                <w:rFonts w:hint="eastAsia" w:ascii="方正仿宋_GBK" w:hAnsi="方正仿宋_GBK" w:eastAsia="方正仿宋_GBK" w:cs="方正仿宋_GBK"/>
                <w:color w:val="auto"/>
                <w:sz w:val="24"/>
                <w:szCs w:val="24"/>
              </w:rPr>
              <w:t>获评生态环境部生态环境监测“三五”人才的</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color w:val="auto"/>
                <w:sz w:val="24"/>
                <w:szCs w:val="24"/>
                <w:lang w:eastAsia="zh-CN"/>
              </w:rPr>
              <w:t>。</w:t>
            </w:r>
          </w:p>
          <w:p w14:paraId="4978AF1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b w:val="0"/>
                <w:bCs w:val="0"/>
                <w:color w:val="auto"/>
                <w:sz w:val="24"/>
                <w:szCs w:val="24"/>
                <w:lang w:val="en-US" w:eastAsia="zh-CN"/>
              </w:rPr>
              <w:t>2.</w:t>
            </w:r>
            <w:r>
              <w:rPr>
                <w:rFonts w:hint="eastAsia" w:ascii="方正仿宋_GBK" w:hAnsi="方正仿宋_GBK" w:eastAsia="方正仿宋_GBK" w:cs="方正仿宋_GBK"/>
                <w:b w:val="0"/>
                <w:bCs w:val="0"/>
                <w:color w:val="auto"/>
                <w:sz w:val="24"/>
                <w:szCs w:val="24"/>
              </w:rPr>
              <w:t>项目组成员</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除项目负责人外</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lang w:val="en-US" w:eastAsia="zh-CN"/>
              </w:rPr>
              <w:t>（满分7分）。</w:t>
            </w:r>
            <w:r>
              <w:rPr>
                <w:rFonts w:hint="eastAsia" w:ascii="方正仿宋_GBK" w:hAnsi="方正仿宋_GBK" w:eastAsia="方正仿宋_GBK" w:cs="方正仿宋_GBK"/>
                <w:color w:val="auto"/>
                <w:sz w:val="24"/>
                <w:szCs w:val="24"/>
              </w:rPr>
              <w:t>项目组成员中具有环境类高级工程师及以上职称的每提供1人得</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最高得5分</w:t>
            </w:r>
            <w:r>
              <w:rPr>
                <w:rFonts w:hint="eastAsia" w:ascii="方正仿宋_GBK" w:hAnsi="方正仿宋_GBK" w:eastAsia="方正仿宋_GBK" w:cs="方正仿宋_GBK"/>
                <w:color w:val="auto"/>
                <w:sz w:val="24"/>
                <w:szCs w:val="24"/>
              </w:rPr>
              <w:t>；具有环境保护类专业中级工程师及以上职称的每提供1人得</w:t>
            </w:r>
            <w:r>
              <w:rPr>
                <w:rFonts w:hint="eastAsia" w:ascii="方正仿宋_GBK" w:hAnsi="方正仿宋_GBK" w:eastAsia="方正仿宋_GBK" w:cs="方正仿宋_GBK"/>
                <w:color w:val="auto"/>
                <w:sz w:val="24"/>
                <w:szCs w:val="24"/>
                <w:lang w:val="en-US" w:eastAsia="zh-CN"/>
              </w:rPr>
              <w:t>0.5</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最高得2分。同一人以最高等级计分，不重复计分。</w:t>
            </w:r>
          </w:p>
          <w:p w14:paraId="2A240CD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3.项目组成员中有参加国家级环境监测技能比武获奖的得4分，省级环境监测技能武获奖的得3分，参加市级环境监测技能比武获奖的得1分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同一人以最高等级计分，不重复计分。本小项</w:t>
            </w:r>
            <w:r>
              <w:rPr>
                <w:rFonts w:hint="eastAsia" w:ascii="方正仿宋_GBK" w:hAnsi="方正仿宋_GBK" w:eastAsia="方正仿宋_GBK" w:cs="方正仿宋_GBK"/>
                <w:b w:val="0"/>
                <w:bCs w:val="0"/>
                <w:color w:val="auto"/>
                <w:sz w:val="24"/>
                <w:szCs w:val="24"/>
              </w:rPr>
              <w:t>满分4分</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lang w:val="en-US" w:eastAsia="zh-CN"/>
              </w:rPr>
              <w:t>提供相关证明材料。</w:t>
            </w:r>
          </w:p>
          <w:p w14:paraId="0663B22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b w:val="0"/>
                <w:bCs w:val="0"/>
                <w:color w:val="auto"/>
                <w:sz w:val="24"/>
                <w:szCs w:val="24"/>
                <w:lang w:eastAsia="zh-CN"/>
              </w:rPr>
            </w:pPr>
            <w:r>
              <w:rPr>
                <w:rFonts w:hint="eastAsia" w:ascii="方正仿宋_GBK" w:hAnsi="方正仿宋_GBK" w:eastAsia="方正仿宋_GBK" w:cs="方正仿宋_GBK"/>
                <w:color w:val="auto"/>
                <w:sz w:val="24"/>
                <w:szCs w:val="24"/>
              </w:rPr>
              <w:t>4.项目组成员中具有注册环保工程师证书的得</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分；具有注册环评工程师的，得</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分；参与环境质量报告书编制，并获评生态环境部奖项的得</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分；获评生态环境部生态环境监测“国家环境监测一流专家”称号，得</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满分</w:t>
            </w:r>
            <w:r>
              <w:rPr>
                <w:rFonts w:hint="eastAsia" w:ascii="方正仿宋_GBK" w:hAnsi="方正仿宋_GBK" w:eastAsia="方正仿宋_GBK" w:cs="方正仿宋_GBK"/>
                <w:b w:val="0"/>
                <w:bCs w:val="0"/>
                <w:color w:val="auto"/>
                <w:sz w:val="24"/>
                <w:szCs w:val="24"/>
                <w:lang w:val="en-US" w:eastAsia="zh-CN"/>
              </w:rPr>
              <w:t>6</w:t>
            </w:r>
            <w:r>
              <w:rPr>
                <w:rFonts w:hint="eastAsia" w:ascii="方正仿宋_GBK" w:hAnsi="方正仿宋_GBK" w:eastAsia="方正仿宋_GBK" w:cs="方正仿宋_GBK"/>
                <w:b w:val="0"/>
                <w:bCs w:val="0"/>
                <w:color w:val="auto"/>
                <w:sz w:val="24"/>
                <w:szCs w:val="24"/>
              </w:rPr>
              <w:t>分</w:t>
            </w:r>
            <w:r>
              <w:rPr>
                <w:rFonts w:hint="eastAsia" w:ascii="方正仿宋_GBK" w:hAnsi="方正仿宋_GBK" w:eastAsia="方正仿宋_GBK" w:cs="方正仿宋_GBK"/>
                <w:b w:val="0"/>
                <w:bCs w:val="0"/>
                <w:color w:val="auto"/>
                <w:sz w:val="24"/>
                <w:szCs w:val="24"/>
                <w:lang w:eastAsia="zh-CN"/>
              </w:rPr>
              <w:t>）。</w:t>
            </w:r>
          </w:p>
          <w:p w14:paraId="2D38B0CC">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为保证现场核查服务质量，拟投入本项目的成员需持有无人驾驶航空器系统操作手合格证（类型需为航拍专业），每有1人得</w:t>
            </w:r>
            <w:r>
              <w:rPr>
                <w:rFonts w:hint="eastAsia" w:ascii="方正仿宋_GBK" w:hAnsi="方正仿宋_GBK" w:eastAsia="方正仿宋_GBK" w:cs="方正仿宋_GBK"/>
                <w:color w:val="auto"/>
                <w:sz w:val="24"/>
                <w:szCs w:val="24"/>
                <w:lang w:val="en-US" w:eastAsia="zh-CN"/>
              </w:rPr>
              <w:t>1.5</w:t>
            </w:r>
            <w:r>
              <w:rPr>
                <w:rFonts w:hint="eastAsia" w:ascii="方正仿宋_GBK" w:hAnsi="方正仿宋_GBK" w:eastAsia="方正仿宋_GBK" w:cs="方正仿宋_GBK"/>
                <w:color w:val="auto"/>
                <w:sz w:val="24"/>
                <w:szCs w:val="24"/>
              </w:rPr>
              <w:t>分，本项最高得</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分。</w:t>
            </w:r>
          </w:p>
          <w:p w14:paraId="0C40C7FD">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提供职称证书</w:t>
            </w:r>
            <w:r>
              <w:rPr>
                <w:rFonts w:hint="eastAsia" w:ascii="方正仿宋_GBK" w:hAnsi="方正仿宋_GBK" w:eastAsia="方正仿宋_GBK" w:cs="方正仿宋_GBK"/>
                <w:b/>
                <w:bCs/>
                <w:color w:val="auto"/>
                <w:sz w:val="24"/>
                <w:szCs w:val="24"/>
                <w:lang w:val="en-US" w:eastAsia="zh-CN"/>
              </w:rPr>
              <w:t>、注册证书或荣誉相关证明材料</w:t>
            </w:r>
            <w:r>
              <w:rPr>
                <w:rFonts w:hint="eastAsia" w:ascii="方正仿宋_GBK" w:hAnsi="方正仿宋_GBK" w:eastAsia="方正仿宋_GBK" w:cs="方正仿宋_GBK"/>
                <w:b/>
                <w:bCs/>
                <w:color w:val="auto"/>
                <w:sz w:val="24"/>
                <w:szCs w:val="24"/>
              </w:rPr>
              <w:t>复印件并加盖公章</w:t>
            </w:r>
            <w:r>
              <w:rPr>
                <w:rFonts w:hint="eastAsia" w:ascii="方正仿宋_GBK" w:hAnsi="方正仿宋_GBK" w:eastAsia="方正仿宋_GBK" w:cs="方正仿宋_GBK"/>
                <w:b/>
                <w:bCs/>
                <w:color w:val="auto"/>
                <w:sz w:val="24"/>
                <w:szCs w:val="24"/>
                <w:lang w:eastAsia="zh-CN"/>
              </w:rPr>
              <w:t>，同时需提供社保机构出具的</w:t>
            </w:r>
            <w:r>
              <w:rPr>
                <w:rFonts w:hint="eastAsia" w:ascii="方正仿宋_GBK" w:hAnsi="方正仿宋_GBK" w:eastAsia="方正仿宋_GBK" w:cs="方正仿宋_GBK"/>
                <w:b/>
                <w:bCs/>
                <w:color w:val="auto"/>
                <w:sz w:val="24"/>
                <w:szCs w:val="24"/>
              </w:rPr>
              <w:t>投标人为</w:t>
            </w:r>
            <w:r>
              <w:rPr>
                <w:rFonts w:hint="eastAsia" w:ascii="方正仿宋_GBK" w:hAnsi="方正仿宋_GBK" w:eastAsia="方正仿宋_GBK" w:cs="方正仿宋_GBK"/>
                <w:b/>
                <w:bCs/>
                <w:color w:val="auto"/>
                <w:sz w:val="24"/>
                <w:szCs w:val="24"/>
                <w:lang w:eastAsia="zh-CN"/>
              </w:rPr>
              <w:t>以上人员</w:t>
            </w:r>
            <w:r>
              <w:rPr>
                <w:rFonts w:hint="eastAsia" w:ascii="方正仿宋_GBK" w:hAnsi="方正仿宋_GBK" w:eastAsia="方正仿宋_GBK" w:cs="方正仿宋_GBK"/>
                <w:b/>
                <w:bCs/>
                <w:color w:val="auto"/>
                <w:sz w:val="24"/>
                <w:szCs w:val="24"/>
              </w:rPr>
              <w:t>缴纳202</w:t>
            </w:r>
            <w:r>
              <w:rPr>
                <w:rFonts w:hint="eastAsia" w:ascii="方正仿宋_GBK" w:hAnsi="方正仿宋_GBK" w:eastAsia="方正仿宋_GBK" w:cs="方正仿宋_GBK"/>
                <w:b/>
                <w:bCs/>
                <w:color w:val="auto"/>
                <w:sz w:val="24"/>
                <w:szCs w:val="24"/>
                <w:lang w:val="en-US" w:eastAsia="zh-CN"/>
              </w:rPr>
              <w:t>4</w:t>
            </w:r>
            <w:r>
              <w:rPr>
                <w:rFonts w:hint="eastAsia" w:ascii="方正仿宋_GBK" w:hAnsi="方正仿宋_GBK" w:eastAsia="方正仿宋_GBK" w:cs="方正仿宋_GBK"/>
                <w:b/>
                <w:bCs/>
                <w:color w:val="auto"/>
                <w:sz w:val="24"/>
                <w:szCs w:val="24"/>
              </w:rPr>
              <w:t>年</w:t>
            </w:r>
            <w:r>
              <w:rPr>
                <w:rFonts w:hint="eastAsia" w:ascii="方正仿宋_GBK" w:hAnsi="方正仿宋_GBK" w:eastAsia="方正仿宋_GBK" w:cs="方正仿宋_GBK"/>
                <w:b/>
                <w:bCs/>
                <w:color w:val="auto"/>
                <w:sz w:val="24"/>
                <w:szCs w:val="24"/>
                <w:lang w:val="en-US" w:eastAsia="zh-CN"/>
              </w:rPr>
              <w:t>10</w:t>
            </w:r>
            <w:r>
              <w:rPr>
                <w:rFonts w:hint="eastAsia" w:ascii="方正仿宋_GBK" w:hAnsi="方正仿宋_GBK" w:eastAsia="方正仿宋_GBK" w:cs="方正仿宋_GBK"/>
                <w:b/>
                <w:bCs/>
                <w:color w:val="auto"/>
                <w:sz w:val="24"/>
                <w:szCs w:val="24"/>
              </w:rPr>
              <w:t>月至202</w:t>
            </w:r>
            <w:r>
              <w:rPr>
                <w:rFonts w:hint="eastAsia" w:ascii="方正仿宋_GBK" w:hAnsi="方正仿宋_GBK" w:eastAsia="方正仿宋_GBK" w:cs="方正仿宋_GBK"/>
                <w:b/>
                <w:bCs/>
                <w:color w:val="auto"/>
                <w:sz w:val="24"/>
                <w:szCs w:val="24"/>
                <w:lang w:val="en-US" w:eastAsia="zh-CN"/>
              </w:rPr>
              <w:t>5</w:t>
            </w:r>
            <w:r>
              <w:rPr>
                <w:rFonts w:hint="eastAsia" w:ascii="方正仿宋_GBK" w:hAnsi="方正仿宋_GBK" w:eastAsia="方正仿宋_GBK" w:cs="方正仿宋_GBK"/>
                <w:b/>
                <w:bCs/>
                <w:color w:val="auto"/>
                <w:sz w:val="24"/>
                <w:szCs w:val="24"/>
              </w:rPr>
              <w:t>年</w:t>
            </w:r>
            <w:r>
              <w:rPr>
                <w:rFonts w:hint="eastAsia" w:ascii="方正仿宋_GBK" w:hAnsi="方正仿宋_GBK" w:eastAsia="方正仿宋_GBK" w:cs="方正仿宋_GBK"/>
                <w:b/>
                <w:bCs/>
                <w:color w:val="auto"/>
                <w:sz w:val="24"/>
                <w:szCs w:val="24"/>
                <w:lang w:val="en-US" w:eastAsia="zh-CN"/>
              </w:rPr>
              <w:t>3</w:t>
            </w:r>
            <w:r>
              <w:rPr>
                <w:rFonts w:hint="eastAsia" w:ascii="方正仿宋_GBK" w:hAnsi="方正仿宋_GBK" w:eastAsia="方正仿宋_GBK" w:cs="方正仿宋_GBK"/>
                <w:b/>
                <w:bCs/>
                <w:color w:val="auto"/>
                <w:sz w:val="24"/>
                <w:szCs w:val="24"/>
              </w:rPr>
              <w:t>月</w:t>
            </w:r>
            <w:r>
              <w:rPr>
                <w:rFonts w:hint="eastAsia" w:ascii="方正仿宋_GBK" w:hAnsi="方正仿宋_GBK" w:eastAsia="方正仿宋_GBK" w:cs="方正仿宋_GBK"/>
                <w:b/>
                <w:bCs/>
                <w:color w:val="auto"/>
                <w:sz w:val="24"/>
                <w:szCs w:val="24"/>
                <w:lang w:val="en-US" w:eastAsia="zh-CN"/>
              </w:rPr>
              <w:t>任意一个月</w:t>
            </w:r>
            <w:r>
              <w:rPr>
                <w:rFonts w:hint="eastAsia" w:ascii="方正仿宋_GBK" w:hAnsi="方正仿宋_GBK" w:eastAsia="方正仿宋_GBK" w:cs="方正仿宋_GBK"/>
                <w:b/>
                <w:bCs/>
                <w:color w:val="auto"/>
                <w:sz w:val="24"/>
                <w:szCs w:val="24"/>
              </w:rPr>
              <w:t>的社保缴费证明，以上未提供不予得分。</w:t>
            </w:r>
          </w:p>
        </w:tc>
        <w:tc>
          <w:tcPr>
            <w:tcW w:w="396" w:type="pct"/>
            <w:noWrap w:val="0"/>
            <w:vAlign w:val="center"/>
          </w:tcPr>
          <w:p w14:paraId="1CD75760">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26</w:t>
            </w:r>
            <w:r>
              <w:rPr>
                <w:rFonts w:hint="eastAsia" w:ascii="方正仿宋_GBK" w:hAnsi="方正仿宋_GBK" w:eastAsia="方正仿宋_GBK" w:cs="方正仿宋_GBK"/>
                <w:color w:val="auto"/>
                <w:sz w:val="24"/>
                <w:szCs w:val="24"/>
              </w:rPr>
              <w:t>分</w:t>
            </w:r>
          </w:p>
        </w:tc>
      </w:tr>
      <w:tr w14:paraId="1B2BC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668" w:type="pct"/>
            <w:noWrap w:val="0"/>
            <w:vAlign w:val="center"/>
          </w:tcPr>
          <w:p w14:paraId="720BA96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业绩</w:t>
            </w:r>
          </w:p>
        </w:tc>
        <w:tc>
          <w:tcPr>
            <w:tcW w:w="3935" w:type="pct"/>
            <w:noWrap w:val="0"/>
            <w:vAlign w:val="top"/>
          </w:tcPr>
          <w:p w14:paraId="5ECE8B8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投标人自20</w:t>
            </w:r>
            <w:r>
              <w:rPr>
                <w:rFonts w:hint="eastAsia" w:ascii="方正仿宋_GBK" w:hAnsi="方正仿宋_GBK" w:eastAsia="方正仿宋_GBK" w:cs="方正仿宋_GBK"/>
                <w:color w:val="auto"/>
                <w:sz w:val="24"/>
                <w:szCs w:val="24"/>
                <w:lang w:val="en-US" w:eastAsia="zh-CN"/>
              </w:rPr>
              <w:t>22</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1日</w:t>
            </w:r>
            <w:r>
              <w:rPr>
                <w:rFonts w:hint="eastAsia" w:ascii="方正仿宋_GBK" w:hAnsi="方正仿宋_GBK" w:eastAsia="方正仿宋_GBK" w:cs="方正仿宋_GBK"/>
                <w:color w:val="auto"/>
                <w:sz w:val="24"/>
                <w:szCs w:val="24"/>
              </w:rPr>
              <w:t>以来（以合同签订日期为准）承担过</w:t>
            </w:r>
            <w:r>
              <w:rPr>
                <w:rFonts w:hint="eastAsia" w:ascii="方正仿宋_GBK" w:hAnsi="方正仿宋_GBK" w:eastAsia="方正仿宋_GBK" w:cs="方正仿宋_GBK"/>
                <w:color w:val="auto"/>
                <w:sz w:val="24"/>
                <w:szCs w:val="24"/>
                <w:lang w:val="en-US" w:eastAsia="zh-CN"/>
              </w:rPr>
              <w:t>区县级及以上生态环境主管部门委托的土壤污染</w:t>
            </w:r>
            <w:r>
              <w:rPr>
                <w:rFonts w:hint="eastAsia" w:ascii="方正仿宋_GBK" w:hAnsi="方正仿宋_GBK" w:eastAsia="方正仿宋_GBK" w:cs="方正仿宋_GBK"/>
                <w:color w:val="auto"/>
                <w:sz w:val="24"/>
                <w:szCs w:val="24"/>
              </w:rPr>
              <w:t>重点监管</w:t>
            </w:r>
            <w:r>
              <w:rPr>
                <w:rFonts w:hint="eastAsia" w:ascii="方正仿宋_GBK" w:hAnsi="方正仿宋_GBK" w:eastAsia="方正仿宋_GBK" w:cs="方正仿宋_GBK"/>
                <w:color w:val="auto"/>
                <w:sz w:val="24"/>
                <w:szCs w:val="24"/>
                <w:lang w:val="en-US" w:eastAsia="zh-CN"/>
              </w:rPr>
              <w:t>单位</w:t>
            </w:r>
            <w:r>
              <w:rPr>
                <w:rFonts w:hint="eastAsia" w:ascii="方正仿宋_GBK" w:hAnsi="方正仿宋_GBK" w:eastAsia="方正仿宋_GBK" w:cs="方正仿宋_GBK"/>
                <w:color w:val="auto"/>
                <w:sz w:val="24"/>
                <w:szCs w:val="24"/>
              </w:rPr>
              <w:t>周边监测服务项目的，每提供一个项目</w:t>
            </w:r>
            <w:r>
              <w:rPr>
                <w:rFonts w:hint="eastAsia" w:ascii="方正仿宋_GBK" w:hAnsi="方正仿宋_GBK" w:eastAsia="方正仿宋_GBK" w:cs="方正仿宋_GBK"/>
                <w:color w:val="auto"/>
                <w:sz w:val="24"/>
                <w:szCs w:val="24"/>
                <w:lang w:val="en-US" w:eastAsia="zh-CN"/>
              </w:rPr>
              <w:t>合同</w:t>
            </w:r>
            <w:r>
              <w:rPr>
                <w:rFonts w:hint="eastAsia" w:ascii="方正仿宋_GBK" w:hAnsi="方正仿宋_GBK" w:eastAsia="方正仿宋_GBK" w:cs="方正仿宋_GBK"/>
                <w:color w:val="auto"/>
                <w:sz w:val="24"/>
                <w:szCs w:val="24"/>
              </w:rPr>
              <w:t>得</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b/>
                <w:bCs/>
                <w:color w:val="auto"/>
                <w:sz w:val="24"/>
                <w:szCs w:val="24"/>
                <w:lang w:eastAsia="zh-CN"/>
              </w:rPr>
              <w:t>（</w:t>
            </w:r>
            <w:r>
              <w:rPr>
                <w:rFonts w:hint="eastAsia" w:ascii="方正仿宋_GBK" w:hAnsi="方正仿宋_GBK" w:eastAsia="方正仿宋_GBK" w:cs="方正仿宋_GBK"/>
                <w:b/>
                <w:bCs/>
                <w:color w:val="auto"/>
                <w:sz w:val="24"/>
                <w:szCs w:val="24"/>
              </w:rPr>
              <w:t>满分</w:t>
            </w:r>
            <w:r>
              <w:rPr>
                <w:rFonts w:hint="eastAsia" w:ascii="方正仿宋_GBK" w:hAnsi="方正仿宋_GBK" w:eastAsia="方正仿宋_GBK" w:cs="方正仿宋_GBK"/>
                <w:b/>
                <w:bCs/>
                <w:color w:val="auto"/>
                <w:sz w:val="24"/>
                <w:szCs w:val="24"/>
                <w:lang w:val="en-US" w:eastAsia="zh-CN"/>
              </w:rPr>
              <w:t>8</w:t>
            </w:r>
            <w:r>
              <w:rPr>
                <w:rFonts w:hint="eastAsia" w:ascii="方正仿宋_GBK" w:hAnsi="方正仿宋_GBK" w:eastAsia="方正仿宋_GBK" w:cs="方正仿宋_GBK"/>
                <w:b/>
                <w:bCs/>
                <w:color w:val="auto"/>
                <w:sz w:val="24"/>
                <w:szCs w:val="24"/>
              </w:rPr>
              <w:t>分</w:t>
            </w:r>
            <w:r>
              <w:rPr>
                <w:rFonts w:hint="eastAsia" w:ascii="方正仿宋_GBK" w:hAnsi="方正仿宋_GBK" w:eastAsia="方正仿宋_GBK" w:cs="方正仿宋_GBK"/>
                <w:b/>
                <w:bCs/>
                <w:color w:val="auto"/>
                <w:sz w:val="24"/>
                <w:szCs w:val="24"/>
                <w:lang w:eastAsia="zh-CN"/>
              </w:rPr>
              <w:t>）</w:t>
            </w:r>
            <w:r>
              <w:rPr>
                <w:rFonts w:hint="eastAsia" w:ascii="方正仿宋_GBK" w:hAnsi="方正仿宋_GBK" w:eastAsia="方正仿宋_GBK" w:cs="方正仿宋_GBK"/>
                <w:color w:val="auto"/>
                <w:sz w:val="24"/>
                <w:szCs w:val="24"/>
              </w:rPr>
              <w:t>；</w:t>
            </w:r>
          </w:p>
          <w:p w14:paraId="7C7DFAE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投标人自20</w:t>
            </w:r>
            <w:r>
              <w:rPr>
                <w:rFonts w:hint="eastAsia" w:ascii="方正仿宋_GBK" w:hAnsi="方正仿宋_GBK" w:eastAsia="方正仿宋_GBK" w:cs="方正仿宋_GBK"/>
                <w:color w:val="auto"/>
                <w:sz w:val="24"/>
                <w:szCs w:val="24"/>
                <w:lang w:val="en-US" w:eastAsia="zh-CN"/>
              </w:rPr>
              <w:t>22</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1日</w:t>
            </w:r>
            <w:r>
              <w:rPr>
                <w:rFonts w:hint="eastAsia" w:ascii="方正仿宋_GBK" w:hAnsi="方正仿宋_GBK" w:eastAsia="方正仿宋_GBK" w:cs="方正仿宋_GBK"/>
                <w:color w:val="auto"/>
                <w:sz w:val="24"/>
                <w:szCs w:val="24"/>
              </w:rPr>
              <w:t>以来（以合同签订日期为准）承担过</w:t>
            </w:r>
            <w:r>
              <w:rPr>
                <w:rFonts w:hint="eastAsia" w:ascii="方正仿宋_GBK" w:hAnsi="方正仿宋_GBK" w:eastAsia="方正仿宋_GBK" w:cs="方正仿宋_GBK"/>
                <w:color w:val="auto"/>
                <w:sz w:val="24"/>
                <w:szCs w:val="24"/>
                <w:lang w:val="en-US" w:eastAsia="zh-CN"/>
              </w:rPr>
              <w:t>类似</w:t>
            </w:r>
            <w:r>
              <w:rPr>
                <w:rFonts w:hint="eastAsia" w:ascii="方正仿宋_GBK" w:hAnsi="方正仿宋_GBK" w:eastAsia="方正仿宋_GBK" w:cs="方正仿宋_GBK"/>
                <w:color w:val="auto"/>
                <w:sz w:val="24"/>
                <w:szCs w:val="24"/>
              </w:rPr>
              <w:t>建设用地土壤污染状况调查</w:t>
            </w:r>
            <w:r>
              <w:rPr>
                <w:rFonts w:hint="eastAsia" w:ascii="方正仿宋_GBK" w:hAnsi="方正仿宋_GBK" w:eastAsia="方正仿宋_GBK" w:cs="方正仿宋_GBK"/>
                <w:color w:val="auto"/>
                <w:sz w:val="24"/>
                <w:szCs w:val="24"/>
                <w:lang w:val="en-US" w:eastAsia="zh-CN"/>
              </w:rPr>
              <w:t>或修复</w:t>
            </w:r>
            <w:r>
              <w:rPr>
                <w:rFonts w:hint="eastAsia" w:ascii="方正仿宋_GBK" w:hAnsi="方正仿宋_GBK" w:eastAsia="方正仿宋_GBK" w:cs="方正仿宋_GBK"/>
                <w:color w:val="auto"/>
                <w:sz w:val="24"/>
                <w:szCs w:val="24"/>
              </w:rPr>
              <w:t>项目的，每提供一个项目</w:t>
            </w:r>
            <w:r>
              <w:rPr>
                <w:rFonts w:hint="eastAsia" w:ascii="方正仿宋_GBK" w:hAnsi="方正仿宋_GBK" w:eastAsia="方正仿宋_GBK" w:cs="方正仿宋_GBK"/>
                <w:color w:val="auto"/>
                <w:sz w:val="24"/>
                <w:szCs w:val="24"/>
                <w:lang w:val="en-US" w:eastAsia="zh-CN"/>
              </w:rPr>
              <w:t>合同</w:t>
            </w:r>
            <w:r>
              <w:rPr>
                <w:rFonts w:hint="eastAsia" w:ascii="方正仿宋_GBK" w:hAnsi="方正仿宋_GBK" w:eastAsia="方正仿宋_GBK" w:cs="方正仿宋_GBK"/>
                <w:color w:val="auto"/>
                <w:sz w:val="24"/>
                <w:szCs w:val="24"/>
              </w:rPr>
              <w:t>得</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b/>
                <w:bCs/>
                <w:color w:val="auto"/>
                <w:sz w:val="24"/>
                <w:szCs w:val="24"/>
                <w:lang w:eastAsia="zh-CN"/>
              </w:rPr>
              <w:t>（</w:t>
            </w:r>
            <w:r>
              <w:rPr>
                <w:rFonts w:hint="eastAsia" w:ascii="方正仿宋_GBK" w:hAnsi="方正仿宋_GBK" w:eastAsia="方正仿宋_GBK" w:cs="方正仿宋_GBK"/>
                <w:b/>
                <w:bCs/>
                <w:color w:val="auto"/>
                <w:sz w:val="24"/>
                <w:szCs w:val="24"/>
              </w:rPr>
              <w:t>满分</w:t>
            </w:r>
            <w:r>
              <w:rPr>
                <w:rFonts w:hint="eastAsia" w:ascii="方正仿宋_GBK" w:hAnsi="方正仿宋_GBK" w:eastAsia="方正仿宋_GBK" w:cs="方正仿宋_GBK"/>
                <w:b/>
                <w:bCs/>
                <w:color w:val="auto"/>
                <w:sz w:val="24"/>
                <w:szCs w:val="24"/>
                <w:lang w:val="en-US" w:eastAsia="zh-CN"/>
              </w:rPr>
              <w:t>4</w:t>
            </w:r>
            <w:r>
              <w:rPr>
                <w:rFonts w:hint="eastAsia" w:ascii="方正仿宋_GBK" w:hAnsi="方正仿宋_GBK" w:eastAsia="方正仿宋_GBK" w:cs="方正仿宋_GBK"/>
                <w:b/>
                <w:bCs/>
                <w:color w:val="auto"/>
                <w:sz w:val="24"/>
                <w:szCs w:val="24"/>
              </w:rPr>
              <w:t>分</w:t>
            </w:r>
            <w:r>
              <w:rPr>
                <w:rFonts w:hint="eastAsia" w:ascii="方正仿宋_GBK" w:hAnsi="方正仿宋_GBK" w:eastAsia="方正仿宋_GBK" w:cs="方正仿宋_GBK"/>
                <w:b/>
                <w:bCs/>
                <w:color w:val="auto"/>
                <w:sz w:val="24"/>
                <w:szCs w:val="24"/>
                <w:lang w:eastAsia="zh-CN"/>
              </w:rPr>
              <w:t>）</w:t>
            </w:r>
            <w:r>
              <w:rPr>
                <w:rFonts w:hint="eastAsia" w:ascii="方正仿宋_GBK" w:hAnsi="方正仿宋_GBK" w:eastAsia="方正仿宋_GBK" w:cs="方正仿宋_GBK"/>
                <w:color w:val="auto"/>
                <w:sz w:val="24"/>
                <w:szCs w:val="24"/>
              </w:rPr>
              <w:t>。</w:t>
            </w:r>
          </w:p>
          <w:p w14:paraId="797B7F0E">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投标时需提供有效合同复印件并加盖公章，未提供不得分。</w:t>
            </w:r>
          </w:p>
        </w:tc>
        <w:tc>
          <w:tcPr>
            <w:tcW w:w="396" w:type="pct"/>
            <w:noWrap w:val="0"/>
            <w:vAlign w:val="center"/>
          </w:tcPr>
          <w:p w14:paraId="321B2FF5">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分</w:t>
            </w:r>
          </w:p>
        </w:tc>
      </w:tr>
      <w:tr w14:paraId="2FFC6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8" w:type="pct"/>
            <w:noWrap w:val="0"/>
            <w:vAlign w:val="center"/>
          </w:tcPr>
          <w:p w14:paraId="47A4F562">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工作方案</w:t>
            </w:r>
          </w:p>
        </w:tc>
        <w:tc>
          <w:tcPr>
            <w:tcW w:w="3935" w:type="pct"/>
            <w:noWrap w:val="0"/>
            <w:vAlign w:val="top"/>
          </w:tcPr>
          <w:p w14:paraId="0FE5E44E">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color w:val="auto"/>
                <w:sz w:val="24"/>
                <w:szCs w:val="24"/>
              </w:rPr>
              <w:t>1.投标人需要提供明确的项目组织实施方案</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满分</w:t>
            </w:r>
            <w:r>
              <w:rPr>
                <w:rFonts w:hint="eastAsia" w:ascii="方正仿宋_GBK" w:hAnsi="方正仿宋_GBK" w:eastAsia="方正仿宋_GBK" w:cs="方正仿宋_GBK"/>
                <w:b w:val="0"/>
                <w:bCs w:val="0"/>
                <w:color w:val="auto"/>
                <w:sz w:val="24"/>
                <w:szCs w:val="24"/>
                <w:lang w:val="en-US" w:eastAsia="zh-CN"/>
              </w:rPr>
              <w:t>10</w:t>
            </w:r>
            <w:r>
              <w:rPr>
                <w:rFonts w:hint="eastAsia" w:ascii="方正仿宋_GBK" w:hAnsi="方正仿宋_GBK" w:eastAsia="方正仿宋_GBK" w:cs="方正仿宋_GBK"/>
                <w:b w:val="0"/>
                <w:bCs w:val="0"/>
                <w:color w:val="auto"/>
                <w:sz w:val="24"/>
                <w:szCs w:val="24"/>
              </w:rPr>
              <w:t>分</w:t>
            </w:r>
            <w:r>
              <w:rPr>
                <w:rFonts w:hint="eastAsia" w:ascii="方正仿宋_GBK" w:hAnsi="方正仿宋_GBK" w:eastAsia="方正仿宋_GBK" w:cs="方正仿宋_GBK"/>
                <w:b w:val="0"/>
                <w:bCs w:val="0"/>
                <w:color w:val="auto"/>
                <w:sz w:val="24"/>
                <w:szCs w:val="24"/>
                <w:lang w:eastAsia="zh-CN"/>
              </w:rPr>
              <w:t>）。</w:t>
            </w:r>
          </w:p>
          <w:p w14:paraId="3CB758F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投标人提供的项目组织实施方案，满足或者优于项目的需要的，得</w:t>
            </w:r>
            <w:r>
              <w:rPr>
                <w:rFonts w:hint="eastAsia" w:ascii="方正仿宋_GBK" w:hAnsi="方正仿宋_GBK" w:eastAsia="方正仿宋_GBK" w:cs="方正仿宋_GBK"/>
                <w:color w:val="auto"/>
                <w:sz w:val="24"/>
                <w:szCs w:val="24"/>
                <w:lang w:val="en-US" w:eastAsia="zh-CN"/>
              </w:rPr>
              <w:t>10</w:t>
            </w:r>
            <w:r>
              <w:rPr>
                <w:rFonts w:hint="eastAsia" w:ascii="方正仿宋_GBK" w:hAnsi="方正仿宋_GBK" w:eastAsia="方正仿宋_GBK" w:cs="方正仿宋_GBK"/>
                <w:color w:val="auto"/>
                <w:sz w:val="24"/>
                <w:szCs w:val="24"/>
              </w:rPr>
              <w:t>分；部分满足项目的需要的，得</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分；不满足项目的需要的，得0分。</w:t>
            </w:r>
          </w:p>
          <w:p w14:paraId="111F12B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投标人需要提供明确的监测工作方案</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满分</w:t>
            </w:r>
            <w:r>
              <w:rPr>
                <w:rFonts w:hint="eastAsia" w:ascii="方正仿宋_GBK" w:hAnsi="方正仿宋_GBK" w:eastAsia="方正仿宋_GBK" w:cs="方正仿宋_GBK"/>
                <w:b w:val="0"/>
                <w:bCs w:val="0"/>
                <w:color w:val="auto"/>
                <w:sz w:val="24"/>
                <w:szCs w:val="24"/>
                <w:lang w:val="en-US" w:eastAsia="zh-CN"/>
              </w:rPr>
              <w:t>10</w:t>
            </w:r>
            <w:r>
              <w:rPr>
                <w:rFonts w:hint="eastAsia" w:ascii="方正仿宋_GBK" w:hAnsi="方正仿宋_GBK" w:eastAsia="方正仿宋_GBK" w:cs="方正仿宋_GBK"/>
                <w:b w:val="0"/>
                <w:bCs w:val="0"/>
                <w:color w:val="auto"/>
                <w:sz w:val="24"/>
                <w:szCs w:val="24"/>
              </w:rPr>
              <w:t>分</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color w:val="auto"/>
                <w:sz w:val="24"/>
                <w:szCs w:val="24"/>
              </w:rPr>
              <w:t>投标人提供的监测工作方案，满足或者优于项目的需要的，得</w:t>
            </w:r>
            <w:r>
              <w:rPr>
                <w:rFonts w:hint="eastAsia" w:ascii="方正仿宋_GBK" w:hAnsi="方正仿宋_GBK" w:eastAsia="方正仿宋_GBK" w:cs="方正仿宋_GBK"/>
                <w:color w:val="auto"/>
                <w:sz w:val="24"/>
                <w:szCs w:val="24"/>
                <w:lang w:val="en-US" w:eastAsia="zh-CN"/>
              </w:rPr>
              <w:t>10</w:t>
            </w:r>
            <w:r>
              <w:rPr>
                <w:rFonts w:hint="eastAsia" w:ascii="方正仿宋_GBK" w:hAnsi="方正仿宋_GBK" w:eastAsia="方正仿宋_GBK" w:cs="方正仿宋_GBK"/>
                <w:color w:val="auto"/>
                <w:sz w:val="24"/>
                <w:szCs w:val="24"/>
              </w:rPr>
              <w:t>分；部分满足项目的需要的，得</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分；不满足项目的需要的，得0分。</w:t>
            </w:r>
          </w:p>
          <w:p w14:paraId="547276C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3.投标人需要提供调查、监测过程质量控制方案</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满分</w:t>
            </w:r>
            <w:r>
              <w:rPr>
                <w:rFonts w:hint="eastAsia" w:ascii="方正仿宋_GBK" w:hAnsi="方正仿宋_GBK" w:eastAsia="方正仿宋_GBK" w:cs="方正仿宋_GBK"/>
                <w:b w:val="0"/>
                <w:bCs w:val="0"/>
                <w:color w:val="auto"/>
                <w:sz w:val="24"/>
                <w:szCs w:val="24"/>
                <w:lang w:val="en-US" w:eastAsia="zh-CN"/>
              </w:rPr>
              <w:t>9</w:t>
            </w:r>
            <w:r>
              <w:rPr>
                <w:rFonts w:hint="eastAsia" w:ascii="方正仿宋_GBK" w:hAnsi="方正仿宋_GBK" w:eastAsia="方正仿宋_GBK" w:cs="方正仿宋_GBK"/>
                <w:b w:val="0"/>
                <w:bCs w:val="0"/>
                <w:color w:val="auto"/>
                <w:sz w:val="24"/>
                <w:szCs w:val="24"/>
              </w:rPr>
              <w:t>分</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color w:val="auto"/>
                <w:sz w:val="24"/>
                <w:szCs w:val="24"/>
              </w:rPr>
              <w:t>投标人提供的质量控制方案，满足或者优于项目的需要的，得</w:t>
            </w:r>
            <w:r>
              <w:rPr>
                <w:rFonts w:hint="eastAsia" w:ascii="方正仿宋_GBK" w:hAnsi="方正仿宋_GBK" w:eastAsia="方正仿宋_GBK" w:cs="方正仿宋_GBK"/>
                <w:color w:val="auto"/>
                <w:sz w:val="24"/>
                <w:szCs w:val="24"/>
                <w:lang w:val="en-US" w:eastAsia="zh-CN"/>
              </w:rPr>
              <w:t>9</w:t>
            </w:r>
            <w:r>
              <w:rPr>
                <w:rFonts w:hint="eastAsia" w:ascii="方正仿宋_GBK" w:hAnsi="方正仿宋_GBK" w:eastAsia="方正仿宋_GBK" w:cs="方正仿宋_GBK"/>
                <w:color w:val="auto"/>
                <w:sz w:val="24"/>
                <w:szCs w:val="24"/>
              </w:rPr>
              <w:t>分；部分满足项目的需要的，得5分；不满足项目的需要的，得0分。</w:t>
            </w:r>
          </w:p>
          <w:p w14:paraId="101FF00B">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.投标人需要提供调查、监测过程</w:t>
            </w:r>
            <w:r>
              <w:rPr>
                <w:rFonts w:hint="eastAsia" w:ascii="方正仿宋_GBK" w:hAnsi="方正仿宋_GBK" w:eastAsia="方正仿宋_GBK" w:cs="方正仿宋_GBK"/>
                <w:color w:val="auto"/>
                <w:sz w:val="24"/>
                <w:szCs w:val="24"/>
                <w:lang w:val="en-US" w:eastAsia="zh-CN"/>
              </w:rPr>
              <w:t>进度</w:t>
            </w:r>
            <w:r>
              <w:rPr>
                <w:rFonts w:hint="eastAsia" w:ascii="方正仿宋_GBK" w:hAnsi="方正仿宋_GBK" w:eastAsia="方正仿宋_GBK" w:cs="方正仿宋_GBK"/>
                <w:color w:val="auto"/>
                <w:sz w:val="24"/>
                <w:szCs w:val="24"/>
              </w:rPr>
              <w:t>控制方案</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满分</w:t>
            </w:r>
            <w:r>
              <w:rPr>
                <w:rFonts w:hint="eastAsia" w:ascii="方正仿宋_GBK" w:hAnsi="方正仿宋_GBK" w:eastAsia="方正仿宋_GBK" w:cs="方正仿宋_GBK"/>
                <w:b w:val="0"/>
                <w:bCs w:val="0"/>
                <w:color w:val="auto"/>
                <w:sz w:val="24"/>
                <w:szCs w:val="24"/>
                <w:lang w:val="en-US" w:eastAsia="zh-CN"/>
              </w:rPr>
              <w:t>9</w:t>
            </w:r>
            <w:r>
              <w:rPr>
                <w:rFonts w:hint="eastAsia" w:ascii="方正仿宋_GBK" w:hAnsi="方正仿宋_GBK" w:eastAsia="方正仿宋_GBK" w:cs="方正仿宋_GBK"/>
                <w:b w:val="0"/>
                <w:bCs w:val="0"/>
                <w:color w:val="auto"/>
                <w:sz w:val="24"/>
                <w:szCs w:val="24"/>
              </w:rPr>
              <w:t>分</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color w:val="auto"/>
                <w:sz w:val="24"/>
                <w:szCs w:val="24"/>
              </w:rPr>
              <w:t>投标人提供的</w:t>
            </w:r>
            <w:r>
              <w:rPr>
                <w:rFonts w:hint="eastAsia" w:ascii="方正仿宋_GBK" w:hAnsi="方正仿宋_GBK" w:eastAsia="方正仿宋_GBK" w:cs="方正仿宋_GBK"/>
                <w:color w:val="auto"/>
                <w:sz w:val="24"/>
                <w:szCs w:val="24"/>
                <w:lang w:val="en-US" w:eastAsia="zh-CN"/>
              </w:rPr>
              <w:t>进度</w:t>
            </w:r>
            <w:r>
              <w:rPr>
                <w:rFonts w:hint="eastAsia" w:ascii="方正仿宋_GBK" w:hAnsi="方正仿宋_GBK" w:eastAsia="方正仿宋_GBK" w:cs="方正仿宋_GBK"/>
                <w:color w:val="auto"/>
                <w:sz w:val="24"/>
                <w:szCs w:val="24"/>
              </w:rPr>
              <w:t>控制方案，满足或者优于项目的需要的，得</w:t>
            </w:r>
            <w:r>
              <w:rPr>
                <w:rFonts w:hint="eastAsia" w:ascii="方正仿宋_GBK" w:hAnsi="方正仿宋_GBK" w:eastAsia="方正仿宋_GBK" w:cs="方正仿宋_GBK"/>
                <w:color w:val="auto"/>
                <w:sz w:val="24"/>
                <w:szCs w:val="24"/>
                <w:lang w:val="en-US" w:eastAsia="zh-CN"/>
              </w:rPr>
              <w:t>9</w:t>
            </w:r>
            <w:r>
              <w:rPr>
                <w:rFonts w:hint="eastAsia" w:ascii="方正仿宋_GBK" w:hAnsi="方正仿宋_GBK" w:eastAsia="方正仿宋_GBK" w:cs="方正仿宋_GBK"/>
                <w:color w:val="auto"/>
                <w:sz w:val="24"/>
                <w:szCs w:val="24"/>
              </w:rPr>
              <w:t>分；部分满足项目的需要的，得5分；</w:t>
            </w:r>
            <w:r>
              <w:rPr>
                <w:rFonts w:hint="eastAsia" w:ascii="方正仿宋_GBK" w:hAnsi="方正仿宋_GBK" w:eastAsia="方正仿宋_GBK" w:cs="方正仿宋_GBK"/>
                <w:color w:val="auto"/>
                <w:sz w:val="24"/>
                <w:szCs w:val="24"/>
                <w:lang w:val="en-US" w:eastAsia="zh-CN"/>
              </w:rPr>
              <w:t>不</w:t>
            </w:r>
            <w:r>
              <w:rPr>
                <w:rFonts w:hint="eastAsia" w:ascii="方正仿宋_GBK" w:hAnsi="方正仿宋_GBK" w:eastAsia="方正仿宋_GBK" w:cs="方正仿宋_GBK"/>
                <w:color w:val="auto"/>
                <w:sz w:val="24"/>
                <w:szCs w:val="24"/>
              </w:rPr>
              <w:t>满足项目的需要的，得0分。</w:t>
            </w:r>
          </w:p>
        </w:tc>
        <w:tc>
          <w:tcPr>
            <w:tcW w:w="396" w:type="pct"/>
            <w:noWrap w:val="0"/>
            <w:vAlign w:val="center"/>
          </w:tcPr>
          <w:p w14:paraId="14D7D438">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38</w:t>
            </w:r>
            <w:r>
              <w:rPr>
                <w:rFonts w:hint="eastAsia" w:ascii="方正仿宋_GBK" w:hAnsi="方正仿宋_GBK" w:eastAsia="方正仿宋_GBK" w:cs="方正仿宋_GBK"/>
                <w:color w:val="auto"/>
                <w:sz w:val="24"/>
                <w:szCs w:val="24"/>
              </w:rPr>
              <w:t>分</w:t>
            </w:r>
          </w:p>
        </w:tc>
      </w:tr>
    </w:tbl>
    <w:p w14:paraId="47511B83">
      <w:pPr>
        <w:autoSpaceDE w:val="0"/>
        <w:autoSpaceDN w:val="0"/>
        <w:adjustRightInd w:val="0"/>
        <w:snapToGrid w:val="0"/>
        <w:spacing w:line="520" w:lineRule="exact"/>
        <w:ind w:firstLine="562"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（四）</w:t>
      </w:r>
      <w:r>
        <w:rPr>
          <w:rFonts w:hint="eastAsia" w:ascii="方正仿宋_GBK" w:hAnsi="方正仿宋_GBK" w:eastAsia="方正仿宋_GBK" w:cs="方正仿宋_GBK"/>
          <w:b/>
          <w:color w:val="auto"/>
          <w:sz w:val="28"/>
          <w:szCs w:val="28"/>
          <w:lang w:val="zh-CN"/>
        </w:rPr>
        <w:t>价格分</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color w:val="auto"/>
          <w:kern w:val="0"/>
          <w:sz w:val="28"/>
          <w:szCs w:val="28"/>
          <w:lang w:val="en-US" w:eastAsia="zh-CN" w:bidi="ar"/>
        </w:rPr>
        <w:t>1</w:t>
      </w:r>
      <w:r>
        <w:rPr>
          <w:rFonts w:hint="eastAsia" w:ascii="方正仿宋_GBK" w:hAnsi="方正仿宋_GBK" w:eastAsia="方正仿宋_GBK" w:cs="方正仿宋_GBK"/>
          <w:color w:val="auto"/>
          <w:kern w:val="0"/>
          <w:sz w:val="28"/>
          <w:szCs w:val="28"/>
          <w:lang w:bidi="ar"/>
        </w:rPr>
        <w:t>0分</w:t>
      </w:r>
    </w:p>
    <w:p w14:paraId="108CD519">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价格分统一采用低价优先法计算，即满足招标文件要求且投标价格最低的投标报价为评标基准价，其价格分为满分。其他投标人的价格分统一按照下列公式计算：</w:t>
      </w:r>
    </w:p>
    <w:p w14:paraId="79C374AD">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投标报价得分=（评标基准价/投标报价）×价格权值×100</w:t>
      </w:r>
      <w:r>
        <w:rPr>
          <w:rFonts w:hint="eastAsia" w:ascii="方正仿宋_GBK" w:hAnsi="方正仿宋_GBK" w:eastAsia="方正仿宋_GBK" w:cs="方正仿宋_GBK"/>
          <w:color w:val="auto"/>
          <w:sz w:val="28"/>
          <w:szCs w:val="28"/>
          <w:lang w:val="en-US" w:eastAsia="zh-CN"/>
        </w:rPr>
        <w:t>%</w:t>
      </w:r>
    </w:p>
    <w:p w14:paraId="0455759E">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59265B42">
      <w:pPr>
        <w:adjustRightInd w:val="0"/>
        <w:snapToGrid w:val="0"/>
        <w:spacing w:line="520" w:lineRule="exact"/>
        <w:ind w:firstLine="562"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
          <w:color w:val="auto"/>
          <w:sz w:val="28"/>
          <w:szCs w:val="28"/>
        </w:rPr>
        <w:t>（五）中标人的确定</w:t>
      </w:r>
    </w:p>
    <w:p w14:paraId="20540247">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评委会汇总各评委评分后，按照得分从高到低的顺序推荐三名中标候选人，并编写评标报告。</w:t>
      </w:r>
    </w:p>
    <w:p w14:paraId="2594D809">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招标人委托评标委员会直接确定排名第一的中标候选人为中标人。</w:t>
      </w:r>
    </w:p>
    <w:p w14:paraId="19C3C7FC">
      <w:pPr>
        <w:adjustRightInd w:val="0"/>
        <w:snapToGrid w:val="0"/>
        <w:spacing w:line="520" w:lineRule="exact"/>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（六）招标人代表宣布评标结果。</w:t>
      </w:r>
    </w:p>
    <w:p w14:paraId="6308B949">
      <w:pPr>
        <w:adjustRightInd w:val="0"/>
        <w:snapToGrid w:val="0"/>
        <w:spacing w:line="520" w:lineRule="exact"/>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（七）公告中标结果</w:t>
      </w:r>
    </w:p>
    <w:p w14:paraId="59677AF8">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自确定中标人之日起2个工作日内，在</w:t>
      </w:r>
      <w:r>
        <w:rPr>
          <w:rFonts w:hint="eastAsia" w:ascii="方正仿宋_GBK" w:hAnsi="方正仿宋_GBK" w:eastAsia="方正仿宋_GBK" w:cs="方正仿宋_GBK"/>
          <w:color w:val="auto"/>
          <w:sz w:val="28"/>
          <w:szCs w:val="28"/>
          <w:lang w:eastAsia="zh-CN"/>
        </w:rPr>
        <w:t>崇川区人民政府网站</w:t>
      </w:r>
      <w:r>
        <w:rPr>
          <w:rFonts w:hint="eastAsia" w:ascii="方正仿宋_GBK" w:hAnsi="方正仿宋_GBK" w:eastAsia="方正仿宋_GBK" w:cs="方正仿宋_GBK"/>
          <w:color w:val="auto"/>
          <w:sz w:val="28"/>
          <w:szCs w:val="28"/>
        </w:rPr>
        <w:t>公告中标结果，公告期限为1个工作日。</w:t>
      </w:r>
    </w:p>
    <w:p w14:paraId="47AF27F2">
      <w:pPr>
        <w:adjustRightInd w:val="0"/>
        <w:snapToGrid w:val="0"/>
        <w:spacing w:line="52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b/>
          <w:bCs/>
          <w:color w:val="auto"/>
          <w:sz w:val="28"/>
          <w:szCs w:val="28"/>
        </w:rPr>
        <w:t>八</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b/>
          <w:bCs/>
          <w:color w:val="auto"/>
          <w:sz w:val="28"/>
          <w:szCs w:val="28"/>
        </w:rPr>
        <w:t>发放中标通知书</w:t>
      </w:r>
    </w:p>
    <w:p w14:paraId="318FEAC4">
      <w:pPr>
        <w:adjustRightInd w:val="0"/>
        <w:snapToGrid w:val="0"/>
        <w:spacing w:line="52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公告中标结果的同时，招标人</w:t>
      </w:r>
      <w:r>
        <w:rPr>
          <w:rFonts w:hint="eastAsia" w:ascii="方正仿宋_GBK" w:hAnsi="方正仿宋_GBK" w:eastAsia="方正仿宋_GBK" w:cs="方正仿宋_GBK"/>
          <w:bCs/>
          <w:color w:val="auto"/>
          <w:sz w:val="28"/>
          <w:szCs w:val="28"/>
        </w:rPr>
        <w:t>向中标人发放中标通知书。</w:t>
      </w:r>
    </w:p>
    <w:p w14:paraId="57DA45D4">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中标通知书发出后，招标人不得违法改变中标结果，中标人无正当理由不得放弃中标。</w:t>
      </w:r>
    </w:p>
    <w:p w14:paraId="5A6B5FBD">
      <w:pPr>
        <w:adjustRightInd w:val="0"/>
        <w:snapToGrid w:val="0"/>
        <w:spacing w:line="52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（九）其他</w:t>
      </w:r>
    </w:p>
    <w:p w14:paraId="66C687BA">
      <w:pPr>
        <w:adjustRightInd w:val="0"/>
        <w:snapToGrid w:val="0"/>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当排名第一的成交候选人无正当理由放弃成交，被查实存在影响成交结果的违法行为等情形，</w:t>
      </w:r>
      <w:r>
        <w:rPr>
          <w:rFonts w:hint="eastAsia" w:ascii="方正仿宋_GBK" w:hAnsi="方正仿宋_GBK" w:eastAsia="方正仿宋_GBK" w:cs="方正仿宋_GBK"/>
          <w:color w:val="auto"/>
          <w:sz w:val="28"/>
          <w:szCs w:val="28"/>
          <w:lang w:eastAsia="zh-CN"/>
        </w:rPr>
        <w:t>招标人</w:t>
      </w:r>
      <w:r>
        <w:rPr>
          <w:rFonts w:hint="eastAsia" w:ascii="方正仿宋_GBK" w:hAnsi="方正仿宋_GBK" w:eastAsia="方正仿宋_GBK" w:cs="方正仿宋_GBK"/>
          <w:color w:val="auto"/>
          <w:sz w:val="28"/>
          <w:szCs w:val="28"/>
        </w:rPr>
        <w:t>有权按照政府采购相关法律法规的规定对其采取惩戒措施，包含但不限于列入采购失信人黑名单等措施。</w:t>
      </w:r>
    </w:p>
    <w:p w14:paraId="50DA76F0">
      <w:pPr>
        <w:adjustRightInd w:val="0"/>
        <w:snapToGrid w:val="0"/>
        <w:spacing w:line="520" w:lineRule="exact"/>
        <w:ind w:firstLine="56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 w:val="28"/>
          <w:szCs w:val="28"/>
        </w:rPr>
        <w:t>当排名第一的成交候选人放弃成交、因不可抗力不能履行合同，或者被查实存在影响成交结果的违法行为等情形，不符合成交条件的，</w:t>
      </w:r>
      <w:r>
        <w:rPr>
          <w:rFonts w:hint="eastAsia" w:ascii="方正仿宋_GBK" w:hAnsi="方正仿宋_GBK" w:eastAsia="方正仿宋_GBK" w:cs="方正仿宋_GBK"/>
          <w:color w:val="auto"/>
          <w:sz w:val="28"/>
          <w:szCs w:val="28"/>
          <w:lang w:eastAsia="zh-CN"/>
        </w:rPr>
        <w:t>招标人</w:t>
      </w:r>
      <w:r>
        <w:rPr>
          <w:rFonts w:hint="eastAsia" w:ascii="方正仿宋_GBK" w:hAnsi="方正仿宋_GBK" w:eastAsia="方正仿宋_GBK" w:cs="方正仿宋_GBK"/>
          <w:color w:val="auto"/>
          <w:sz w:val="28"/>
          <w:szCs w:val="28"/>
        </w:rPr>
        <w:t>可以按照评标委员会提出的成交候选人名单排序依次确定其他成交候选人为成交供应商，也可以重新采购。</w:t>
      </w:r>
    </w:p>
    <w:p w14:paraId="414B9BB9">
      <w:pPr>
        <w:adjustRightInd w:val="0"/>
        <w:snapToGrid w:val="0"/>
        <w:spacing w:line="42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32"/>
          <w:szCs w:val="32"/>
        </w:rPr>
        <w:br w:type="page"/>
      </w:r>
      <w:r>
        <w:rPr>
          <w:rFonts w:hint="eastAsia" w:ascii="方正仿宋_GBK" w:hAnsi="方正仿宋_GBK" w:eastAsia="方正仿宋_GBK" w:cs="方正仿宋_GBK"/>
          <w:b/>
          <w:color w:val="auto"/>
          <w:sz w:val="36"/>
          <w:szCs w:val="36"/>
        </w:rPr>
        <w:t>第五部分  投标文件组成</w:t>
      </w:r>
    </w:p>
    <w:p w14:paraId="1F01D9BE">
      <w:pPr>
        <w:adjustRightInd w:val="0"/>
        <w:snapToGrid w:val="0"/>
        <w:spacing w:line="520" w:lineRule="exact"/>
        <w:ind w:firstLine="562" w:firstLineChars="200"/>
        <w:jc w:val="left"/>
        <w:rPr>
          <w:rFonts w:hint="eastAsia" w:ascii="方正仿宋_GBK" w:hAnsi="方正仿宋_GBK" w:eastAsia="方正仿宋_GBK" w:cs="方正仿宋_GBK"/>
          <w:b/>
          <w:color w:val="auto"/>
          <w:sz w:val="28"/>
          <w:szCs w:val="28"/>
        </w:rPr>
      </w:pPr>
    </w:p>
    <w:p w14:paraId="764AAA62">
      <w:pPr>
        <w:adjustRightInd w:val="0"/>
        <w:snapToGrid w:val="0"/>
        <w:spacing w:line="520" w:lineRule="exact"/>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投标文件由资格审查文件、商务技术文件、价格文件、电子响应文件四部分组成</w:t>
      </w:r>
    </w:p>
    <w:p w14:paraId="72239CAF">
      <w:pPr>
        <w:adjustRightInd w:val="0"/>
        <w:snapToGrid w:val="0"/>
        <w:spacing w:line="520" w:lineRule="exact"/>
        <w:ind w:firstLine="562" w:firstLineChars="200"/>
        <w:rPr>
          <w:rFonts w:hint="eastAsia" w:ascii="方正仿宋_GBK" w:hAnsi="方正仿宋_GBK" w:eastAsia="方正仿宋_GBK" w:cs="方正仿宋_GBK"/>
          <w:b/>
          <w:bCs/>
          <w:color w:val="auto"/>
          <w:kern w:val="0"/>
          <w:sz w:val="28"/>
          <w:szCs w:val="28"/>
          <w:lang w:val="zh-CN"/>
        </w:rPr>
      </w:pPr>
      <w:r>
        <w:rPr>
          <w:rFonts w:hint="eastAsia" w:ascii="方正仿宋_GBK" w:hAnsi="方正仿宋_GBK" w:eastAsia="方正仿宋_GBK" w:cs="方正仿宋_GBK"/>
          <w:b/>
          <w:bCs/>
          <w:color w:val="auto"/>
          <w:kern w:val="0"/>
          <w:sz w:val="28"/>
          <w:szCs w:val="28"/>
          <w:lang w:val="zh-CN"/>
        </w:rPr>
        <w:t>一、资格审查文件（不能出现商务技术文件、价格文件）</w:t>
      </w:r>
    </w:p>
    <w:p w14:paraId="01C26294">
      <w:pPr>
        <w:adjustRightInd w:val="0"/>
        <w:snapToGrid w:val="0"/>
        <w:spacing w:line="520" w:lineRule="exact"/>
        <w:ind w:firstLine="560" w:firstLineChars="200"/>
        <w:rPr>
          <w:rFonts w:hint="eastAsia" w:ascii="方正仿宋_GBK" w:hAnsi="方正仿宋_GBK" w:eastAsia="方正仿宋_GBK" w:cs="方正仿宋_GBK"/>
          <w:color w:val="auto"/>
          <w:kern w:val="0"/>
          <w:sz w:val="28"/>
          <w:szCs w:val="28"/>
          <w:lang w:val="zh-CN"/>
        </w:rPr>
      </w:pPr>
      <w:r>
        <w:rPr>
          <w:rFonts w:hint="eastAsia" w:ascii="方正仿宋_GBK" w:hAnsi="方正仿宋_GBK" w:eastAsia="方正仿宋_GBK" w:cs="方正仿宋_GBK"/>
          <w:color w:val="auto"/>
          <w:kern w:val="0"/>
          <w:sz w:val="28"/>
          <w:szCs w:val="28"/>
          <w:lang w:val="zh-CN"/>
        </w:rPr>
        <w:t>1.</w:t>
      </w:r>
      <w:r>
        <w:rPr>
          <w:rFonts w:hint="eastAsia" w:ascii="方正仿宋_GBK" w:hAnsi="方正仿宋_GBK" w:eastAsia="方正仿宋_GBK" w:cs="方正仿宋_GBK"/>
          <w:color w:val="auto"/>
          <w:kern w:val="0"/>
          <w:sz w:val="28"/>
          <w:szCs w:val="28"/>
        </w:rPr>
        <w:t>符合投标人资格要求的承诺函（格式见附件1）</w:t>
      </w:r>
      <w:r>
        <w:rPr>
          <w:rFonts w:hint="eastAsia" w:ascii="方正仿宋_GBK" w:hAnsi="方正仿宋_GBK" w:eastAsia="方正仿宋_GBK" w:cs="方正仿宋_GBK"/>
          <w:color w:val="auto"/>
          <w:kern w:val="0"/>
          <w:sz w:val="28"/>
          <w:szCs w:val="28"/>
          <w:lang w:val="zh-CN"/>
        </w:rPr>
        <w:t>；</w:t>
      </w:r>
    </w:p>
    <w:p w14:paraId="3865EE7D">
      <w:pPr>
        <w:adjustRightInd w:val="0"/>
        <w:snapToGrid w:val="0"/>
        <w:spacing w:line="520" w:lineRule="exact"/>
        <w:ind w:firstLine="560" w:firstLineChars="200"/>
        <w:rPr>
          <w:rFonts w:hint="eastAsia" w:ascii="方正仿宋_GBK" w:hAnsi="方正仿宋_GBK" w:eastAsia="方正仿宋_GBK" w:cs="方正仿宋_GBK"/>
          <w:color w:val="auto"/>
          <w:kern w:val="0"/>
          <w:sz w:val="28"/>
          <w:szCs w:val="28"/>
          <w:lang w:val="zh-CN"/>
        </w:rPr>
      </w:pPr>
      <w:r>
        <w:rPr>
          <w:rFonts w:hint="eastAsia" w:ascii="方正仿宋_GBK" w:hAnsi="方正仿宋_GBK" w:eastAsia="方正仿宋_GBK" w:cs="方正仿宋_GBK"/>
          <w:color w:val="auto"/>
          <w:kern w:val="0"/>
          <w:sz w:val="28"/>
          <w:szCs w:val="28"/>
          <w:lang w:val="zh-CN"/>
        </w:rPr>
        <w:t>2.法定代表人身份证明书（格式见附件2）；</w:t>
      </w:r>
    </w:p>
    <w:p w14:paraId="3056168B">
      <w:pPr>
        <w:adjustRightInd w:val="0"/>
        <w:snapToGrid w:val="0"/>
        <w:spacing w:line="520" w:lineRule="exact"/>
        <w:ind w:firstLine="560" w:firstLineChars="200"/>
        <w:rPr>
          <w:rFonts w:hint="eastAsia" w:ascii="方正仿宋_GBK" w:hAnsi="方正仿宋_GBK" w:eastAsia="方正仿宋_GBK" w:cs="方正仿宋_GBK"/>
          <w:color w:val="auto"/>
          <w:kern w:val="0"/>
          <w:sz w:val="28"/>
          <w:szCs w:val="28"/>
          <w:lang w:val="zh-CN"/>
        </w:rPr>
      </w:pPr>
      <w:r>
        <w:rPr>
          <w:rFonts w:hint="eastAsia" w:ascii="方正仿宋_GBK" w:hAnsi="方正仿宋_GBK" w:eastAsia="方正仿宋_GBK" w:cs="方正仿宋_GBK"/>
          <w:color w:val="auto"/>
          <w:kern w:val="0"/>
          <w:sz w:val="28"/>
          <w:szCs w:val="28"/>
          <w:lang w:val="zh-CN"/>
        </w:rPr>
        <w:t>3.法定代表人授权委托书原件，投标代表本人身份证复印件（格式见附件3）；</w:t>
      </w:r>
    </w:p>
    <w:p w14:paraId="0D1C7999">
      <w:pPr>
        <w:adjustRightInd w:val="0"/>
        <w:snapToGrid w:val="0"/>
        <w:spacing w:line="520" w:lineRule="exact"/>
        <w:ind w:firstLine="560" w:firstLineChars="200"/>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zh-CN"/>
        </w:rPr>
        <w:t>4.</w:t>
      </w:r>
      <w:r>
        <w:rPr>
          <w:rFonts w:hint="eastAsia" w:ascii="方正仿宋_GBK" w:hAnsi="方正仿宋_GBK" w:eastAsia="方正仿宋_GBK" w:cs="方正仿宋_GBK"/>
          <w:color w:val="auto"/>
          <w:kern w:val="0"/>
          <w:sz w:val="28"/>
          <w:szCs w:val="28"/>
        </w:rPr>
        <w:t>有效的营业执照副本复印件</w:t>
      </w:r>
      <w:r>
        <w:rPr>
          <w:rFonts w:hint="eastAsia" w:ascii="方正仿宋_GBK" w:hAnsi="方正仿宋_GBK" w:eastAsia="方正仿宋_GBK" w:cs="方正仿宋_GBK"/>
          <w:color w:val="auto"/>
          <w:kern w:val="0"/>
          <w:sz w:val="28"/>
          <w:szCs w:val="28"/>
          <w:lang w:eastAsia="zh-CN"/>
        </w:rPr>
        <w:t>。</w:t>
      </w:r>
    </w:p>
    <w:p w14:paraId="48EC41A1">
      <w:pPr>
        <w:adjustRightInd w:val="0"/>
        <w:snapToGrid w:val="0"/>
        <w:spacing w:line="520" w:lineRule="exact"/>
        <w:ind w:firstLine="562" w:firstLineChars="200"/>
        <w:rPr>
          <w:rFonts w:hint="eastAsia" w:ascii="方正仿宋_GBK" w:hAnsi="方正仿宋_GBK" w:eastAsia="方正仿宋_GBK" w:cs="方正仿宋_GBK"/>
          <w:b/>
          <w:bCs/>
          <w:color w:val="auto"/>
          <w:kern w:val="0"/>
          <w:sz w:val="28"/>
          <w:szCs w:val="28"/>
          <w:lang w:val="zh-CN"/>
        </w:rPr>
      </w:pPr>
      <w:r>
        <w:rPr>
          <w:rFonts w:hint="eastAsia" w:ascii="方正仿宋_GBK" w:hAnsi="方正仿宋_GBK" w:eastAsia="方正仿宋_GBK" w:cs="方正仿宋_GBK"/>
          <w:b/>
          <w:bCs/>
          <w:color w:val="auto"/>
          <w:kern w:val="0"/>
          <w:sz w:val="28"/>
          <w:szCs w:val="28"/>
          <w:lang w:val="zh-CN"/>
        </w:rPr>
        <w:t>二、商务技术文件（不能出现价格文件）</w:t>
      </w:r>
    </w:p>
    <w:p w14:paraId="75AA5AEA">
      <w:pPr>
        <w:adjustRightInd w:val="0"/>
        <w:snapToGrid w:val="0"/>
        <w:spacing w:line="520" w:lineRule="exact"/>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rPr>
        <w:t>.方案、业绩等；</w:t>
      </w:r>
    </w:p>
    <w:p w14:paraId="46D06BDB">
      <w:pPr>
        <w:adjustRightInd w:val="0"/>
        <w:snapToGrid w:val="0"/>
        <w:spacing w:line="520" w:lineRule="exact"/>
        <w:ind w:firstLine="560" w:firstLineChars="200"/>
        <w:rPr>
          <w:rFonts w:hint="eastAsia" w:ascii="方正仿宋_GBK" w:hAnsi="方正仿宋_GBK" w:eastAsia="方正仿宋_GBK" w:cs="方正仿宋_GBK"/>
          <w:color w:val="auto"/>
          <w:kern w:val="0"/>
          <w:sz w:val="28"/>
          <w:szCs w:val="28"/>
          <w:lang w:val="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zh-CN"/>
        </w:rPr>
        <w:t>为方便评委评审，请供应商按评审办法中所涉及的事项顺序进行编制，可以补充相关材料；</w:t>
      </w:r>
    </w:p>
    <w:p w14:paraId="02D6C00E">
      <w:pPr>
        <w:adjustRightInd w:val="0"/>
        <w:snapToGrid w:val="0"/>
        <w:spacing w:line="520" w:lineRule="exact"/>
        <w:ind w:firstLine="560" w:firstLineChars="200"/>
        <w:rPr>
          <w:rFonts w:hint="eastAsia" w:ascii="方正仿宋_GBK" w:hAnsi="方正仿宋_GBK" w:eastAsia="方正仿宋_GBK" w:cs="方正仿宋_GBK"/>
          <w:bCs/>
          <w:color w:val="auto"/>
          <w:kern w:val="0"/>
          <w:sz w:val="28"/>
          <w:szCs w:val="28"/>
          <w:lang w:val="zh-CN"/>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val="zh-CN"/>
        </w:rPr>
        <w:t>.评审办法中未涉及的事项，供应商认为需要提交的其他资料。</w:t>
      </w:r>
    </w:p>
    <w:p w14:paraId="3F7DD374">
      <w:pPr>
        <w:adjustRightInd w:val="0"/>
        <w:snapToGrid w:val="0"/>
        <w:spacing w:line="520" w:lineRule="exact"/>
        <w:ind w:firstLine="562" w:firstLineChars="200"/>
        <w:outlineLvl w:val="1"/>
        <w:rPr>
          <w:rFonts w:hint="eastAsia" w:ascii="方正仿宋_GBK" w:hAnsi="方正仿宋_GBK" w:eastAsia="方正仿宋_GBK" w:cs="方正仿宋_GBK"/>
          <w:b/>
          <w:bCs/>
          <w:color w:val="auto"/>
          <w:kern w:val="0"/>
          <w:sz w:val="28"/>
          <w:szCs w:val="28"/>
          <w:lang w:val="zh-CN"/>
        </w:rPr>
      </w:pPr>
      <w:r>
        <w:rPr>
          <w:rFonts w:hint="eastAsia" w:ascii="方正仿宋_GBK" w:hAnsi="方正仿宋_GBK" w:eastAsia="方正仿宋_GBK" w:cs="方正仿宋_GBK"/>
          <w:b/>
          <w:bCs/>
          <w:color w:val="auto"/>
          <w:kern w:val="0"/>
          <w:sz w:val="28"/>
          <w:szCs w:val="28"/>
          <w:lang w:val="zh-CN"/>
        </w:rPr>
        <w:t>三、价格文件</w:t>
      </w:r>
    </w:p>
    <w:p w14:paraId="46626C83">
      <w:pPr>
        <w:adjustRightInd w:val="0"/>
        <w:snapToGrid w:val="0"/>
        <w:spacing w:line="520" w:lineRule="exact"/>
        <w:ind w:firstLine="560" w:firstLineChars="200"/>
        <w:rPr>
          <w:rFonts w:hint="eastAsia" w:ascii="方正仿宋_GBK" w:hAnsi="方正仿宋_GBK" w:eastAsia="方正仿宋_GBK" w:cs="方正仿宋_GBK"/>
          <w:color w:val="auto"/>
          <w:kern w:val="0"/>
          <w:sz w:val="28"/>
          <w:szCs w:val="28"/>
          <w:lang w:val="zh-CN"/>
        </w:rPr>
      </w:pPr>
      <w:r>
        <w:rPr>
          <w:rFonts w:hint="eastAsia" w:ascii="方正仿宋_GBK" w:hAnsi="方正仿宋_GBK" w:eastAsia="方正仿宋_GBK" w:cs="方正仿宋_GBK"/>
          <w:color w:val="auto"/>
          <w:kern w:val="0"/>
          <w:sz w:val="28"/>
          <w:szCs w:val="28"/>
          <w:lang w:val="zh-CN"/>
        </w:rPr>
        <w:t>1.开标一览表（格式见附件</w:t>
      </w: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color w:val="auto"/>
          <w:kern w:val="0"/>
          <w:sz w:val="28"/>
          <w:szCs w:val="28"/>
          <w:lang w:val="zh-CN"/>
        </w:rPr>
        <w:t>）；</w:t>
      </w:r>
    </w:p>
    <w:p w14:paraId="200C98D2">
      <w:pPr>
        <w:adjustRightInd w:val="0"/>
        <w:snapToGrid w:val="0"/>
        <w:spacing w:line="520" w:lineRule="exact"/>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2.分项报价表</w:t>
      </w:r>
      <w:r>
        <w:rPr>
          <w:rFonts w:hint="eastAsia" w:ascii="方正仿宋_GBK" w:hAnsi="方正仿宋_GBK" w:eastAsia="方正仿宋_GBK" w:cs="方正仿宋_GBK"/>
          <w:color w:val="auto"/>
          <w:kern w:val="0"/>
          <w:sz w:val="28"/>
          <w:szCs w:val="28"/>
          <w:lang w:val="zh-CN"/>
        </w:rPr>
        <w:t>（格式见附件</w:t>
      </w: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zh-CN"/>
        </w:rPr>
        <w:t>）</w:t>
      </w:r>
      <w:r>
        <w:rPr>
          <w:rFonts w:hint="eastAsia" w:ascii="方正仿宋_GBK" w:hAnsi="方正仿宋_GBK" w:eastAsia="方正仿宋_GBK" w:cs="方正仿宋_GBK"/>
          <w:color w:val="auto"/>
          <w:kern w:val="0"/>
          <w:sz w:val="28"/>
          <w:szCs w:val="28"/>
        </w:rPr>
        <w:t>；</w:t>
      </w:r>
    </w:p>
    <w:p w14:paraId="5CE10479">
      <w:pPr>
        <w:adjustRightInd w:val="0"/>
        <w:snapToGrid w:val="0"/>
        <w:spacing w:line="520" w:lineRule="exact"/>
        <w:ind w:firstLine="560" w:firstLineChars="200"/>
        <w:rPr>
          <w:rFonts w:hint="eastAsia" w:ascii="方正仿宋_GBK" w:hAnsi="方正仿宋_GBK" w:eastAsia="方正仿宋_GBK" w:cs="方正仿宋_GBK"/>
          <w:color w:val="auto"/>
          <w:kern w:val="0"/>
          <w:sz w:val="28"/>
          <w:szCs w:val="28"/>
          <w:lang w:val="zh-CN"/>
        </w:rPr>
      </w:pPr>
      <w:r>
        <w:rPr>
          <w:rFonts w:hint="eastAsia" w:ascii="方正仿宋_GBK" w:hAnsi="方正仿宋_GBK" w:eastAsia="方正仿宋_GBK" w:cs="方正仿宋_GBK"/>
          <w:color w:val="auto"/>
          <w:kern w:val="0"/>
          <w:sz w:val="28"/>
          <w:szCs w:val="28"/>
        </w:rPr>
        <w:t>3.</w:t>
      </w:r>
      <w:r>
        <w:rPr>
          <w:rFonts w:hint="eastAsia" w:ascii="方正仿宋_GBK" w:hAnsi="方正仿宋_GBK" w:eastAsia="方正仿宋_GBK" w:cs="方正仿宋_GBK"/>
          <w:color w:val="auto"/>
          <w:kern w:val="0"/>
          <w:sz w:val="28"/>
          <w:szCs w:val="28"/>
          <w:lang w:val="zh-CN"/>
        </w:rPr>
        <w:t>供应商信用承诺书（格式见附件</w:t>
      </w: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lang w:val="zh-CN"/>
        </w:rPr>
        <w:t>）。</w:t>
      </w:r>
    </w:p>
    <w:p w14:paraId="7D00D3A2">
      <w:pPr>
        <w:adjustRightInd w:val="0"/>
        <w:snapToGrid w:val="0"/>
        <w:spacing w:line="520" w:lineRule="exact"/>
        <w:ind w:firstLine="562" w:firstLineChars="200"/>
        <w:outlineLvl w:val="1"/>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kern w:val="0"/>
          <w:sz w:val="28"/>
          <w:szCs w:val="28"/>
        </w:rPr>
        <w:t>四、电子响应文件（一份）</w:t>
      </w:r>
    </w:p>
    <w:p w14:paraId="1EE71CDC">
      <w:pPr>
        <w:adjustRightInd w:val="0"/>
        <w:snapToGrid w:val="0"/>
        <w:spacing w:line="520" w:lineRule="exact"/>
        <w:ind w:firstLine="560" w:firstLineChars="200"/>
        <w:rPr>
          <w:rFonts w:hint="eastAsia" w:ascii="方正仿宋_GBK" w:hAnsi="方正仿宋_GBK" w:eastAsia="方正仿宋_GBK" w:cs="方正仿宋_GBK"/>
          <w:color w:val="auto"/>
          <w:kern w:val="0"/>
          <w:sz w:val="28"/>
          <w:szCs w:val="28"/>
          <w:lang w:val="zh-CN"/>
        </w:rPr>
      </w:pPr>
      <w:r>
        <w:rPr>
          <w:rFonts w:hint="eastAsia" w:ascii="方正仿宋_GBK" w:hAnsi="方正仿宋_GBK" w:eastAsia="方正仿宋_GBK" w:cs="方正仿宋_GBK"/>
          <w:color w:val="auto"/>
          <w:kern w:val="0"/>
          <w:sz w:val="28"/>
          <w:szCs w:val="28"/>
        </w:rPr>
        <w:t>电子响应文件的内容为“资格审查文件、商务技术文件、价格文件”的打印盖章后的响应文件的扫描件（资格审查文件、商务技术文件、价格文件需分别逐页连续扫描为三个独立的PDF文件）。</w:t>
      </w:r>
    </w:p>
    <w:p w14:paraId="16FA3CF0">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771311B6">
      <w:pPr>
        <w:snapToGrid w:val="0"/>
        <w:spacing w:line="360" w:lineRule="auto"/>
        <w:contextualSpacing/>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color w:val="auto"/>
          <w:kern w:val="0"/>
          <w:sz w:val="32"/>
          <w:szCs w:val="32"/>
          <w:lang w:val="zh-CN"/>
        </w:rPr>
        <w:br w:type="page"/>
      </w:r>
      <w:r>
        <w:rPr>
          <w:rFonts w:hint="eastAsia" w:ascii="方正仿宋_GBK" w:hAnsi="方正仿宋_GBK" w:eastAsia="方正仿宋_GBK" w:cs="方正仿宋_GBK"/>
          <w:color w:val="auto"/>
          <w:kern w:val="0"/>
          <w:sz w:val="32"/>
          <w:szCs w:val="32"/>
          <w:lang w:val="zh-CN"/>
        </w:rPr>
        <w:t>附件1</w:t>
      </w:r>
    </w:p>
    <w:p w14:paraId="3764C627">
      <w:pPr>
        <w:spacing w:line="360" w:lineRule="auto"/>
        <w:jc w:val="center"/>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投标人符合本项目投标人资格要求的承诺函</w:t>
      </w:r>
    </w:p>
    <w:p w14:paraId="3787D31E">
      <w:pPr>
        <w:spacing w:line="360" w:lineRule="auto"/>
        <w:rPr>
          <w:rFonts w:hint="eastAsia" w:ascii="方正仿宋_GBK" w:hAnsi="方正仿宋_GBK" w:eastAsia="方正仿宋_GBK" w:cs="方正仿宋_GBK"/>
          <w:b/>
          <w:bCs/>
          <w:color w:val="auto"/>
          <w:sz w:val="44"/>
          <w:szCs w:val="44"/>
        </w:rPr>
      </w:pPr>
      <w:r>
        <w:rPr>
          <w:rFonts w:hint="eastAsia" w:ascii="方正仿宋_GBK" w:hAnsi="方正仿宋_GBK" w:eastAsia="方正仿宋_GBK" w:cs="方正仿宋_GBK"/>
          <w:b/>
          <w:bCs/>
          <w:color w:val="auto"/>
          <w:sz w:val="24"/>
          <w:szCs w:val="21"/>
        </w:rPr>
        <w:t xml:space="preserve">                       </w:t>
      </w:r>
      <w:r>
        <w:rPr>
          <w:rFonts w:hint="eastAsia" w:ascii="方正仿宋_GBK" w:hAnsi="方正仿宋_GBK" w:eastAsia="方正仿宋_GBK" w:cs="方正仿宋_GBK"/>
          <w:b/>
          <w:bCs/>
          <w:color w:val="auto"/>
          <w:sz w:val="44"/>
          <w:szCs w:val="44"/>
        </w:rPr>
        <w:t xml:space="preserve">   </w:t>
      </w:r>
    </w:p>
    <w:p w14:paraId="75D66D69">
      <w:pPr>
        <w:spacing w:line="360" w:lineRule="auto"/>
        <w:ind w:firstLine="480" w:firstLineChars="200"/>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Cs/>
          <w:color w:val="auto"/>
          <w:sz w:val="24"/>
        </w:rPr>
        <w:t>我单位参加</w:t>
      </w:r>
      <w:r>
        <w:rPr>
          <w:rFonts w:hint="eastAsia" w:ascii="方正仿宋_GBK" w:hAnsi="方正仿宋_GBK" w:eastAsia="方正仿宋_GBK" w:cs="方正仿宋_GBK"/>
          <w:bCs/>
          <w:color w:val="auto"/>
          <w:sz w:val="24"/>
          <w:szCs w:val="21"/>
          <w:u w:val="single"/>
        </w:rPr>
        <w:t>________________ _</w:t>
      </w:r>
      <w:r>
        <w:rPr>
          <w:rFonts w:hint="eastAsia" w:ascii="方正仿宋_GBK" w:hAnsi="方正仿宋_GBK" w:eastAsia="方正仿宋_GBK" w:cs="方正仿宋_GBK"/>
          <w:bCs/>
          <w:color w:val="auto"/>
          <w:sz w:val="24"/>
          <w:szCs w:val="21"/>
        </w:rPr>
        <w:t>（项目名称），</w:t>
      </w:r>
      <w:r>
        <w:rPr>
          <w:rFonts w:hint="eastAsia" w:ascii="方正仿宋_GBK" w:hAnsi="方正仿宋_GBK" w:eastAsia="方正仿宋_GBK" w:cs="方正仿宋_GBK"/>
          <w:bCs/>
          <w:color w:val="auto"/>
          <w:sz w:val="24"/>
          <w:szCs w:val="21"/>
          <w:u w:val="single"/>
        </w:rPr>
        <w:t>_______ __________</w:t>
      </w:r>
      <w:r>
        <w:rPr>
          <w:rFonts w:hint="eastAsia" w:ascii="方正仿宋_GBK" w:hAnsi="方正仿宋_GBK" w:eastAsia="方正仿宋_GBK" w:cs="方正仿宋_GBK"/>
          <w:bCs/>
          <w:color w:val="auto"/>
          <w:sz w:val="24"/>
          <w:szCs w:val="21"/>
        </w:rPr>
        <w:t>（项目编号）投标活动。针对本项目投标人资格要求做出如下承诺：</w:t>
      </w:r>
    </w:p>
    <w:p w14:paraId="66DABFE8">
      <w:pPr>
        <w:spacing w:line="360" w:lineRule="auto"/>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Cs/>
          <w:color w:val="auto"/>
          <w:sz w:val="24"/>
          <w:szCs w:val="21"/>
        </w:rPr>
        <w:t>1.我单位具有独立承担民事责任的能力；</w:t>
      </w:r>
    </w:p>
    <w:p w14:paraId="3B4CF0AB">
      <w:pPr>
        <w:spacing w:line="360" w:lineRule="auto"/>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2.我单位具有良好的商业信誉和健全的财务会计制度；</w:t>
      </w:r>
    </w:p>
    <w:p w14:paraId="4C0BBA49">
      <w:pPr>
        <w:spacing w:line="360" w:lineRule="auto"/>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3.我单位具有履行合同所必需的设备和专业技术能力；</w:t>
      </w:r>
    </w:p>
    <w:p w14:paraId="0541C8C0">
      <w:pPr>
        <w:spacing w:line="360" w:lineRule="auto"/>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4.我单位有依法缴纳税收和社会保障资金的良好记录；</w:t>
      </w:r>
    </w:p>
    <w:p w14:paraId="4A58ACA2">
      <w:pPr>
        <w:spacing w:line="360" w:lineRule="auto"/>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542F35D5">
      <w:pPr>
        <w:spacing w:line="360" w:lineRule="auto"/>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6.我单位满足法律、行政法规规定的其他条件。</w:t>
      </w:r>
    </w:p>
    <w:p w14:paraId="56DC59FD">
      <w:pPr>
        <w:spacing w:line="360" w:lineRule="auto"/>
        <w:ind w:firstLine="480" w:firstLineChars="200"/>
        <w:rPr>
          <w:rFonts w:hint="eastAsia" w:ascii="方正仿宋_GBK" w:hAnsi="方正仿宋_GBK" w:eastAsia="方正仿宋_GBK" w:cs="方正仿宋_GBK"/>
          <w:color w:val="auto"/>
          <w:sz w:val="24"/>
        </w:rPr>
      </w:pPr>
    </w:p>
    <w:p w14:paraId="37652A19">
      <w:pPr>
        <w:spacing w:line="360" w:lineRule="auto"/>
        <w:ind w:firstLine="480" w:firstLineChars="200"/>
        <w:rPr>
          <w:rFonts w:hint="eastAsia" w:ascii="方正仿宋_GBK" w:hAnsi="方正仿宋_GBK" w:eastAsia="方正仿宋_GBK" w:cs="方正仿宋_GBK"/>
          <w:color w:val="auto"/>
          <w:sz w:val="24"/>
        </w:rPr>
      </w:pPr>
    </w:p>
    <w:p w14:paraId="33384BA1">
      <w:pPr>
        <w:spacing w:line="360" w:lineRule="auto"/>
        <w:ind w:firstLine="480" w:firstLineChars="200"/>
        <w:rPr>
          <w:rFonts w:hint="eastAsia" w:ascii="方正仿宋_GBK" w:hAnsi="方正仿宋_GBK" w:eastAsia="方正仿宋_GBK" w:cs="方正仿宋_GBK"/>
          <w:bCs/>
          <w:color w:val="auto"/>
          <w:sz w:val="24"/>
          <w:szCs w:val="21"/>
        </w:rPr>
      </w:pPr>
    </w:p>
    <w:p w14:paraId="2FC7A423">
      <w:pPr>
        <w:spacing w:line="360" w:lineRule="auto"/>
        <w:ind w:firstLine="480" w:firstLineChars="200"/>
        <w:rPr>
          <w:rFonts w:hint="eastAsia" w:ascii="方正仿宋_GBK" w:hAnsi="方正仿宋_GBK" w:eastAsia="方正仿宋_GBK" w:cs="方正仿宋_GBK"/>
          <w:bCs/>
          <w:color w:val="auto"/>
          <w:sz w:val="24"/>
          <w:szCs w:val="21"/>
        </w:rPr>
      </w:pPr>
    </w:p>
    <w:p w14:paraId="10684C02">
      <w:pPr>
        <w:spacing w:line="360" w:lineRule="auto"/>
        <w:ind w:firstLine="480" w:firstLineChars="200"/>
        <w:rPr>
          <w:rFonts w:hint="eastAsia" w:ascii="方正仿宋_GBK" w:hAnsi="方正仿宋_GBK" w:eastAsia="方正仿宋_GBK" w:cs="方正仿宋_GBK"/>
          <w:bCs/>
          <w:color w:val="auto"/>
          <w:sz w:val="24"/>
          <w:szCs w:val="21"/>
        </w:rPr>
      </w:pPr>
    </w:p>
    <w:p w14:paraId="0EF2E600">
      <w:pPr>
        <w:spacing w:line="360" w:lineRule="auto"/>
        <w:ind w:firstLine="480" w:firstLineChars="200"/>
        <w:jc w:val="center"/>
        <w:rPr>
          <w:rFonts w:hint="eastAsia" w:ascii="方正仿宋_GBK" w:hAnsi="方正仿宋_GBK" w:eastAsia="方正仿宋_GBK" w:cs="方正仿宋_GBK"/>
          <w:bCs/>
          <w:color w:val="auto"/>
          <w:sz w:val="24"/>
          <w:szCs w:val="21"/>
        </w:rPr>
      </w:pPr>
      <w:r>
        <w:rPr>
          <w:rFonts w:hint="eastAsia" w:ascii="方正仿宋_GBK" w:hAnsi="方正仿宋_GBK" w:eastAsia="方正仿宋_GBK" w:cs="方正仿宋_GBK"/>
          <w:bCs/>
          <w:color w:val="auto"/>
          <w:sz w:val="24"/>
          <w:szCs w:val="21"/>
        </w:rPr>
        <w:t xml:space="preserve">                                             承诺人名称（公章）：</w:t>
      </w:r>
    </w:p>
    <w:p w14:paraId="77BECE4A">
      <w:pPr>
        <w:spacing w:line="360" w:lineRule="auto"/>
        <w:ind w:firstLine="480" w:firstLineChars="200"/>
        <w:jc w:val="right"/>
        <w:rPr>
          <w:rFonts w:hint="eastAsia" w:ascii="方正仿宋_GBK" w:hAnsi="方正仿宋_GBK" w:eastAsia="方正仿宋_GBK" w:cs="方正仿宋_GBK"/>
          <w:bCs/>
          <w:color w:val="auto"/>
          <w:sz w:val="24"/>
          <w:szCs w:val="21"/>
        </w:rPr>
      </w:pPr>
    </w:p>
    <w:p w14:paraId="116D439D">
      <w:pPr>
        <w:spacing w:line="360" w:lineRule="auto"/>
        <w:ind w:firstLine="480" w:firstLineChars="200"/>
        <w:jc w:val="right"/>
        <w:rPr>
          <w:rFonts w:hint="eastAsia" w:ascii="方正仿宋_GBK" w:hAnsi="方正仿宋_GBK" w:eastAsia="方正仿宋_GBK" w:cs="方正仿宋_GBK"/>
          <w:bCs/>
          <w:color w:val="auto"/>
          <w:sz w:val="24"/>
          <w:szCs w:val="21"/>
        </w:rPr>
      </w:pPr>
    </w:p>
    <w:p w14:paraId="632A6018">
      <w:pPr>
        <w:spacing w:line="360" w:lineRule="auto"/>
        <w:ind w:firstLine="480" w:firstLineChars="200"/>
        <w:jc w:val="right"/>
        <w:rPr>
          <w:rFonts w:hint="eastAsia" w:ascii="方正仿宋_GBK" w:hAnsi="方正仿宋_GBK" w:eastAsia="方正仿宋_GBK" w:cs="方正仿宋_GBK"/>
          <w:bCs/>
          <w:color w:val="auto"/>
          <w:sz w:val="24"/>
          <w:szCs w:val="21"/>
        </w:rPr>
      </w:pPr>
      <w:r>
        <w:rPr>
          <w:rFonts w:hint="eastAsia" w:ascii="方正仿宋_GBK" w:hAnsi="方正仿宋_GBK" w:eastAsia="方正仿宋_GBK" w:cs="方正仿宋_GBK"/>
          <w:bCs/>
          <w:color w:val="auto"/>
          <w:sz w:val="24"/>
          <w:szCs w:val="21"/>
        </w:rPr>
        <w:t xml:space="preserve">    </w:t>
      </w:r>
    </w:p>
    <w:p w14:paraId="685B1EBA">
      <w:pPr>
        <w:spacing w:line="360" w:lineRule="auto"/>
        <w:ind w:firstLine="480" w:firstLineChars="200"/>
        <w:jc w:val="right"/>
        <w:rPr>
          <w:rFonts w:hint="eastAsia" w:ascii="方正仿宋_GBK" w:hAnsi="方正仿宋_GBK" w:eastAsia="方正仿宋_GBK" w:cs="方正仿宋_GBK"/>
          <w:bCs/>
          <w:color w:val="auto"/>
          <w:sz w:val="24"/>
          <w:szCs w:val="21"/>
        </w:rPr>
      </w:pPr>
      <w:r>
        <w:rPr>
          <w:rFonts w:hint="eastAsia" w:ascii="方正仿宋_GBK" w:hAnsi="方正仿宋_GBK" w:eastAsia="方正仿宋_GBK" w:cs="方正仿宋_GBK"/>
          <w:bCs/>
          <w:color w:val="auto"/>
          <w:sz w:val="24"/>
          <w:szCs w:val="21"/>
        </w:rPr>
        <w:t xml:space="preserve">                                 日期：</w:t>
      </w:r>
      <w:r>
        <w:rPr>
          <w:rFonts w:hint="eastAsia" w:ascii="方正仿宋_GBK" w:hAnsi="方正仿宋_GBK" w:eastAsia="方正仿宋_GBK" w:cs="方正仿宋_GBK"/>
          <w:bCs/>
          <w:color w:val="auto"/>
          <w:sz w:val="24"/>
          <w:szCs w:val="21"/>
          <w:u w:val="single"/>
        </w:rPr>
        <w:t>______</w:t>
      </w:r>
      <w:r>
        <w:rPr>
          <w:rFonts w:hint="eastAsia" w:ascii="方正仿宋_GBK" w:hAnsi="方正仿宋_GBK" w:eastAsia="方正仿宋_GBK" w:cs="方正仿宋_GBK"/>
          <w:bCs/>
          <w:color w:val="auto"/>
          <w:sz w:val="24"/>
          <w:szCs w:val="21"/>
        </w:rPr>
        <w:t>年</w:t>
      </w:r>
      <w:r>
        <w:rPr>
          <w:rFonts w:hint="eastAsia" w:ascii="方正仿宋_GBK" w:hAnsi="方正仿宋_GBK" w:eastAsia="方正仿宋_GBK" w:cs="方正仿宋_GBK"/>
          <w:bCs/>
          <w:color w:val="auto"/>
          <w:sz w:val="24"/>
          <w:szCs w:val="21"/>
          <w:u w:val="single"/>
        </w:rPr>
        <w:t xml:space="preserve">    </w:t>
      </w:r>
      <w:r>
        <w:rPr>
          <w:rFonts w:hint="eastAsia" w:ascii="方正仿宋_GBK" w:hAnsi="方正仿宋_GBK" w:eastAsia="方正仿宋_GBK" w:cs="方正仿宋_GBK"/>
          <w:bCs/>
          <w:color w:val="auto"/>
          <w:sz w:val="24"/>
          <w:szCs w:val="21"/>
        </w:rPr>
        <w:t>月</w:t>
      </w:r>
      <w:r>
        <w:rPr>
          <w:rFonts w:hint="eastAsia" w:ascii="方正仿宋_GBK" w:hAnsi="方正仿宋_GBK" w:eastAsia="方正仿宋_GBK" w:cs="方正仿宋_GBK"/>
          <w:bCs/>
          <w:color w:val="auto"/>
          <w:sz w:val="24"/>
          <w:szCs w:val="21"/>
          <w:u w:val="single"/>
        </w:rPr>
        <w:t xml:space="preserve">    </w:t>
      </w:r>
      <w:r>
        <w:rPr>
          <w:rFonts w:hint="eastAsia" w:ascii="方正仿宋_GBK" w:hAnsi="方正仿宋_GBK" w:eastAsia="方正仿宋_GBK" w:cs="方正仿宋_GBK"/>
          <w:bCs/>
          <w:color w:val="auto"/>
          <w:sz w:val="24"/>
          <w:szCs w:val="21"/>
        </w:rPr>
        <w:t>日</w:t>
      </w:r>
    </w:p>
    <w:p w14:paraId="4A3503E7">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43E997FD">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4659B3CF">
      <w:pPr>
        <w:snapToGrid w:val="0"/>
        <w:spacing w:line="360" w:lineRule="auto"/>
        <w:contextualSpacing/>
        <w:rPr>
          <w:rFonts w:hint="eastAsia" w:ascii="方正仿宋_GBK" w:hAnsi="方正仿宋_GBK" w:eastAsia="方正仿宋_GBK" w:cs="方正仿宋_GBK"/>
          <w:color w:val="auto"/>
          <w:kern w:val="0"/>
          <w:sz w:val="32"/>
          <w:szCs w:val="32"/>
          <w:lang w:val="zh-CN"/>
        </w:rPr>
      </w:pPr>
      <w:r>
        <w:rPr>
          <w:rFonts w:hint="eastAsia" w:ascii="方正仿宋_GBK" w:hAnsi="方正仿宋_GBK" w:eastAsia="方正仿宋_GBK" w:cs="方正仿宋_GBK"/>
          <w:color w:val="auto"/>
          <w:kern w:val="0"/>
          <w:sz w:val="32"/>
          <w:szCs w:val="32"/>
          <w:lang w:val="zh-CN"/>
        </w:rPr>
        <w:br w:type="page"/>
      </w:r>
      <w:r>
        <w:rPr>
          <w:rFonts w:hint="eastAsia" w:ascii="方正仿宋_GBK" w:hAnsi="方正仿宋_GBK" w:eastAsia="方正仿宋_GBK" w:cs="方正仿宋_GBK"/>
          <w:color w:val="auto"/>
          <w:kern w:val="0"/>
          <w:sz w:val="32"/>
          <w:szCs w:val="32"/>
          <w:lang w:val="zh-CN"/>
        </w:rPr>
        <w:t>附件2</w:t>
      </w:r>
    </w:p>
    <w:p w14:paraId="6E8A6241">
      <w:pPr>
        <w:spacing w:line="360" w:lineRule="auto"/>
        <w:jc w:val="center"/>
        <w:rPr>
          <w:rFonts w:hint="eastAsia" w:ascii="方正仿宋_GBK" w:hAnsi="方正仿宋_GBK" w:eastAsia="方正仿宋_GBK" w:cs="方正仿宋_GBK"/>
          <w:b/>
          <w:bCs/>
          <w:color w:val="auto"/>
          <w:sz w:val="32"/>
          <w:szCs w:val="32"/>
        </w:rPr>
      </w:pPr>
    </w:p>
    <w:p w14:paraId="2D8DEF31">
      <w:pPr>
        <w:spacing w:line="360" w:lineRule="auto"/>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法定代表人身份证明</w:t>
      </w:r>
    </w:p>
    <w:p w14:paraId="145CE890">
      <w:pPr>
        <w:spacing w:line="360" w:lineRule="auto"/>
        <w:rPr>
          <w:rFonts w:hint="eastAsia" w:ascii="方正仿宋_GBK" w:hAnsi="方正仿宋_GBK" w:eastAsia="方正仿宋_GBK" w:cs="方正仿宋_GBK"/>
          <w:color w:val="auto"/>
          <w:sz w:val="24"/>
        </w:rPr>
      </w:pPr>
    </w:p>
    <w:p w14:paraId="3F8D706B">
      <w:pPr>
        <w:spacing w:line="360" w:lineRule="auto"/>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先生/女士： 现任我单位</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职务，为法定代表人，特此证明。</w:t>
      </w:r>
    </w:p>
    <w:p w14:paraId="360E06B9">
      <w:pPr>
        <w:spacing w:line="360" w:lineRule="auto"/>
        <w:ind w:firstLine="480"/>
        <w:rPr>
          <w:rFonts w:hint="eastAsia" w:ascii="方正仿宋_GBK" w:hAnsi="方正仿宋_GBK" w:eastAsia="方正仿宋_GBK" w:cs="方正仿宋_GBK"/>
          <w:color w:val="auto"/>
          <w:sz w:val="24"/>
          <w:u w:val="single"/>
        </w:rPr>
      </w:pPr>
      <w:r>
        <w:rPr>
          <w:rFonts w:hint="eastAsia" w:ascii="方正仿宋_GBK" w:hAnsi="方正仿宋_GBK" w:eastAsia="方正仿宋_GBK" w:cs="方正仿宋_GBK"/>
          <w:color w:val="auto"/>
          <w:sz w:val="24"/>
        </w:rPr>
        <w:t>身份证号码：</w:t>
      </w:r>
      <w:r>
        <w:rPr>
          <w:rFonts w:hint="eastAsia" w:ascii="方正仿宋_GBK" w:hAnsi="方正仿宋_GBK" w:eastAsia="方正仿宋_GBK" w:cs="方正仿宋_GBK"/>
          <w:color w:val="auto"/>
          <w:sz w:val="24"/>
          <w:u w:val="single"/>
        </w:rPr>
        <w:t xml:space="preserve">                                               </w:t>
      </w:r>
    </w:p>
    <w:p w14:paraId="444BF860">
      <w:pPr>
        <w:spacing w:line="360" w:lineRule="auto"/>
        <w:ind w:firstLine="480"/>
        <w:rPr>
          <w:rFonts w:hint="eastAsia" w:ascii="方正仿宋_GBK" w:hAnsi="方正仿宋_GBK" w:eastAsia="方正仿宋_GBK" w:cs="方正仿宋_GBK"/>
          <w:color w:val="auto"/>
          <w:sz w:val="24"/>
        </w:rPr>
      </w:pPr>
    </w:p>
    <w:p w14:paraId="0CBA5519">
      <w:pPr>
        <w:spacing w:line="360" w:lineRule="auto"/>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注：提供法定代表人的身份证复印件</w:t>
      </w:r>
    </w:p>
    <w:p w14:paraId="53B2CCCC">
      <w:pPr>
        <w:spacing w:line="360" w:lineRule="auto"/>
        <w:ind w:firstLine="480" w:firstLineChars="200"/>
        <w:rPr>
          <w:rFonts w:hint="eastAsia" w:ascii="方正仿宋_GBK" w:hAnsi="方正仿宋_GBK" w:eastAsia="方正仿宋_GBK" w:cs="方正仿宋_GBK"/>
          <w:color w:val="auto"/>
          <w:sz w:val="24"/>
        </w:rPr>
      </w:pPr>
    </w:p>
    <w:p w14:paraId="650B868E">
      <w:pPr>
        <w:spacing w:line="360" w:lineRule="auto"/>
        <w:rPr>
          <w:rFonts w:hint="eastAsia" w:ascii="方正仿宋_GBK" w:hAnsi="方正仿宋_GBK" w:eastAsia="方正仿宋_GBK" w:cs="方正仿宋_GBK"/>
          <w:color w:val="auto"/>
        </w:rPr>
      </w:pPr>
    </w:p>
    <w:p w14:paraId="65936D31">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51DF77F2">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lang w:val="zh-CN"/>
        </w:rPr>
      </w:pPr>
    </w:p>
    <w:p w14:paraId="5F8A9892">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lang w:val="zh-CN"/>
        </w:rPr>
      </w:pPr>
    </w:p>
    <w:p w14:paraId="5BF5D5DA">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lang w:val="zh-CN"/>
        </w:rPr>
      </w:pPr>
    </w:p>
    <w:p w14:paraId="15E8705F">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lang w:val="zh-CN"/>
        </w:rPr>
      </w:pPr>
    </w:p>
    <w:p w14:paraId="314EC9F1">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lang w:val="zh-CN"/>
        </w:rPr>
      </w:pPr>
    </w:p>
    <w:p w14:paraId="6BEB8E18">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lang w:val="zh-CN"/>
        </w:rPr>
      </w:pPr>
    </w:p>
    <w:p w14:paraId="1B538E4F">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lang w:val="zh-CN"/>
        </w:rPr>
      </w:pPr>
    </w:p>
    <w:p w14:paraId="4BBDEACF">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lang w:val="zh-CN"/>
        </w:rPr>
      </w:pPr>
    </w:p>
    <w:p w14:paraId="60B41350">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lang w:val="zh-CN"/>
        </w:rPr>
      </w:pPr>
    </w:p>
    <w:p w14:paraId="5C920CCB">
      <w:pPr>
        <w:snapToGrid w:val="0"/>
        <w:spacing w:line="360" w:lineRule="auto"/>
        <w:contextualSpacing/>
        <w:rPr>
          <w:rFonts w:hint="eastAsia" w:ascii="方正仿宋_GBK" w:hAnsi="方正仿宋_GBK" w:eastAsia="方正仿宋_GBK" w:cs="方正仿宋_GBK"/>
          <w:color w:val="auto"/>
          <w:kern w:val="0"/>
          <w:sz w:val="32"/>
          <w:szCs w:val="32"/>
          <w:lang w:val="zh-CN"/>
        </w:rPr>
      </w:pPr>
      <w:r>
        <w:rPr>
          <w:rFonts w:hint="eastAsia" w:ascii="方正仿宋_GBK" w:hAnsi="方正仿宋_GBK" w:eastAsia="方正仿宋_GBK" w:cs="方正仿宋_GBK"/>
          <w:color w:val="auto"/>
          <w:kern w:val="0"/>
          <w:sz w:val="32"/>
          <w:szCs w:val="32"/>
          <w:lang w:val="zh-CN"/>
        </w:rPr>
        <w:br w:type="page"/>
      </w:r>
      <w:r>
        <w:rPr>
          <w:rFonts w:hint="eastAsia" w:ascii="方正仿宋_GBK" w:hAnsi="方正仿宋_GBK" w:eastAsia="方正仿宋_GBK" w:cs="方正仿宋_GBK"/>
          <w:color w:val="auto"/>
          <w:kern w:val="0"/>
          <w:sz w:val="32"/>
          <w:szCs w:val="32"/>
          <w:lang w:val="zh-CN"/>
        </w:rPr>
        <w:t>附件3</w:t>
      </w:r>
    </w:p>
    <w:p w14:paraId="30DB5EFF">
      <w:pPr>
        <w:spacing w:line="360" w:lineRule="auto"/>
        <w:jc w:val="center"/>
        <w:rPr>
          <w:rFonts w:hint="eastAsia" w:ascii="方正仿宋_GBK" w:hAnsi="方正仿宋_GBK" w:eastAsia="方正仿宋_GBK" w:cs="方正仿宋_GBK"/>
          <w:color w:val="auto"/>
          <w:sz w:val="32"/>
          <w:szCs w:val="32"/>
        </w:rPr>
      </w:pPr>
    </w:p>
    <w:p w14:paraId="49C1855E">
      <w:pPr>
        <w:spacing w:line="360" w:lineRule="auto"/>
        <w:ind w:firstLine="560" w:firstLineChars="20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法定代表人授权委托书</w:t>
      </w:r>
    </w:p>
    <w:p w14:paraId="49ECDAED">
      <w:pPr>
        <w:spacing w:line="360" w:lineRule="auto"/>
        <w:ind w:firstLine="560" w:firstLineChars="200"/>
        <w:rPr>
          <w:rFonts w:hint="eastAsia" w:ascii="方正仿宋_GBK" w:hAnsi="方正仿宋_GBK" w:eastAsia="方正仿宋_GBK" w:cs="方正仿宋_GBK"/>
          <w:color w:val="auto"/>
          <w:sz w:val="28"/>
          <w:szCs w:val="28"/>
        </w:rPr>
      </w:pPr>
    </w:p>
    <w:p w14:paraId="1974A36E">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人------（姓名）系————（授权单位名称）的法定代表人，现委托-------（姓名）（身份证号——————）为我方代理人，以我方名义全权处理与本次采购项目（编号：----------）有关的一切事务，其法律后果由我方承担。</w:t>
      </w:r>
    </w:p>
    <w:p w14:paraId="159FADD1">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本授权书于---年---月---日起生效。代理人无转委托权。</w:t>
      </w:r>
    </w:p>
    <w:p w14:paraId="0FA8A33A">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代理人(被授权人):------</w:t>
      </w:r>
    </w:p>
    <w:p w14:paraId="0BEC089D">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授权单位名称（盖章）：-----</w:t>
      </w:r>
    </w:p>
    <w:p w14:paraId="1949B9DB">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授权单位法定代表人（签字或盖章）：-----</w:t>
      </w:r>
    </w:p>
    <w:p w14:paraId="62BB83D7">
      <w:pPr>
        <w:spacing w:line="360" w:lineRule="auto"/>
        <w:ind w:firstLine="560" w:firstLineChars="200"/>
        <w:jc w:val="right"/>
        <w:rPr>
          <w:rFonts w:hint="eastAsia" w:ascii="方正仿宋_GBK" w:hAnsi="方正仿宋_GBK" w:eastAsia="方正仿宋_GBK" w:cs="方正仿宋_GBK"/>
          <w:color w:val="auto"/>
          <w:sz w:val="28"/>
          <w:szCs w:val="28"/>
        </w:rPr>
      </w:pPr>
    </w:p>
    <w:p w14:paraId="7830FD1F">
      <w:pPr>
        <w:spacing w:line="360" w:lineRule="auto"/>
        <w:ind w:firstLine="560" w:firstLineChars="200"/>
        <w:jc w:val="righ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XXXX年XX月XX日</w:t>
      </w:r>
    </w:p>
    <w:p w14:paraId="31EF780D">
      <w:pPr>
        <w:snapToGrid w:val="0"/>
        <w:spacing w:line="360" w:lineRule="auto"/>
        <w:ind w:firstLine="562" w:firstLineChars="200"/>
        <w:contextualSpacing/>
        <w:rPr>
          <w:rFonts w:hint="eastAsia" w:ascii="方正仿宋_GBK" w:hAnsi="方正仿宋_GBK" w:eastAsia="方正仿宋_GBK" w:cs="方正仿宋_GBK"/>
          <w:b/>
          <w:color w:val="auto"/>
          <w:kern w:val="0"/>
          <w:sz w:val="28"/>
          <w:szCs w:val="28"/>
        </w:rPr>
      </w:pPr>
    </w:p>
    <w:p w14:paraId="1BD82A71">
      <w:pPr>
        <w:snapToGrid w:val="0"/>
        <w:spacing w:line="360" w:lineRule="auto"/>
        <w:ind w:firstLine="562" w:firstLineChars="200"/>
        <w:contextualSpacing/>
        <w:rPr>
          <w:rFonts w:hint="eastAsia"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注：提供投标代表本人身份证复印件</w:t>
      </w:r>
    </w:p>
    <w:p w14:paraId="7474D2CC">
      <w:pPr>
        <w:snapToGrid w:val="0"/>
        <w:spacing w:line="360" w:lineRule="auto"/>
        <w:ind w:firstLine="562" w:firstLineChars="200"/>
        <w:contextualSpacing/>
        <w:rPr>
          <w:rFonts w:hint="eastAsia" w:ascii="方正仿宋_GBK" w:hAnsi="方正仿宋_GBK" w:eastAsia="方正仿宋_GBK" w:cs="方正仿宋_GBK"/>
          <w:b/>
          <w:color w:val="auto"/>
          <w:kern w:val="0"/>
          <w:sz w:val="28"/>
          <w:szCs w:val="28"/>
        </w:rPr>
      </w:pPr>
    </w:p>
    <w:p w14:paraId="4F9A6F85">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1F943A6F">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34182B00">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1DD54CE0">
      <w:pPr>
        <w:pStyle w:val="35"/>
        <w:ind w:firstLine="562"/>
        <w:rPr>
          <w:rFonts w:hint="eastAsia" w:ascii="方正仿宋_GBK" w:hAnsi="方正仿宋_GBK" w:eastAsia="方正仿宋_GBK" w:cs="方正仿宋_GBK"/>
          <w:b/>
          <w:color w:val="auto"/>
          <w:szCs w:val="28"/>
        </w:rPr>
      </w:pPr>
    </w:p>
    <w:p w14:paraId="5E751947">
      <w:pPr>
        <w:pStyle w:val="35"/>
        <w:ind w:firstLine="562"/>
        <w:rPr>
          <w:rFonts w:hint="eastAsia" w:ascii="方正仿宋_GBK" w:hAnsi="方正仿宋_GBK" w:eastAsia="方正仿宋_GBK" w:cs="方正仿宋_GBK"/>
          <w:b/>
          <w:color w:val="auto"/>
          <w:szCs w:val="28"/>
        </w:rPr>
      </w:pPr>
    </w:p>
    <w:p w14:paraId="145EA93A">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5ED46738">
      <w:pPr>
        <w:snapToGrid w:val="0"/>
        <w:spacing w:line="300" w:lineRule="auto"/>
        <w:ind w:firstLine="640" w:firstLineChars="200"/>
        <w:contextualSpacing/>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附件</w:t>
      </w:r>
      <w:r>
        <w:rPr>
          <w:rFonts w:hint="eastAsia" w:ascii="方正仿宋_GBK" w:hAnsi="方正仿宋_GBK" w:eastAsia="方正仿宋_GBK" w:cs="方正仿宋_GBK"/>
          <w:color w:val="auto"/>
          <w:kern w:val="0"/>
          <w:sz w:val="32"/>
          <w:szCs w:val="32"/>
          <w:lang w:val="en-US" w:eastAsia="zh-CN"/>
        </w:rPr>
        <w:t>4</w:t>
      </w:r>
    </w:p>
    <w:p w14:paraId="74DC1300">
      <w:pPr>
        <w:widowControl/>
        <w:spacing w:before="100" w:beforeAutospacing="1" w:after="100" w:afterAutospacing="1" w:line="360" w:lineRule="auto"/>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报价总表</w:t>
      </w:r>
    </w:p>
    <w:p w14:paraId="0099A099">
      <w:pPr>
        <w:spacing w:line="360" w:lineRule="auto"/>
        <w:rPr>
          <w:rFonts w:hint="eastAsia" w:ascii="方正仿宋_GBK" w:hAnsi="方正仿宋_GBK" w:eastAsia="方正仿宋_GBK" w:cs="方正仿宋_GBK"/>
          <w:color w:val="auto"/>
          <w:kern w:val="0"/>
          <w:sz w:val="28"/>
          <w:szCs w:val="28"/>
          <w:u w:val="single"/>
        </w:rPr>
      </w:pPr>
      <w:r>
        <w:rPr>
          <w:rFonts w:hint="eastAsia" w:ascii="方正仿宋_GBK" w:hAnsi="方正仿宋_GBK" w:eastAsia="方正仿宋_GBK" w:cs="方正仿宋_GBK"/>
          <w:color w:val="auto"/>
          <w:kern w:val="0"/>
          <w:sz w:val="28"/>
          <w:szCs w:val="28"/>
        </w:rPr>
        <w:t>供应商全称（加盖公章）：</w:t>
      </w:r>
    </w:p>
    <w:p w14:paraId="14C0236E">
      <w:pPr>
        <w:spacing w:line="360" w:lineRule="auto"/>
        <w:rPr>
          <w:rFonts w:hint="eastAsia" w:ascii="方正仿宋_GBK" w:hAnsi="方正仿宋_GBK" w:eastAsia="方正仿宋_GBK" w:cs="方正仿宋_GBK"/>
          <w:color w:val="auto"/>
          <w:kern w:val="0"/>
          <w:sz w:val="28"/>
          <w:szCs w:val="28"/>
          <w:u w:val="single"/>
        </w:rPr>
      </w:pPr>
      <w:r>
        <w:rPr>
          <w:rFonts w:hint="eastAsia" w:ascii="方正仿宋_GBK" w:hAnsi="方正仿宋_GBK" w:eastAsia="方正仿宋_GBK" w:cs="方正仿宋_GBK"/>
          <w:color w:val="auto"/>
          <w:kern w:val="0"/>
          <w:sz w:val="28"/>
          <w:szCs w:val="28"/>
        </w:rPr>
        <w:t>项目名称：</w:t>
      </w:r>
    </w:p>
    <w:p w14:paraId="45C4C142">
      <w:pPr>
        <w:spacing w:line="360" w:lineRule="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项目编号：</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0"/>
        <w:gridCol w:w="4486"/>
      </w:tblGrid>
      <w:tr w14:paraId="788A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pct"/>
          </w:tcPr>
          <w:p w14:paraId="317C9EB7">
            <w:pPr>
              <w:spacing w:line="360" w:lineRule="auto"/>
              <w:jc w:val="center"/>
              <w:rPr>
                <w:rFonts w:hint="eastAsia" w:ascii="方正仿宋_GBK" w:hAnsi="方正仿宋_GBK" w:eastAsia="方正仿宋_GBK" w:cs="方正仿宋_GBK"/>
                <w:color w:val="auto"/>
                <w:szCs w:val="22"/>
              </w:rPr>
            </w:pPr>
            <w:r>
              <w:rPr>
                <w:rFonts w:hint="eastAsia" w:ascii="方正仿宋_GBK" w:hAnsi="方正仿宋_GBK" w:eastAsia="方正仿宋_GBK" w:cs="方正仿宋_GBK"/>
                <w:color w:val="auto"/>
                <w:kern w:val="0"/>
                <w:sz w:val="28"/>
                <w:szCs w:val="28"/>
              </w:rPr>
              <w:t>项目名称</w:t>
            </w:r>
          </w:p>
        </w:tc>
        <w:tc>
          <w:tcPr>
            <w:tcW w:w="2630" w:type="pct"/>
          </w:tcPr>
          <w:p w14:paraId="3E80BC50">
            <w:pPr>
              <w:spacing w:line="360" w:lineRule="auto"/>
              <w:jc w:val="center"/>
              <w:rPr>
                <w:rFonts w:hint="eastAsia" w:ascii="方正仿宋_GBK" w:hAnsi="方正仿宋_GBK" w:eastAsia="方正仿宋_GBK" w:cs="方正仿宋_GBK"/>
                <w:color w:val="auto"/>
                <w:szCs w:val="22"/>
              </w:rPr>
            </w:pPr>
            <w:r>
              <w:rPr>
                <w:rFonts w:hint="eastAsia" w:ascii="方正仿宋_GBK" w:hAnsi="方正仿宋_GBK" w:eastAsia="方正仿宋_GBK" w:cs="方正仿宋_GBK"/>
                <w:color w:val="auto"/>
                <w:kern w:val="0"/>
                <w:sz w:val="28"/>
                <w:szCs w:val="28"/>
              </w:rPr>
              <w:t>投标报价</w:t>
            </w:r>
          </w:p>
        </w:tc>
      </w:tr>
      <w:tr w14:paraId="01B0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369" w:type="pct"/>
          </w:tcPr>
          <w:p w14:paraId="77FED4F7">
            <w:pPr>
              <w:spacing w:line="360" w:lineRule="auto"/>
              <w:jc w:val="left"/>
              <w:rPr>
                <w:rFonts w:hint="eastAsia" w:ascii="方正仿宋_GBK" w:hAnsi="方正仿宋_GBK" w:eastAsia="方正仿宋_GBK" w:cs="方正仿宋_GBK"/>
                <w:color w:val="auto"/>
                <w:szCs w:val="22"/>
              </w:rPr>
            </w:pPr>
          </w:p>
        </w:tc>
        <w:tc>
          <w:tcPr>
            <w:tcW w:w="2630" w:type="pct"/>
            <w:vAlign w:val="center"/>
          </w:tcPr>
          <w:p w14:paraId="0E4CC29B">
            <w:pPr>
              <w:spacing w:line="360" w:lineRule="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大写：</w:t>
            </w:r>
          </w:p>
          <w:p w14:paraId="7EA11DB2">
            <w:pPr>
              <w:spacing w:line="360" w:lineRule="auto"/>
              <w:rPr>
                <w:rFonts w:hint="eastAsia" w:ascii="方正仿宋_GBK" w:hAnsi="方正仿宋_GBK" w:eastAsia="方正仿宋_GBK" w:cs="方正仿宋_GBK"/>
                <w:color w:val="auto"/>
                <w:szCs w:val="22"/>
                <w:u w:val="single"/>
              </w:rPr>
            </w:pPr>
            <w:r>
              <w:rPr>
                <w:rFonts w:hint="eastAsia" w:ascii="方正仿宋_GBK" w:hAnsi="方正仿宋_GBK" w:eastAsia="方正仿宋_GBK" w:cs="方正仿宋_GBK"/>
                <w:color w:val="auto"/>
                <w:kern w:val="0"/>
                <w:sz w:val="28"/>
                <w:szCs w:val="28"/>
              </w:rPr>
              <w:t>小写：        元（人民币）</w:t>
            </w:r>
          </w:p>
        </w:tc>
      </w:tr>
    </w:tbl>
    <w:p w14:paraId="1D7B83F7">
      <w:pPr>
        <w:spacing w:line="360" w:lineRule="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日期：</w:t>
      </w:r>
    </w:p>
    <w:p w14:paraId="36004691">
      <w:pPr>
        <w:spacing w:line="360" w:lineRule="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填写说明：</w:t>
      </w:r>
    </w:p>
    <w:p w14:paraId="336A888E">
      <w:pPr>
        <w:spacing w:line="360" w:lineRule="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1、报价总表必须加盖供应商公章（复印件无效）。</w:t>
      </w:r>
    </w:p>
    <w:p w14:paraId="173BC135">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330F845D">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26170212">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0F9D79E3">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1F0B5DA7">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47612882">
      <w:pPr>
        <w:snapToGrid w:val="0"/>
        <w:spacing w:line="360" w:lineRule="auto"/>
        <w:ind w:firstLine="540" w:firstLineChars="192"/>
        <w:contextualSpacing/>
        <w:rPr>
          <w:rFonts w:hint="eastAsia" w:ascii="方正仿宋_GBK" w:hAnsi="方正仿宋_GBK" w:eastAsia="方正仿宋_GBK" w:cs="方正仿宋_GBK"/>
          <w:b/>
          <w:color w:val="auto"/>
          <w:kern w:val="0"/>
          <w:sz w:val="28"/>
          <w:szCs w:val="28"/>
        </w:rPr>
      </w:pPr>
    </w:p>
    <w:p w14:paraId="56201ED7">
      <w:pPr>
        <w:snapToGrid w:val="0"/>
        <w:spacing w:line="360" w:lineRule="auto"/>
        <w:jc w:val="left"/>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sz w:val="32"/>
          <w:szCs w:val="32"/>
        </w:rPr>
        <w:br w:type="page"/>
      </w:r>
      <w:r>
        <w:rPr>
          <w:rFonts w:hint="eastAsia" w:ascii="方正仿宋_GBK" w:hAnsi="方正仿宋_GBK" w:eastAsia="方正仿宋_GBK" w:cs="方正仿宋_GBK"/>
          <w:color w:val="auto"/>
          <w:kern w:val="0"/>
          <w:sz w:val="32"/>
          <w:szCs w:val="32"/>
        </w:rPr>
        <w:t>附件</w:t>
      </w:r>
      <w:r>
        <w:rPr>
          <w:rFonts w:hint="eastAsia" w:ascii="方正仿宋_GBK" w:hAnsi="方正仿宋_GBK" w:eastAsia="方正仿宋_GBK" w:cs="方正仿宋_GBK"/>
          <w:color w:val="auto"/>
          <w:kern w:val="0"/>
          <w:sz w:val="32"/>
          <w:szCs w:val="32"/>
          <w:lang w:val="en-US" w:eastAsia="zh-CN"/>
        </w:rPr>
        <w:t>5</w:t>
      </w:r>
    </w:p>
    <w:p w14:paraId="4C011624">
      <w:pPr>
        <w:widowControl/>
        <w:spacing w:before="100" w:beforeAutospacing="1" w:after="100" w:afterAutospacing="1" w:line="500" w:lineRule="atLeast"/>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分项报价明细表（服务类）</w:t>
      </w:r>
    </w:p>
    <w:p w14:paraId="404B5475">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投标人（盖章）：</w:t>
      </w:r>
    </w:p>
    <w:tbl>
      <w:tblPr>
        <w:tblStyle w:val="36"/>
        <w:tblW w:w="9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05B6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397A0B0F">
            <w:pPr>
              <w:spacing w:line="360" w:lineRule="auto"/>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序号</w:t>
            </w:r>
          </w:p>
        </w:tc>
        <w:tc>
          <w:tcPr>
            <w:tcW w:w="1321" w:type="dxa"/>
            <w:noWrap w:val="0"/>
            <w:vAlign w:val="center"/>
          </w:tcPr>
          <w:p w14:paraId="4BD26E13">
            <w:pPr>
              <w:spacing w:line="360" w:lineRule="auto"/>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名称</w:t>
            </w:r>
          </w:p>
        </w:tc>
        <w:tc>
          <w:tcPr>
            <w:tcW w:w="1417" w:type="dxa"/>
            <w:noWrap w:val="0"/>
            <w:vAlign w:val="center"/>
          </w:tcPr>
          <w:p w14:paraId="6346822F">
            <w:pPr>
              <w:spacing w:line="360" w:lineRule="auto"/>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服务范围</w:t>
            </w:r>
          </w:p>
        </w:tc>
        <w:tc>
          <w:tcPr>
            <w:tcW w:w="1418" w:type="dxa"/>
            <w:noWrap w:val="0"/>
            <w:vAlign w:val="center"/>
          </w:tcPr>
          <w:p w14:paraId="65C90631">
            <w:pPr>
              <w:spacing w:line="360" w:lineRule="auto"/>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服务要求</w:t>
            </w:r>
          </w:p>
        </w:tc>
        <w:tc>
          <w:tcPr>
            <w:tcW w:w="1275" w:type="dxa"/>
            <w:noWrap w:val="0"/>
            <w:vAlign w:val="center"/>
          </w:tcPr>
          <w:p w14:paraId="4DC06244">
            <w:pPr>
              <w:spacing w:line="360" w:lineRule="auto"/>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服务时间</w:t>
            </w:r>
          </w:p>
        </w:tc>
        <w:tc>
          <w:tcPr>
            <w:tcW w:w="1276" w:type="dxa"/>
            <w:noWrap w:val="0"/>
            <w:vAlign w:val="center"/>
          </w:tcPr>
          <w:p w14:paraId="403D4F75">
            <w:pPr>
              <w:spacing w:line="360" w:lineRule="auto"/>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服务标准</w:t>
            </w:r>
          </w:p>
        </w:tc>
        <w:tc>
          <w:tcPr>
            <w:tcW w:w="851" w:type="dxa"/>
            <w:noWrap w:val="0"/>
            <w:vAlign w:val="center"/>
          </w:tcPr>
          <w:p w14:paraId="770BB69A">
            <w:pPr>
              <w:spacing w:line="360" w:lineRule="auto"/>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金额</w:t>
            </w:r>
          </w:p>
        </w:tc>
        <w:tc>
          <w:tcPr>
            <w:tcW w:w="1151" w:type="dxa"/>
            <w:noWrap w:val="0"/>
            <w:vAlign w:val="center"/>
          </w:tcPr>
          <w:p w14:paraId="3A158AE9">
            <w:pPr>
              <w:spacing w:line="360" w:lineRule="auto"/>
              <w:ind w:firstLine="105"/>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备注</w:t>
            </w:r>
          </w:p>
        </w:tc>
      </w:tr>
      <w:tr w14:paraId="40392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612472ED">
            <w:pPr>
              <w:spacing w:line="360" w:lineRule="auto"/>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p>
        </w:tc>
        <w:tc>
          <w:tcPr>
            <w:tcW w:w="1321" w:type="dxa"/>
            <w:noWrap w:val="0"/>
            <w:vAlign w:val="center"/>
          </w:tcPr>
          <w:p w14:paraId="39B80625">
            <w:pPr>
              <w:spacing w:line="360" w:lineRule="auto"/>
              <w:jc w:val="center"/>
              <w:rPr>
                <w:rFonts w:hint="eastAsia" w:ascii="方正仿宋_GBK" w:hAnsi="方正仿宋_GBK" w:eastAsia="方正仿宋_GBK" w:cs="方正仿宋_GBK"/>
                <w:color w:val="auto"/>
                <w:sz w:val="24"/>
              </w:rPr>
            </w:pPr>
          </w:p>
        </w:tc>
        <w:tc>
          <w:tcPr>
            <w:tcW w:w="1417" w:type="dxa"/>
            <w:noWrap w:val="0"/>
            <w:vAlign w:val="center"/>
          </w:tcPr>
          <w:p w14:paraId="308ACE21">
            <w:pPr>
              <w:spacing w:line="360" w:lineRule="auto"/>
              <w:jc w:val="center"/>
              <w:rPr>
                <w:rFonts w:hint="eastAsia" w:ascii="方正仿宋_GBK" w:hAnsi="方正仿宋_GBK" w:eastAsia="方正仿宋_GBK" w:cs="方正仿宋_GBK"/>
                <w:color w:val="auto"/>
                <w:sz w:val="24"/>
              </w:rPr>
            </w:pPr>
          </w:p>
        </w:tc>
        <w:tc>
          <w:tcPr>
            <w:tcW w:w="1418" w:type="dxa"/>
            <w:noWrap w:val="0"/>
            <w:vAlign w:val="center"/>
          </w:tcPr>
          <w:p w14:paraId="5A0B17CE">
            <w:pPr>
              <w:spacing w:line="360" w:lineRule="auto"/>
              <w:jc w:val="center"/>
              <w:rPr>
                <w:rFonts w:hint="eastAsia" w:ascii="方正仿宋_GBK" w:hAnsi="方正仿宋_GBK" w:eastAsia="方正仿宋_GBK" w:cs="方正仿宋_GBK"/>
                <w:color w:val="auto"/>
                <w:sz w:val="24"/>
              </w:rPr>
            </w:pPr>
          </w:p>
        </w:tc>
        <w:tc>
          <w:tcPr>
            <w:tcW w:w="1275" w:type="dxa"/>
            <w:noWrap w:val="0"/>
            <w:vAlign w:val="center"/>
          </w:tcPr>
          <w:p w14:paraId="6616735B">
            <w:pPr>
              <w:spacing w:line="360" w:lineRule="auto"/>
              <w:jc w:val="center"/>
              <w:rPr>
                <w:rFonts w:hint="eastAsia" w:ascii="方正仿宋_GBK" w:hAnsi="方正仿宋_GBK" w:eastAsia="方正仿宋_GBK" w:cs="方正仿宋_GBK"/>
                <w:color w:val="auto"/>
                <w:sz w:val="24"/>
              </w:rPr>
            </w:pPr>
          </w:p>
        </w:tc>
        <w:tc>
          <w:tcPr>
            <w:tcW w:w="1276" w:type="dxa"/>
            <w:noWrap w:val="0"/>
            <w:vAlign w:val="center"/>
          </w:tcPr>
          <w:p w14:paraId="77C72D7C">
            <w:pPr>
              <w:spacing w:line="360" w:lineRule="auto"/>
              <w:jc w:val="center"/>
              <w:rPr>
                <w:rFonts w:hint="eastAsia" w:ascii="方正仿宋_GBK" w:hAnsi="方正仿宋_GBK" w:eastAsia="方正仿宋_GBK" w:cs="方正仿宋_GBK"/>
                <w:color w:val="auto"/>
                <w:sz w:val="24"/>
              </w:rPr>
            </w:pPr>
          </w:p>
        </w:tc>
        <w:tc>
          <w:tcPr>
            <w:tcW w:w="851" w:type="dxa"/>
            <w:noWrap w:val="0"/>
            <w:vAlign w:val="center"/>
          </w:tcPr>
          <w:p w14:paraId="3ED24BA0">
            <w:pPr>
              <w:spacing w:line="360" w:lineRule="auto"/>
              <w:jc w:val="center"/>
              <w:rPr>
                <w:rFonts w:hint="eastAsia" w:ascii="方正仿宋_GBK" w:hAnsi="方正仿宋_GBK" w:eastAsia="方正仿宋_GBK" w:cs="方正仿宋_GBK"/>
                <w:color w:val="auto"/>
                <w:sz w:val="24"/>
              </w:rPr>
            </w:pPr>
          </w:p>
        </w:tc>
        <w:tc>
          <w:tcPr>
            <w:tcW w:w="1151" w:type="dxa"/>
            <w:noWrap w:val="0"/>
            <w:vAlign w:val="center"/>
          </w:tcPr>
          <w:p w14:paraId="270E9C7E">
            <w:pPr>
              <w:spacing w:line="360" w:lineRule="auto"/>
              <w:jc w:val="center"/>
              <w:rPr>
                <w:rFonts w:hint="eastAsia" w:ascii="方正仿宋_GBK" w:hAnsi="方正仿宋_GBK" w:eastAsia="方正仿宋_GBK" w:cs="方正仿宋_GBK"/>
                <w:color w:val="auto"/>
                <w:sz w:val="24"/>
              </w:rPr>
            </w:pPr>
          </w:p>
        </w:tc>
      </w:tr>
      <w:tr w14:paraId="52A28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7FEC164B">
            <w:pPr>
              <w:spacing w:line="360" w:lineRule="auto"/>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w:t>
            </w:r>
          </w:p>
        </w:tc>
        <w:tc>
          <w:tcPr>
            <w:tcW w:w="1321" w:type="dxa"/>
            <w:noWrap w:val="0"/>
            <w:vAlign w:val="center"/>
          </w:tcPr>
          <w:p w14:paraId="3A7A043F">
            <w:pPr>
              <w:spacing w:line="360" w:lineRule="auto"/>
              <w:jc w:val="center"/>
              <w:rPr>
                <w:rFonts w:hint="eastAsia" w:ascii="方正仿宋_GBK" w:hAnsi="方正仿宋_GBK" w:eastAsia="方正仿宋_GBK" w:cs="方正仿宋_GBK"/>
                <w:color w:val="auto"/>
                <w:sz w:val="24"/>
              </w:rPr>
            </w:pPr>
          </w:p>
        </w:tc>
        <w:tc>
          <w:tcPr>
            <w:tcW w:w="1417" w:type="dxa"/>
            <w:noWrap w:val="0"/>
            <w:vAlign w:val="center"/>
          </w:tcPr>
          <w:p w14:paraId="26645046">
            <w:pPr>
              <w:spacing w:line="360" w:lineRule="auto"/>
              <w:jc w:val="center"/>
              <w:rPr>
                <w:rFonts w:hint="eastAsia" w:ascii="方正仿宋_GBK" w:hAnsi="方正仿宋_GBK" w:eastAsia="方正仿宋_GBK" w:cs="方正仿宋_GBK"/>
                <w:color w:val="auto"/>
                <w:sz w:val="24"/>
              </w:rPr>
            </w:pPr>
          </w:p>
        </w:tc>
        <w:tc>
          <w:tcPr>
            <w:tcW w:w="1418" w:type="dxa"/>
            <w:noWrap w:val="0"/>
            <w:vAlign w:val="center"/>
          </w:tcPr>
          <w:p w14:paraId="62FD9929">
            <w:pPr>
              <w:spacing w:line="360" w:lineRule="auto"/>
              <w:jc w:val="center"/>
              <w:rPr>
                <w:rFonts w:hint="eastAsia" w:ascii="方正仿宋_GBK" w:hAnsi="方正仿宋_GBK" w:eastAsia="方正仿宋_GBK" w:cs="方正仿宋_GBK"/>
                <w:color w:val="auto"/>
                <w:sz w:val="24"/>
              </w:rPr>
            </w:pPr>
          </w:p>
        </w:tc>
        <w:tc>
          <w:tcPr>
            <w:tcW w:w="1275" w:type="dxa"/>
            <w:noWrap w:val="0"/>
            <w:vAlign w:val="center"/>
          </w:tcPr>
          <w:p w14:paraId="25AEE030">
            <w:pPr>
              <w:spacing w:line="360" w:lineRule="auto"/>
              <w:jc w:val="center"/>
              <w:rPr>
                <w:rFonts w:hint="eastAsia" w:ascii="方正仿宋_GBK" w:hAnsi="方正仿宋_GBK" w:eastAsia="方正仿宋_GBK" w:cs="方正仿宋_GBK"/>
                <w:color w:val="auto"/>
                <w:sz w:val="24"/>
              </w:rPr>
            </w:pPr>
          </w:p>
        </w:tc>
        <w:tc>
          <w:tcPr>
            <w:tcW w:w="1276" w:type="dxa"/>
            <w:noWrap w:val="0"/>
            <w:vAlign w:val="center"/>
          </w:tcPr>
          <w:p w14:paraId="66C194EA">
            <w:pPr>
              <w:spacing w:line="360" w:lineRule="auto"/>
              <w:jc w:val="center"/>
              <w:rPr>
                <w:rFonts w:hint="eastAsia" w:ascii="方正仿宋_GBK" w:hAnsi="方正仿宋_GBK" w:eastAsia="方正仿宋_GBK" w:cs="方正仿宋_GBK"/>
                <w:color w:val="auto"/>
                <w:sz w:val="24"/>
              </w:rPr>
            </w:pPr>
          </w:p>
        </w:tc>
        <w:tc>
          <w:tcPr>
            <w:tcW w:w="851" w:type="dxa"/>
            <w:noWrap w:val="0"/>
            <w:vAlign w:val="center"/>
          </w:tcPr>
          <w:p w14:paraId="054B81F7">
            <w:pPr>
              <w:spacing w:line="360" w:lineRule="auto"/>
              <w:jc w:val="center"/>
              <w:rPr>
                <w:rFonts w:hint="eastAsia" w:ascii="方正仿宋_GBK" w:hAnsi="方正仿宋_GBK" w:eastAsia="方正仿宋_GBK" w:cs="方正仿宋_GBK"/>
                <w:color w:val="auto"/>
                <w:sz w:val="24"/>
              </w:rPr>
            </w:pPr>
          </w:p>
        </w:tc>
        <w:tc>
          <w:tcPr>
            <w:tcW w:w="1151" w:type="dxa"/>
            <w:noWrap w:val="0"/>
            <w:vAlign w:val="center"/>
          </w:tcPr>
          <w:p w14:paraId="0ED1A2E5">
            <w:pPr>
              <w:spacing w:line="360" w:lineRule="auto"/>
              <w:jc w:val="center"/>
              <w:rPr>
                <w:rFonts w:hint="eastAsia" w:ascii="方正仿宋_GBK" w:hAnsi="方正仿宋_GBK" w:eastAsia="方正仿宋_GBK" w:cs="方正仿宋_GBK"/>
                <w:color w:val="auto"/>
                <w:sz w:val="24"/>
              </w:rPr>
            </w:pPr>
          </w:p>
        </w:tc>
      </w:tr>
      <w:tr w14:paraId="0090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75F9137F">
            <w:pPr>
              <w:spacing w:line="360" w:lineRule="auto"/>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p>
        </w:tc>
        <w:tc>
          <w:tcPr>
            <w:tcW w:w="1321" w:type="dxa"/>
            <w:noWrap w:val="0"/>
            <w:vAlign w:val="center"/>
          </w:tcPr>
          <w:p w14:paraId="78DAE6FD">
            <w:pPr>
              <w:spacing w:line="360" w:lineRule="auto"/>
              <w:jc w:val="center"/>
              <w:rPr>
                <w:rFonts w:hint="eastAsia" w:ascii="方正仿宋_GBK" w:hAnsi="方正仿宋_GBK" w:eastAsia="方正仿宋_GBK" w:cs="方正仿宋_GBK"/>
                <w:color w:val="auto"/>
                <w:sz w:val="24"/>
              </w:rPr>
            </w:pPr>
          </w:p>
        </w:tc>
        <w:tc>
          <w:tcPr>
            <w:tcW w:w="1417" w:type="dxa"/>
            <w:noWrap w:val="0"/>
            <w:vAlign w:val="center"/>
          </w:tcPr>
          <w:p w14:paraId="6413CD8B">
            <w:pPr>
              <w:spacing w:line="360" w:lineRule="auto"/>
              <w:jc w:val="center"/>
              <w:rPr>
                <w:rFonts w:hint="eastAsia" w:ascii="方正仿宋_GBK" w:hAnsi="方正仿宋_GBK" w:eastAsia="方正仿宋_GBK" w:cs="方正仿宋_GBK"/>
                <w:color w:val="auto"/>
                <w:sz w:val="24"/>
              </w:rPr>
            </w:pPr>
          </w:p>
        </w:tc>
        <w:tc>
          <w:tcPr>
            <w:tcW w:w="1418" w:type="dxa"/>
            <w:noWrap w:val="0"/>
            <w:vAlign w:val="center"/>
          </w:tcPr>
          <w:p w14:paraId="4C3D3E13">
            <w:pPr>
              <w:spacing w:line="360" w:lineRule="auto"/>
              <w:jc w:val="center"/>
              <w:rPr>
                <w:rFonts w:hint="eastAsia" w:ascii="方正仿宋_GBK" w:hAnsi="方正仿宋_GBK" w:eastAsia="方正仿宋_GBK" w:cs="方正仿宋_GBK"/>
                <w:color w:val="auto"/>
                <w:sz w:val="24"/>
              </w:rPr>
            </w:pPr>
          </w:p>
        </w:tc>
        <w:tc>
          <w:tcPr>
            <w:tcW w:w="1275" w:type="dxa"/>
            <w:noWrap w:val="0"/>
            <w:vAlign w:val="center"/>
          </w:tcPr>
          <w:p w14:paraId="49714029">
            <w:pPr>
              <w:spacing w:line="360" w:lineRule="auto"/>
              <w:jc w:val="center"/>
              <w:rPr>
                <w:rFonts w:hint="eastAsia" w:ascii="方正仿宋_GBK" w:hAnsi="方正仿宋_GBK" w:eastAsia="方正仿宋_GBK" w:cs="方正仿宋_GBK"/>
                <w:color w:val="auto"/>
                <w:sz w:val="24"/>
              </w:rPr>
            </w:pPr>
          </w:p>
        </w:tc>
        <w:tc>
          <w:tcPr>
            <w:tcW w:w="1276" w:type="dxa"/>
            <w:noWrap w:val="0"/>
            <w:vAlign w:val="center"/>
          </w:tcPr>
          <w:p w14:paraId="78BC7491">
            <w:pPr>
              <w:spacing w:line="360" w:lineRule="auto"/>
              <w:jc w:val="center"/>
              <w:rPr>
                <w:rFonts w:hint="eastAsia" w:ascii="方正仿宋_GBK" w:hAnsi="方正仿宋_GBK" w:eastAsia="方正仿宋_GBK" w:cs="方正仿宋_GBK"/>
                <w:color w:val="auto"/>
                <w:sz w:val="24"/>
              </w:rPr>
            </w:pPr>
          </w:p>
        </w:tc>
        <w:tc>
          <w:tcPr>
            <w:tcW w:w="851" w:type="dxa"/>
            <w:noWrap w:val="0"/>
            <w:vAlign w:val="center"/>
          </w:tcPr>
          <w:p w14:paraId="397CA55C">
            <w:pPr>
              <w:spacing w:line="360" w:lineRule="auto"/>
              <w:jc w:val="center"/>
              <w:rPr>
                <w:rFonts w:hint="eastAsia" w:ascii="方正仿宋_GBK" w:hAnsi="方正仿宋_GBK" w:eastAsia="方正仿宋_GBK" w:cs="方正仿宋_GBK"/>
                <w:color w:val="auto"/>
                <w:sz w:val="24"/>
              </w:rPr>
            </w:pPr>
          </w:p>
        </w:tc>
        <w:tc>
          <w:tcPr>
            <w:tcW w:w="1151" w:type="dxa"/>
            <w:noWrap w:val="0"/>
            <w:vAlign w:val="center"/>
          </w:tcPr>
          <w:p w14:paraId="7579DB51">
            <w:pPr>
              <w:spacing w:line="360" w:lineRule="auto"/>
              <w:jc w:val="center"/>
              <w:rPr>
                <w:rFonts w:hint="eastAsia" w:ascii="方正仿宋_GBK" w:hAnsi="方正仿宋_GBK" w:eastAsia="方正仿宋_GBK" w:cs="方正仿宋_GBK"/>
                <w:color w:val="auto"/>
                <w:sz w:val="24"/>
              </w:rPr>
            </w:pPr>
          </w:p>
        </w:tc>
      </w:tr>
      <w:tr w14:paraId="35066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148B3016">
            <w:pPr>
              <w:spacing w:line="360" w:lineRule="auto"/>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w:t>
            </w:r>
          </w:p>
        </w:tc>
        <w:tc>
          <w:tcPr>
            <w:tcW w:w="1321" w:type="dxa"/>
            <w:noWrap w:val="0"/>
            <w:vAlign w:val="center"/>
          </w:tcPr>
          <w:p w14:paraId="7A5B8B13">
            <w:pPr>
              <w:spacing w:line="360" w:lineRule="auto"/>
              <w:jc w:val="center"/>
              <w:rPr>
                <w:rFonts w:hint="eastAsia" w:ascii="方正仿宋_GBK" w:hAnsi="方正仿宋_GBK" w:eastAsia="方正仿宋_GBK" w:cs="方正仿宋_GBK"/>
                <w:color w:val="auto"/>
                <w:sz w:val="24"/>
              </w:rPr>
            </w:pPr>
          </w:p>
        </w:tc>
        <w:tc>
          <w:tcPr>
            <w:tcW w:w="1417" w:type="dxa"/>
            <w:noWrap w:val="0"/>
            <w:vAlign w:val="center"/>
          </w:tcPr>
          <w:p w14:paraId="10692E74">
            <w:pPr>
              <w:spacing w:line="360" w:lineRule="auto"/>
              <w:jc w:val="center"/>
              <w:rPr>
                <w:rFonts w:hint="eastAsia" w:ascii="方正仿宋_GBK" w:hAnsi="方正仿宋_GBK" w:eastAsia="方正仿宋_GBK" w:cs="方正仿宋_GBK"/>
                <w:color w:val="auto"/>
                <w:sz w:val="24"/>
              </w:rPr>
            </w:pPr>
          </w:p>
        </w:tc>
        <w:tc>
          <w:tcPr>
            <w:tcW w:w="1418" w:type="dxa"/>
            <w:noWrap w:val="0"/>
            <w:vAlign w:val="center"/>
          </w:tcPr>
          <w:p w14:paraId="1719B504">
            <w:pPr>
              <w:spacing w:line="360" w:lineRule="auto"/>
              <w:jc w:val="center"/>
              <w:rPr>
                <w:rFonts w:hint="eastAsia" w:ascii="方正仿宋_GBK" w:hAnsi="方正仿宋_GBK" w:eastAsia="方正仿宋_GBK" w:cs="方正仿宋_GBK"/>
                <w:color w:val="auto"/>
                <w:sz w:val="24"/>
              </w:rPr>
            </w:pPr>
          </w:p>
        </w:tc>
        <w:tc>
          <w:tcPr>
            <w:tcW w:w="1275" w:type="dxa"/>
            <w:noWrap w:val="0"/>
            <w:vAlign w:val="center"/>
          </w:tcPr>
          <w:p w14:paraId="28A77288">
            <w:pPr>
              <w:spacing w:line="360" w:lineRule="auto"/>
              <w:jc w:val="center"/>
              <w:rPr>
                <w:rFonts w:hint="eastAsia" w:ascii="方正仿宋_GBK" w:hAnsi="方正仿宋_GBK" w:eastAsia="方正仿宋_GBK" w:cs="方正仿宋_GBK"/>
                <w:color w:val="auto"/>
                <w:sz w:val="24"/>
              </w:rPr>
            </w:pPr>
          </w:p>
        </w:tc>
        <w:tc>
          <w:tcPr>
            <w:tcW w:w="1276" w:type="dxa"/>
            <w:noWrap w:val="0"/>
            <w:vAlign w:val="center"/>
          </w:tcPr>
          <w:p w14:paraId="1186E82B">
            <w:pPr>
              <w:spacing w:line="360" w:lineRule="auto"/>
              <w:jc w:val="center"/>
              <w:rPr>
                <w:rFonts w:hint="eastAsia" w:ascii="方正仿宋_GBK" w:hAnsi="方正仿宋_GBK" w:eastAsia="方正仿宋_GBK" w:cs="方正仿宋_GBK"/>
                <w:color w:val="auto"/>
                <w:sz w:val="24"/>
              </w:rPr>
            </w:pPr>
          </w:p>
        </w:tc>
        <w:tc>
          <w:tcPr>
            <w:tcW w:w="851" w:type="dxa"/>
            <w:noWrap w:val="0"/>
            <w:vAlign w:val="center"/>
          </w:tcPr>
          <w:p w14:paraId="3024A30C">
            <w:pPr>
              <w:spacing w:line="360" w:lineRule="auto"/>
              <w:jc w:val="center"/>
              <w:rPr>
                <w:rFonts w:hint="eastAsia" w:ascii="方正仿宋_GBK" w:hAnsi="方正仿宋_GBK" w:eastAsia="方正仿宋_GBK" w:cs="方正仿宋_GBK"/>
                <w:color w:val="auto"/>
                <w:sz w:val="24"/>
              </w:rPr>
            </w:pPr>
          </w:p>
        </w:tc>
        <w:tc>
          <w:tcPr>
            <w:tcW w:w="1151" w:type="dxa"/>
            <w:noWrap w:val="0"/>
            <w:vAlign w:val="center"/>
          </w:tcPr>
          <w:p w14:paraId="721B4B3C">
            <w:pPr>
              <w:spacing w:line="360" w:lineRule="auto"/>
              <w:jc w:val="center"/>
              <w:rPr>
                <w:rFonts w:hint="eastAsia" w:ascii="方正仿宋_GBK" w:hAnsi="方正仿宋_GBK" w:eastAsia="方正仿宋_GBK" w:cs="方正仿宋_GBK"/>
                <w:color w:val="auto"/>
                <w:sz w:val="24"/>
              </w:rPr>
            </w:pPr>
          </w:p>
        </w:tc>
      </w:tr>
      <w:tr w14:paraId="53938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3F2AB7A8">
            <w:pPr>
              <w:spacing w:line="360" w:lineRule="auto"/>
              <w:jc w:val="center"/>
              <w:rPr>
                <w:rFonts w:hint="eastAsia" w:ascii="方正仿宋_GBK" w:hAnsi="方正仿宋_GBK" w:eastAsia="方正仿宋_GBK" w:cs="方正仿宋_GBK"/>
                <w:color w:val="auto"/>
                <w:sz w:val="24"/>
              </w:rPr>
            </w:pPr>
          </w:p>
        </w:tc>
        <w:tc>
          <w:tcPr>
            <w:tcW w:w="1321" w:type="dxa"/>
            <w:noWrap w:val="0"/>
            <w:vAlign w:val="center"/>
          </w:tcPr>
          <w:p w14:paraId="41DE9DD2">
            <w:pPr>
              <w:spacing w:line="360" w:lineRule="auto"/>
              <w:jc w:val="center"/>
              <w:rPr>
                <w:rFonts w:hint="eastAsia" w:ascii="方正仿宋_GBK" w:hAnsi="方正仿宋_GBK" w:eastAsia="方正仿宋_GBK" w:cs="方正仿宋_GBK"/>
                <w:color w:val="auto"/>
                <w:sz w:val="24"/>
              </w:rPr>
            </w:pPr>
          </w:p>
        </w:tc>
        <w:tc>
          <w:tcPr>
            <w:tcW w:w="1417" w:type="dxa"/>
            <w:noWrap w:val="0"/>
            <w:vAlign w:val="center"/>
          </w:tcPr>
          <w:p w14:paraId="0C03AF9C">
            <w:pPr>
              <w:spacing w:line="360" w:lineRule="auto"/>
              <w:jc w:val="center"/>
              <w:rPr>
                <w:rFonts w:hint="eastAsia" w:ascii="方正仿宋_GBK" w:hAnsi="方正仿宋_GBK" w:eastAsia="方正仿宋_GBK" w:cs="方正仿宋_GBK"/>
                <w:color w:val="auto"/>
                <w:sz w:val="24"/>
              </w:rPr>
            </w:pPr>
          </w:p>
        </w:tc>
        <w:tc>
          <w:tcPr>
            <w:tcW w:w="1418" w:type="dxa"/>
            <w:noWrap w:val="0"/>
            <w:vAlign w:val="center"/>
          </w:tcPr>
          <w:p w14:paraId="7D9C82FB">
            <w:pPr>
              <w:spacing w:line="360" w:lineRule="auto"/>
              <w:jc w:val="center"/>
              <w:rPr>
                <w:rFonts w:hint="eastAsia" w:ascii="方正仿宋_GBK" w:hAnsi="方正仿宋_GBK" w:eastAsia="方正仿宋_GBK" w:cs="方正仿宋_GBK"/>
                <w:color w:val="auto"/>
                <w:sz w:val="24"/>
              </w:rPr>
            </w:pPr>
          </w:p>
        </w:tc>
        <w:tc>
          <w:tcPr>
            <w:tcW w:w="1275" w:type="dxa"/>
            <w:noWrap w:val="0"/>
            <w:vAlign w:val="center"/>
          </w:tcPr>
          <w:p w14:paraId="5EDFEDFA">
            <w:pPr>
              <w:spacing w:line="360" w:lineRule="auto"/>
              <w:jc w:val="center"/>
              <w:rPr>
                <w:rFonts w:hint="eastAsia" w:ascii="方正仿宋_GBK" w:hAnsi="方正仿宋_GBK" w:eastAsia="方正仿宋_GBK" w:cs="方正仿宋_GBK"/>
                <w:color w:val="auto"/>
                <w:sz w:val="24"/>
              </w:rPr>
            </w:pPr>
          </w:p>
        </w:tc>
        <w:tc>
          <w:tcPr>
            <w:tcW w:w="1276" w:type="dxa"/>
            <w:noWrap w:val="0"/>
            <w:vAlign w:val="center"/>
          </w:tcPr>
          <w:p w14:paraId="6A4A372A">
            <w:pPr>
              <w:spacing w:line="360" w:lineRule="auto"/>
              <w:jc w:val="center"/>
              <w:rPr>
                <w:rFonts w:hint="eastAsia" w:ascii="方正仿宋_GBK" w:hAnsi="方正仿宋_GBK" w:eastAsia="方正仿宋_GBK" w:cs="方正仿宋_GBK"/>
                <w:color w:val="auto"/>
                <w:sz w:val="24"/>
              </w:rPr>
            </w:pPr>
          </w:p>
        </w:tc>
        <w:tc>
          <w:tcPr>
            <w:tcW w:w="851" w:type="dxa"/>
            <w:noWrap w:val="0"/>
            <w:vAlign w:val="center"/>
          </w:tcPr>
          <w:p w14:paraId="2F282EE5">
            <w:pPr>
              <w:spacing w:line="360" w:lineRule="auto"/>
              <w:jc w:val="center"/>
              <w:rPr>
                <w:rFonts w:hint="eastAsia" w:ascii="方正仿宋_GBK" w:hAnsi="方正仿宋_GBK" w:eastAsia="方正仿宋_GBK" w:cs="方正仿宋_GBK"/>
                <w:color w:val="auto"/>
                <w:sz w:val="24"/>
              </w:rPr>
            </w:pPr>
          </w:p>
        </w:tc>
        <w:tc>
          <w:tcPr>
            <w:tcW w:w="1151" w:type="dxa"/>
            <w:noWrap w:val="0"/>
            <w:vAlign w:val="center"/>
          </w:tcPr>
          <w:p w14:paraId="0348D224">
            <w:pPr>
              <w:spacing w:line="360" w:lineRule="auto"/>
              <w:jc w:val="center"/>
              <w:rPr>
                <w:rFonts w:hint="eastAsia" w:ascii="方正仿宋_GBK" w:hAnsi="方正仿宋_GBK" w:eastAsia="方正仿宋_GBK" w:cs="方正仿宋_GBK"/>
                <w:color w:val="auto"/>
                <w:sz w:val="24"/>
              </w:rPr>
            </w:pPr>
          </w:p>
        </w:tc>
      </w:tr>
      <w:tr w14:paraId="5C940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38F16A67">
            <w:pPr>
              <w:spacing w:line="360" w:lineRule="auto"/>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合计</w:t>
            </w:r>
          </w:p>
        </w:tc>
        <w:tc>
          <w:tcPr>
            <w:tcW w:w="8709" w:type="dxa"/>
            <w:gridSpan w:val="7"/>
            <w:noWrap w:val="0"/>
            <w:vAlign w:val="center"/>
          </w:tcPr>
          <w:p w14:paraId="1C109D2D">
            <w:pPr>
              <w:spacing w:line="360" w:lineRule="auto"/>
              <w:jc w:val="center"/>
              <w:rPr>
                <w:rFonts w:hint="eastAsia" w:ascii="方正仿宋_GBK" w:hAnsi="方正仿宋_GBK" w:eastAsia="方正仿宋_GBK" w:cs="方正仿宋_GBK"/>
                <w:color w:val="auto"/>
                <w:sz w:val="24"/>
              </w:rPr>
            </w:pPr>
          </w:p>
        </w:tc>
      </w:tr>
    </w:tbl>
    <w:p w14:paraId="6036A3EF">
      <w:pPr>
        <w:spacing w:line="360" w:lineRule="auto"/>
        <w:ind w:firstLine="3080" w:firstLineChars="1100"/>
        <w:jc w:val="right"/>
        <w:rPr>
          <w:rFonts w:hint="eastAsia" w:ascii="方正仿宋_GBK" w:hAnsi="方正仿宋_GBK" w:eastAsia="方正仿宋_GBK" w:cs="方正仿宋_GBK"/>
          <w:color w:val="auto"/>
          <w:kern w:val="0"/>
          <w:sz w:val="28"/>
          <w:szCs w:val="28"/>
          <w:lang w:val="zh-CN"/>
        </w:rPr>
      </w:pPr>
    </w:p>
    <w:p w14:paraId="5D467D7D">
      <w:pPr>
        <w:snapToGrid w:val="0"/>
        <w:spacing w:line="360" w:lineRule="auto"/>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请结合项目需求分类填报。</w:t>
      </w:r>
      <w:r>
        <w:rPr>
          <w:rFonts w:hint="eastAsia" w:ascii="方正仿宋_GBK" w:hAnsi="方正仿宋_GBK" w:eastAsia="方正仿宋_GBK" w:cs="方正仿宋_GBK"/>
          <w:color w:val="auto"/>
          <w:sz w:val="32"/>
          <w:szCs w:val="32"/>
        </w:rPr>
        <w:br w:type="page"/>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6</w:t>
      </w:r>
    </w:p>
    <w:p w14:paraId="722B3739">
      <w:pPr>
        <w:spacing w:before="240" w:line="360" w:lineRule="auto"/>
        <w:jc w:val="center"/>
        <w:rPr>
          <w:rFonts w:hint="eastAsia" w:ascii="方正仿宋_GBK" w:hAnsi="方正仿宋_GBK" w:eastAsia="方正仿宋_GBK" w:cs="方正仿宋_GBK"/>
          <w:b/>
          <w:color w:val="auto"/>
          <w:sz w:val="32"/>
          <w:szCs w:val="32"/>
          <w:lang w:bidi="ar"/>
        </w:rPr>
      </w:pPr>
      <w:r>
        <w:rPr>
          <w:rFonts w:hint="eastAsia" w:ascii="方正仿宋_GBK" w:hAnsi="方正仿宋_GBK" w:eastAsia="方正仿宋_GBK" w:cs="方正仿宋_GBK"/>
          <w:b/>
          <w:color w:val="auto"/>
          <w:sz w:val="32"/>
          <w:szCs w:val="32"/>
          <w:lang w:bidi="ar"/>
        </w:rPr>
        <w:t>供应商信用承诺书</w:t>
      </w:r>
    </w:p>
    <w:p w14:paraId="50D11ACA">
      <w:pPr>
        <w:spacing w:line="360" w:lineRule="auto"/>
        <w:ind w:firstLine="480" w:firstLineChars="200"/>
        <w:rPr>
          <w:rFonts w:hint="eastAsia" w:ascii="方正仿宋_GBK" w:hAnsi="方正仿宋_GBK" w:eastAsia="方正仿宋_GBK" w:cs="方正仿宋_GBK"/>
          <w:color w:val="auto"/>
          <w:kern w:val="0"/>
          <w:sz w:val="24"/>
          <w:lang w:val="zh-CN"/>
        </w:rPr>
      </w:pPr>
      <w:r>
        <w:rPr>
          <w:rFonts w:hint="eastAsia" w:ascii="方正仿宋_GBK" w:hAnsi="方正仿宋_GBK" w:eastAsia="方正仿宋_GBK" w:cs="方正仿宋_GBK"/>
          <w:color w:val="auto"/>
          <w:kern w:val="0"/>
          <w:sz w:val="24"/>
          <w:lang w:val="zh-CN" w:bidi="ar"/>
        </w:rPr>
        <w:t>为营造公开、公平、公正的公共资源交易环境，树立诚信守法的投标人形象，本人代表本单位作出以下承诺：</w:t>
      </w:r>
    </w:p>
    <w:p w14:paraId="3CF64E89">
      <w:pPr>
        <w:spacing w:line="360" w:lineRule="auto"/>
        <w:ind w:firstLine="480" w:firstLineChars="200"/>
        <w:rPr>
          <w:rFonts w:hint="eastAsia" w:ascii="方正仿宋_GBK" w:hAnsi="方正仿宋_GBK" w:eastAsia="方正仿宋_GBK" w:cs="方正仿宋_GBK"/>
          <w:color w:val="auto"/>
          <w:kern w:val="0"/>
          <w:sz w:val="24"/>
          <w:lang w:val="zh-CN"/>
        </w:rPr>
      </w:pPr>
      <w:r>
        <w:rPr>
          <w:rFonts w:hint="eastAsia" w:ascii="方正仿宋_GBK" w:hAnsi="方正仿宋_GBK" w:eastAsia="方正仿宋_GBK" w:cs="方正仿宋_GBK"/>
          <w:color w:val="auto"/>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72716110">
      <w:pPr>
        <w:spacing w:line="360" w:lineRule="auto"/>
        <w:ind w:firstLine="480" w:firstLineChars="200"/>
        <w:rPr>
          <w:rFonts w:hint="eastAsia" w:ascii="方正仿宋_GBK" w:hAnsi="方正仿宋_GBK" w:eastAsia="方正仿宋_GBK" w:cs="方正仿宋_GBK"/>
          <w:color w:val="auto"/>
          <w:kern w:val="0"/>
          <w:sz w:val="24"/>
          <w:lang w:val="zh-CN"/>
        </w:rPr>
      </w:pPr>
      <w:r>
        <w:rPr>
          <w:rFonts w:hint="eastAsia" w:ascii="方正仿宋_GBK" w:hAnsi="方正仿宋_GBK" w:eastAsia="方正仿宋_GBK" w:cs="方正仿宋_GBK"/>
          <w:color w:val="auto"/>
          <w:kern w:val="0"/>
          <w:sz w:val="24"/>
          <w:lang w:val="zh-CN" w:bidi="ar"/>
        </w:rPr>
        <w:t>二、严格依照国家和省、市、县关于政府采购等方面的法律、法规、规章、规范性文件，参加</w:t>
      </w:r>
      <w:r>
        <w:rPr>
          <w:rFonts w:hint="eastAsia" w:ascii="方正仿宋_GBK" w:hAnsi="方正仿宋_GBK" w:eastAsia="方正仿宋_GBK" w:cs="方正仿宋_GBK"/>
          <w:color w:val="auto"/>
          <w:kern w:val="0"/>
          <w:sz w:val="24"/>
          <w:lang w:eastAsia="zh-CN" w:bidi="ar"/>
        </w:rPr>
        <w:t>招标人</w:t>
      </w:r>
      <w:r>
        <w:rPr>
          <w:rFonts w:hint="eastAsia" w:ascii="方正仿宋_GBK" w:hAnsi="方正仿宋_GBK" w:eastAsia="方正仿宋_GBK" w:cs="方正仿宋_GBK"/>
          <w:color w:val="auto"/>
          <w:kern w:val="0"/>
          <w:sz w:val="24"/>
          <w:lang w:bidi="ar"/>
        </w:rPr>
        <w:t>组织的</w:t>
      </w:r>
      <w:r>
        <w:rPr>
          <w:rFonts w:hint="eastAsia" w:ascii="方正仿宋_GBK" w:hAnsi="方正仿宋_GBK" w:eastAsia="方正仿宋_GBK" w:cs="方正仿宋_GBK"/>
          <w:color w:val="auto"/>
          <w:kern w:val="0"/>
          <w:sz w:val="24"/>
          <w:lang w:val="zh-CN" w:bidi="ar"/>
        </w:rPr>
        <w:t>招标投标活动；积极履行社会责任，促进廉政建设；</w:t>
      </w:r>
    </w:p>
    <w:p w14:paraId="742F7F8B">
      <w:pPr>
        <w:spacing w:line="360" w:lineRule="auto"/>
        <w:ind w:firstLine="480" w:firstLineChars="200"/>
        <w:rPr>
          <w:rFonts w:hint="eastAsia" w:ascii="方正仿宋_GBK" w:hAnsi="方正仿宋_GBK" w:eastAsia="方正仿宋_GBK" w:cs="方正仿宋_GBK"/>
          <w:color w:val="auto"/>
          <w:kern w:val="0"/>
          <w:sz w:val="24"/>
          <w:lang w:val="zh-CN"/>
        </w:rPr>
      </w:pPr>
      <w:r>
        <w:rPr>
          <w:rFonts w:hint="eastAsia" w:ascii="方正仿宋_GBK" w:hAnsi="方正仿宋_GBK" w:eastAsia="方正仿宋_GBK" w:cs="方正仿宋_GBK"/>
          <w:color w:val="auto"/>
          <w:kern w:val="0"/>
          <w:sz w:val="24"/>
          <w:lang w:val="zh-CN" w:bidi="ar"/>
        </w:rPr>
        <w:t>三、严格遵守即时信息公示规定，及时更新公共资源交易中心主体信息库中信息；</w:t>
      </w:r>
    </w:p>
    <w:p w14:paraId="00A02A8C">
      <w:pPr>
        <w:spacing w:line="360" w:lineRule="auto"/>
        <w:ind w:firstLine="480" w:firstLineChars="200"/>
        <w:rPr>
          <w:rFonts w:hint="eastAsia" w:ascii="方正仿宋_GBK" w:hAnsi="方正仿宋_GBK" w:eastAsia="方正仿宋_GBK" w:cs="方正仿宋_GBK"/>
          <w:color w:val="auto"/>
          <w:kern w:val="0"/>
          <w:sz w:val="24"/>
          <w:lang w:val="zh-CN"/>
        </w:rPr>
      </w:pPr>
      <w:r>
        <w:rPr>
          <w:rFonts w:hint="eastAsia" w:ascii="方正仿宋_GBK" w:hAnsi="方正仿宋_GBK" w:eastAsia="方正仿宋_GBK" w:cs="方正仿宋_GBK"/>
          <w:color w:val="auto"/>
          <w:kern w:val="0"/>
          <w:sz w:val="24"/>
          <w:lang w:val="zh-CN" w:bidi="ar"/>
        </w:rPr>
        <w:t>四、自我约束、自我管理，守合同、重信用，不参与围标串标、弄虚作假、骗取中标、干扰评标、违约毁约、恶意投诉等行为，主动维护公共资源交易招标投标的良好秩序；</w:t>
      </w:r>
    </w:p>
    <w:p w14:paraId="6AA3FDC5">
      <w:pPr>
        <w:spacing w:line="360" w:lineRule="auto"/>
        <w:ind w:firstLine="480" w:firstLineChars="200"/>
        <w:rPr>
          <w:rFonts w:hint="eastAsia" w:ascii="方正仿宋_GBK" w:hAnsi="方正仿宋_GBK" w:eastAsia="方正仿宋_GBK" w:cs="方正仿宋_GBK"/>
          <w:color w:val="auto"/>
          <w:kern w:val="0"/>
          <w:sz w:val="24"/>
          <w:lang w:val="zh-CN"/>
        </w:rPr>
      </w:pPr>
      <w:r>
        <w:rPr>
          <w:rFonts w:hint="eastAsia" w:ascii="方正仿宋_GBK" w:hAnsi="方正仿宋_GBK" w:eastAsia="方正仿宋_GBK" w:cs="方正仿宋_GBK"/>
          <w:color w:val="auto"/>
          <w:kern w:val="0"/>
          <w:sz w:val="24"/>
          <w:lang w:val="zh-CN" w:bidi="ar"/>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0A0E3926">
      <w:pPr>
        <w:spacing w:line="360" w:lineRule="auto"/>
        <w:ind w:firstLine="480" w:firstLineChars="200"/>
        <w:rPr>
          <w:rFonts w:hint="eastAsia" w:ascii="方正仿宋_GBK" w:hAnsi="方正仿宋_GBK" w:eastAsia="方正仿宋_GBK" w:cs="方正仿宋_GBK"/>
          <w:color w:val="auto"/>
          <w:kern w:val="0"/>
          <w:sz w:val="24"/>
          <w:lang w:val="zh-CN"/>
        </w:rPr>
      </w:pPr>
      <w:r>
        <w:rPr>
          <w:rFonts w:hint="eastAsia" w:ascii="方正仿宋_GBK" w:hAnsi="方正仿宋_GBK" w:eastAsia="方正仿宋_GBK" w:cs="方正仿宋_GBK"/>
          <w:color w:val="auto"/>
          <w:kern w:val="0"/>
          <w:sz w:val="24"/>
          <w:lang w:val="zh-CN" w:bidi="ar"/>
        </w:rPr>
        <w:t>六、自觉接受政府部门、行业组织、社会公众、新闻舆论等监督；</w:t>
      </w:r>
    </w:p>
    <w:p w14:paraId="509DD0EC">
      <w:pPr>
        <w:spacing w:line="360" w:lineRule="auto"/>
        <w:ind w:firstLine="480" w:firstLineChars="200"/>
        <w:rPr>
          <w:rFonts w:hint="eastAsia" w:ascii="方正仿宋_GBK" w:hAnsi="方正仿宋_GBK" w:eastAsia="方正仿宋_GBK" w:cs="方正仿宋_GBK"/>
          <w:color w:val="auto"/>
          <w:kern w:val="0"/>
          <w:sz w:val="24"/>
          <w:lang w:val="zh-CN"/>
        </w:rPr>
      </w:pPr>
      <w:r>
        <w:rPr>
          <w:rFonts w:hint="eastAsia" w:ascii="方正仿宋_GBK" w:hAnsi="方正仿宋_GBK" w:eastAsia="方正仿宋_GBK" w:cs="方正仿宋_GBK"/>
          <w:color w:val="auto"/>
          <w:kern w:val="0"/>
          <w:sz w:val="24"/>
          <w:lang w:val="zh-CN" w:bidi="ar"/>
        </w:rPr>
        <w:t>七、上述承诺已向本单位员工作了宣传教育；</w:t>
      </w:r>
    </w:p>
    <w:p w14:paraId="16167524">
      <w:pPr>
        <w:tabs>
          <w:tab w:val="left" w:pos="4860"/>
        </w:tabs>
        <w:spacing w:line="360" w:lineRule="auto"/>
        <w:ind w:right="1560"/>
        <w:jc w:val="left"/>
        <w:rPr>
          <w:rFonts w:hint="eastAsia" w:ascii="方正仿宋_GBK" w:hAnsi="方正仿宋_GBK" w:eastAsia="方正仿宋_GBK" w:cs="方正仿宋_GBK"/>
          <w:b/>
          <w:color w:val="auto"/>
          <w:kern w:val="0"/>
          <w:sz w:val="24"/>
          <w:lang w:val="zh-CN" w:bidi="ar"/>
        </w:rPr>
      </w:pPr>
      <w:r>
        <w:rPr>
          <w:rFonts w:hint="eastAsia" w:ascii="方正仿宋_GBK" w:hAnsi="方正仿宋_GBK" w:eastAsia="方正仿宋_GBK" w:cs="方正仿宋_GBK"/>
          <w:b/>
          <w:color w:val="auto"/>
          <w:kern w:val="0"/>
          <w:sz w:val="24"/>
          <w:lang w:val="zh-CN" w:bidi="ar"/>
        </w:rPr>
        <w:t>如有违反上述承诺的不良行为，本单位同意将其予以上网公示。</w:t>
      </w:r>
    </w:p>
    <w:p w14:paraId="134EFF08">
      <w:pPr>
        <w:spacing w:line="360" w:lineRule="auto"/>
        <w:ind w:firstLine="3080" w:firstLineChars="11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14:paraId="267D02DB">
      <w:pPr>
        <w:spacing w:line="360" w:lineRule="auto"/>
        <w:ind w:firstLine="3080" w:firstLineChars="1100"/>
        <w:rPr>
          <w:rFonts w:hint="eastAsia" w:ascii="方正仿宋_GBK" w:hAnsi="方正仿宋_GBK" w:eastAsia="方正仿宋_GBK" w:cs="方正仿宋_GBK"/>
          <w:color w:val="auto"/>
          <w:kern w:val="0"/>
          <w:sz w:val="28"/>
          <w:szCs w:val="28"/>
          <w:u w:val="single"/>
          <w:lang w:val="zh-CN"/>
        </w:rPr>
      </w:pPr>
      <w:r>
        <w:rPr>
          <w:rFonts w:hint="eastAsia" w:ascii="方正仿宋_GBK" w:hAnsi="方正仿宋_GBK" w:eastAsia="方正仿宋_GBK" w:cs="方正仿宋_GBK"/>
          <w:color w:val="auto"/>
          <w:kern w:val="0"/>
          <w:sz w:val="28"/>
          <w:szCs w:val="28"/>
          <w:lang w:val="zh-CN" w:bidi="ar"/>
        </w:rPr>
        <w:t>投标供应商全称(盖公章)：</w:t>
      </w:r>
    </w:p>
    <w:p w14:paraId="594926E8">
      <w:pPr>
        <w:spacing w:line="360" w:lineRule="auto"/>
        <w:ind w:firstLine="3080" w:firstLineChars="1100"/>
        <w:rPr>
          <w:rFonts w:hint="eastAsia" w:ascii="方正仿宋_GBK" w:hAnsi="方正仿宋_GBK" w:eastAsia="方正仿宋_GBK" w:cs="方正仿宋_GBK"/>
          <w:color w:val="auto"/>
          <w:sz w:val="28"/>
          <w:szCs w:val="28"/>
          <w:u w:val="single"/>
          <w:lang w:val="zh-CN"/>
        </w:rPr>
      </w:pPr>
      <w:r>
        <w:rPr>
          <w:rFonts w:hint="eastAsia" w:ascii="方正仿宋_GBK" w:hAnsi="方正仿宋_GBK" w:eastAsia="方正仿宋_GBK" w:cs="方正仿宋_GBK"/>
          <w:color w:val="auto"/>
          <w:kern w:val="0"/>
          <w:sz w:val="28"/>
          <w:szCs w:val="28"/>
          <w:lang w:val="zh-CN" w:bidi="ar"/>
        </w:rPr>
        <w:t>法定代表人（签字或盖章）：</w:t>
      </w:r>
    </w:p>
    <w:p w14:paraId="52315C9B">
      <w:pPr>
        <w:spacing w:line="360" w:lineRule="auto"/>
        <w:ind w:firstLine="3080" w:firstLineChars="1100"/>
        <w:rPr>
          <w:rFonts w:hint="eastAsia" w:ascii="方正仿宋_GBK" w:hAnsi="方正仿宋_GBK" w:eastAsia="方正仿宋_GBK" w:cs="方正仿宋_GBK"/>
          <w:color w:val="auto"/>
          <w:kern w:val="0"/>
          <w:sz w:val="28"/>
          <w:szCs w:val="28"/>
          <w:lang w:val="zh-CN"/>
        </w:rPr>
      </w:pPr>
      <w:r>
        <w:rPr>
          <w:rFonts w:hint="eastAsia" w:ascii="方正仿宋_GBK" w:hAnsi="方正仿宋_GBK" w:eastAsia="方正仿宋_GBK" w:cs="方正仿宋_GBK"/>
          <w:color w:val="auto"/>
          <w:kern w:val="0"/>
          <w:sz w:val="28"/>
          <w:szCs w:val="28"/>
          <w:lang w:val="zh-CN" w:bidi="ar"/>
        </w:rPr>
        <w:t>时间：  年  月   日</w:t>
      </w:r>
    </w:p>
    <w:p w14:paraId="28F358CA">
      <w:pPr>
        <w:spacing w:line="360" w:lineRule="auto"/>
        <w:rPr>
          <w:rFonts w:hint="eastAsia" w:ascii="方正仿宋_GBK" w:hAnsi="方正仿宋_GBK" w:eastAsia="方正仿宋_GBK" w:cs="方正仿宋_GBK"/>
          <w:color w:val="auto"/>
        </w:rPr>
      </w:pPr>
    </w:p>
    <w:p w14:paraId="6FAD569F">
      <w:pPr>
        <w:spacing w:line="360" w:lineRule="auto"/>
        <w:rPr>
          <w:rFonts w:hint="eastAsia" w:ascii="方正仿宋_GBK" w:hAnsi="方正仿宋_GBK" w:eastAsia="方正仿宋_GBK" w:cs="方正仿宋_GBK"/>
          <w:color w:val="auto"/>
        </w:rPr>
      </w:pPr>
    </w:p>
    <w:p w14:paraId="3ED83692">
      <w:pPr>
        <w:snapToGrid w:val="0"/>
        <w:spacing w:line="360"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br w:type="page"/>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7</w:t>
      </w:r>
    </w:p>
    <w:p w14:paraId="35FF600F">
      <w:pPr>
        <w:spacing w:line="360" w:lineRule="auto"/>
        <w:jc w:val="center"/>
        <w:rPr>
          <w:rFonts w:hint="eastAsia" w:ascii="方正仿宋_GBK" w:hAnsi="方正仿宋_GBK" w:eastAsia="方正仿宋_GBK" w:cs="方正仿宋_GBK"/>
          <w:bCs/>
          <w:color w:val="auto"/>
          <w:sz w:val="40"/>
          <w:szCs w:val="40"/>
        </w:rPr>
      </w:pPr>
      <w:r>
        <w:rPr>
          <w:rFonts w:hint="eastAsia" w:ascii="方正仿宋_GBK" w:hAnsi="方正仿宋_GBK" w:eastAsia="方正仿宋_GBK" w:cs="方正仿宋_GBK"/>
          <w:bCs/>
          <w:color w:val="auto"/>
          <w:sz w:val="40"/>
          <w:szCs w:val="40"/>
        </w:rPr>
        <w:t>质疑函范本</w:t>
      </w:r>
    </w:p>
    <w:p w14:paraId="11276054">
      <w:pPr>
        <w:adjustRightInd w:val="0"/>
        <w:snapToGrid w:val="0"/>
        <w:spacing w:before="312" w:beforeLines="100" w:line="360" w:lineRule="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一、质疑供应商基本信息</w:t>
      </w:r>
    </w:p>
    <w:p w14:paraId="77489CAB">
      <w:pPr>
        <w:adjustRightInd w:val="0"/>
        <w:snapToGrid w:val="0"/>
        <w:spacing w:line="360" w:lineRule="auto"/>
        <w:rPr>
          <w:rFonts w:hint="eastAsia" w:ascii="方正仿宋_GBK" w:hAnsi="方正仿宋_GBK" w:eastAsia="方正仿宋_GBK" w:cs="方正仿宋_GBK"/>
          <w:color w:val="auto"/>
          <w:sz w:val="28"/>
          <w:szCs w:val="28"/>
          <w:u w:val="dotted"/>
        </w:rPr>
      </w:pPr>
      <w:r>
        <w:rPr>
          <w:rFonts w:hint="eastAsia" w:ascii="方正仿宋_GBK" w:hAnsi="方正仿宋_GBK" w:eastAsia="方正仿宋_GBK" w:cs="方正仿宋_GBK"/>
          <w:color w:val="auto"/>
          <w:sz w:val="28"/>
          <w:szCs w:val="28"/>
        </w:rPr>
        <w:t>质疑供应商：</w:t>
      </w:r>
    </w:p>
    <w:p w14:paraId="1128B2D3">
      <w:pPr>
        <w:adjustRightInd w:val="0"/>
        <w:snapToGrid w:val="0"/>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地址：邮编：</w:t>
      </w:r>
    </w:p>
    <w:p w14:paraId="01515FB6">
      <w:pPr>
        <w:adjustRightInd w:val="0"/>
        <w:snapToGrid w:val="0"/>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联系人：联系电话：</w:t>
      </w:r>
    </w:p>
    <w:p w14:paraId="32EF3CFF">
      <w:pPr>
        <w:adjustRightInd w:val="0"/>
        <w:snapToGrid w:val="0"/>
        <w:spacing w:line="360" w:lineRule="auto"/>
        <w:rPr>
          <w:rFonts w:hint="eastAsia" w:ascii="方正仿宋_GBK" w:hAnsi="方正仿宋_GBK" w:eastAsia="方正仿宋_GBK" w:cs="方正仿宋_GBK"/>
          <w:color w:val="auto"/>
          <w:sz w:val="28"/>
          <w:szCs w:val="28"/>
          <w:u w:val="dotted"/>
        </w:rPr>
      </w:pPr>
      <w:r>
        <w:rPr>
          <w:rFonts w:hint="eastAsia" w:ascii="方正仿宋_GBK" w:hAnsi="方正仿宋_GBK" w:eastAsia="方正仿宋_GBK" w:cs="方正仿宋_GBK"/>
          <w:color w:val="auto"/>
          <w:sz w:val="28"/>
          <w:szCs w:val="28"/>
        </w:rPr>
        <w:t>授权代表：</w:t>
      </w:r>
    </w:p>
    <w:p w14:paraId="7013FEDC">
      <w:pPr>
        <w:adjustRightInd w:val="0"/>
        <w:snapToGrid w:val="0"/>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w:t>
      </w:r>
    </w:p>
    <w:p w14:paraId="3B2E999D">
      <w:pPr>
        <w:adjustRightInd w:val="0"/>
        <w:snapToGrid w:val="0"/>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地址：邮编：</w:t>
      </w:r>
    </w:p>
    <w:p w14:paraId="2E3DED4B">
      <w:pPr>
        <w:adjustRightInd w:val="0"/>
        <w:snapToGrid w:val="0"/>
        <w:spacing w:line="360" w:lineRule="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二、质疑项目基本情况</w:t>
      </w:r>
    </w:p>
    <w:p w14:paraId="48C9011B">
      <w:pPr>
        <w:adjustRightInd w:val="0"/>
        <w:snapToGrid w:val="0"/>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质疑项目的名称：</w:t>
      </w:r>
    </w:p>
    <w:p w14:paraId="22940085">
      <w:pPr>
        <w:adjustRightInd w:val="0"/>
        <w:snapToGrid w:val="0"/>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质疑项目的编号：包号：</w:t>
      </w:r>
    </w:p>
    <w:p w14:paraId="1CFEF85F">
      <w:pPr>
        <w:adjustRightInd w:val="0"/>
        <w:snapToGrid w:val="0"/>
        <w:spacing w:line="360" w:lineRule="auto"/>
        <w:rPr>
          <w:rFonts w:hint="eastAsia" w:ascii="方正仿宋_GBK" w:hAnsi="方正仿宋_GBK" w:eastAsia="方正仿宋_GBK" w:cs="方正仿宋_GBK"/>
          <w:color w:val="auto"/>
          <w:sz w:val="28"/>
          <w:szCs w:val="28"/>
          <w:u w:val="dotted"/>
        </w:rPr>
      </w:pPr>
      <w:r>
        <w:rPr>
          <w:rFonts w:hint="eastAsia" w:ascii="方正仿宋_GBK" w:hAnsi="方正仿宋_GBK" w:eastAsia="方正仿宋_GBK" w:cs="方正仿宋_GBK"/>
          <w:color w:val="auto"/>
          <w:sz w:val="28"/>
          <w:szCs w:val="28"/>
          <w:lang w:eastAsia="zh-CN"/>
        </w:rPr>
        <w:t>招标人</w:t>
      </w:r>
      <w:r>
        <w:rPr>
          <w:rFonts w:hint="eastAsia" w:ascii="方正仿宋_GBK" w:hAnsi="方正仿宋_GBK" w:eastAsia="方正仿宋_GBK" w:cs="方正仿宋_GBK"/>
          <w:color w:val="auto"/>
          <w:sz w:val="28"/>
          <w:szCs w:val="28"/>
        </w:rPr>
        <w:t>名称：</w:t>
      </w:r>
    </w:p>
    <w:p w14:paraId="21E64283">
      <w:pPr>
        <w:adjustRightInd w:val="0"/>
        <w:snapToGrid w:val="0"/>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采购文件获取日期：</w:t>
      </w:r>
    </w:p>
    <w:p w14:paraId="0F4CB82D">
      <w:pPr>
        <w:adjustRightInd w:val="0"/>
        <w:snapToGrid w:val="0"/>
        <w:spacing w:line="360" w:lineRule="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三、质疑事项具体内容</w:t>
      </w:r>
    </w:p>
    <w:p w14:paraId="612F41F9">
      <w:pPr>
        <w:adjustRightInd w:val="0"/>
        <w:snapToGrid w:val="0"/>
        <w:spacing w:line="360" w:lineRule="auto"/>
        <w:rPr>
          <w:rFonts w:hint="eastAsia" w:ascii="方正仿宋_GBK" w:hAnsi="方正仿宋_GBK" w:eastAsia="方正仿宋_GBK" w:cs="方正仿宋_GBK"/>
          <w:color w:val="auto"/>
          <w:sz w:val="28"/>
          <w:szCs w:val="28"/>
          <w:u w:val="dotted"/>
        </w:rPr>
      </w:pPr>
      <w:r>
        <w:rPr>
          <w:rFonts w:hint="eastAsia" w:ascii="方正仿宋_GBK" w:hAnsi="方正仿宋_GBK" w:eastAsia="方正仿宋_GBK" w:cs="方正仿宋_GBK"/>
          <w:color w:val="auto"/>
          <w:sz w:val="28"/>
          <w:szCs w:val="28"/>
        </w:rPr>
        <w:t>质疑事项1：</w:t>
      </w:r>
    </w:p>
    <w:p w14:paraId="2BA8E9AB">
      <w:pPr>
        <w:adjustRightInd w:val="0"/>
        <w:snapToGrid w:val="0"/>
        <w:spacing w:line="360" w:lineRule="auto"/>
        <w:rPr>
          <w:rFonts w:hint="eastAsia" w:ascii="方正仿宋_GBK" w:hAnsi="方正仿宋_GBK" w:eastAsia="方正仿宋_GBK" w:cs="方正仿宋_GBK"/>
          <w:color w:val="auto"/>
          <w:sz w:val="28"/>
          <w:szCs w:val="28"/>
          <w:u w:val="dotted"/>
        </w:rPr>
      </w:pPr>
      <w:r>
        <w:rPr>
          <w:rFonts w:hint="eastAsia" w:ascii="方正仿宋_GBK" w:hAnsi="方正仿宋_GBK" w:eastAsia="方正仿宋_GBK" w:cs="方正仿宋_GBK"/>
          <w:color w:val="auto"/>
          <w:sz w:val="28"/>
          <w:szCs w:val="28"/>
        </w:rPr>
        <w:t>事实依据：</w:t>
      </w:r>
    </w:p>
    <w:p w14:paraId="4F907BD5">
      <w:pPr>
        <w:adjustRightInd w:val="0"/>
        <w:snapToGrid w:val="0"/>
        <w:spacing w:line="360" w:lineRule="auto"/>
        <w:rPr>
          <w:rFonts w:hint="eastAsia" w:ascii="方正仿宋_GBK" w:hAnsi="方正仿宋_GBK" w:eastAsia="方正仿宋_GBK" w:cs="方正仿宋_GBK"/>
          <w:color w:val="auto"/>
          <w:sz w:val="28"/>
          <w:szCs w:val="28"/>
        </w:rPr>
      </w:pPr>
    </w:p>
    <w:p w14:paraId="58F09496">
      <w:pPr>
        <w:adjustRightInd w:val="0"/>
        <w:snapToGrid w:val="0"/>
        <w:spacing w:line="360" w:lineRule="auto"/>
        <w:rPr>
          <w:rFonts w:hint="eastAsia" w:ascii="方正仿宋_GBK" w:hAnsi="方正仿宋_GBK" w:eastAsia="方正仿宋_GBK" w:cs="方正仿宋_GBK"/>
          <w:color w:val="auto"/>
          <w:sz w:val="28"/>
          <w:szCs w:val="28"/>
          <w:u w:val="dotted"/>
        </w:rPr>
      </w:pPr>
      <w:r>
        <w:rPr>
          <w:rFonts w:hint="eastAsia" w:ascii="方正仿宋_GBK" w:hAnsi="方正仿宋_GBK" w:eastAsia="方正仿宋_GBK" w:cs="方正仿宋_GBK"/>
          <w:color w:val="auto"/>
          <w:sz w:val="28"/>
          <w:szCs w:val="28"/>
        </w:rPr>
        <w:t>法律依据：</w:t>
      </w:r>
    </w:p>
    <w:p w14:paraId="133E7D72">
      <w:pPr>
        <w:adjustRightInd w:val="0"/>
        <w:snapToGrid w:val="0"/>
        <w:spacing w:line="360" w:lineRule="auto"/>
        <w:rPr>
          <w:rFonts w:hint="eastAsia" w:ascii="方正仿宋_GBK" w:hAnsi="方正仿宋_GBK" w:eastAsia="方正仿宋_GBK" w:cs="方正仿宋_GBK"/>
          <w:color w:val="auto"/>
          <w:sz w:val="28"/>
          <w:szCs w:val="28"/>
          <w:u w:val="dotted"/>
        </w:rPr>
      </w:pPr>
    </w:p>
    <w:p w14:paraId="36F52818">
      <w:pPr>
        <w:adjustRightInd w:val="0"/>
        <w:snapToGrid w:val="0"/>
        <w:spacing w:line="360" w:lineRule="auto"/>
        <w:rPr>
          <w:rFonts w:hint="eastAsia" w:ascii="方正仿宋_GBK" w:hAnsi="方正仿宋_GBK" w:eastAsia="方正仿宋_GBK" w:cs="方正仿宋_GBK"/>
          <w:color w:val="auto"/>
          <w:sz w:val="28"/>
          <w:szCs w:val="28"/>
          <w:u w:val="dotted"/>
        </w:rPr>
      </w:pPr>
      <w:r>
        <w:rPr>
          <w:rFonts w:hint="eastAsia" w:ascii="方正仿宋_GBK" w:hAnsi="方正仿宋_GBK" w:eastAsia="方正仿宋_GBK" w:cs="方正仿宋_GBK"/>
          <w:color w:val="auto"/>
          <w:sz w:val="28"/>
          <w:szCs w:val="28"/>
        </w:rPr>
        <w:t>质疑事项2</w:t>
      </w:r>
    </w:p>
    <w:p w14:paraId="278B9892">
      <w:pPr>
        <w:adjustRightInd w:val="0"/>
        <w:snapToGrid w:val="0"/>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p>
    <w:p w14:paraId="3D1942B7">
      <w:pPr>
        <w:adjustRightInd w:val="0"/>
        <w:snapToGrid w:val="0"/>
        <w:spacing w:line="360" w:lineRule="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四、与质疑事项相关的质疑请求</w:t>
      </w:r>
    </w:p>
    <w:p w14:paraId="76C6EFB3">
      <w:pPr>
        <w:adjustRightInd w:val="0"/>
        <w:snapToGrid w:val="0"/>
        <w:spacing w:line="360" w:lineRule="auto"/>
        <w:rPr>
          <w:rFonts w:hint="eastAsia" w:ascii="方正仿宋_GBK" w:hAnsi="方正仿宋_GBK" w:eastAsia="方正仿宋_GBK" w:cs="方正仿宋_GBK"/>
          <w:color w:val="auto"/>
          <w:sz w:val="28"/>
          <w:szCs w:val="28"/>
          <w:u w:val="dotted"/>
        </w:rPr>
      </w:pPr>
      <w:r>
        <w:rPr>
          <w:rFonts w:hint="eastAsia" w:ascii="方正仿宋_GBK" w:hAnsi="方正仿宋_GBK" w:eastAsia="方正仿宋_GBK" w:cs="方正仿宋_GBK"/>
          <w:color w:val="auto"/>
          <w:sz w:val="28"/>
          <w:szCs w:val="28"/>
        </w:rPr>
        <w:t>请求：</w:t>
      </w:r>
    </w:p>
    <w:p w14:paraId="5C115E00">
      <w:pPr>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签字(签章)：                   公章：                      </w:t>
      </w:r>
    </w:p>
    <w:p w14:paraId="53558420">
      <w:pPr>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日期：    </w:t>
      </w:r>
    </w:p>
    <w:p w14:paraId="5A739B14">
      <w:pPr>
        <w:adjustRightInd w:val="0"/>
        <w:snapToGrid w:val="0"/>
        <w:spacing w:line="360" w:lineRule="auto"/>
        <w:rPr>
          <w:rFonts w:hint="eastAsia" w:ascii="方正仿宋_GBK" w:hAnsi="方正仿宋_GBK" w:eastAsia="方正仿宋_GBK" w:cs="方正仿宋_GBK"/>
          <w:color w:val="auto"/>
          <w:sz w:val="28"/>
          <w:szCs w:val="28"/>
        </w:rPr>
      </w:pPr>
    </w:p>
    <w:p w14:paraId="3F27CFEC">
      <w:pPr>
        <w:spacing w:line="360" w:lineRule="auto"/>
        <w:rPr>
          <w:rFonts w:hint="eastAsia" w:ascii="方正仿宋_GBK" w:hAnsi="方正仿宋_GBK" w:eastAsia="方正仿宋_GBK" w:cs="方正仿宋_GBK"/>
          <w:b/>
          <w:color w:val="auto"/>
          <w:sz w:val="28"/>
          <w:szCs w:val="28"/>
        </w:rPr>
      </w:pPr>
    </w:p>
    <w:p w14:paraId="3D099993">
      <w:pPr>
        <w:spacing w:line="360" w:lineRule="auto"/>
        <w:rPr>
          <w:rFonts w:hint="eastAsia" w:ascii="方正仿宋_GBK" w:hAnsi="方正仿宋_GBK" w:eastAsia="方正仿宋_GBK" w:cs="方正仿宋_GBK"/>
          <w:b/>
          <w:color w:val="auto"/>
          <w:sz w:val="28"/>
          <w:szCs w:val="28"/>
        </w:rPr>
      </w:pPr>
    </w:p>
    <w:p w14:paraId="4070D652">
      <w:pPr>
        <w:spacing w:line="360" w:lineRule="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质疑函制作说明：</w:t>
      </w:r>
    </w:p>
    <w:p w14:paraId="16AEC563">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1.供应商提出质疑时，应提交质疑函和必要的证明材料。</w:t>
      </w:r>
    </w:p>
    <w:p w14:paraId="3A17A3D4">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2.质疑供应商若委托代理人进行质疑的，质疑函应按要求列明“授权代表”的有关内容，并在附件中提交由质疑</w:t>
      </w:r>
      <w:r>
        <w:rPr>
          <w:rFonts w:hint="eastAsia" w:ascii="方正仿宋_GBK" w:hAnsi="方正仿宋_GBK" w:eastAsia="方正仿宋_GBK" w:cs="方正仿宋_GBK"/>
          <w:color w:val="auto"/>
          <w:kern w:val="0"/>
          <w:sz w:val="28"/>
          <w:szCs w:val="28"/>
        </w:rPr>
        <w:t>供应商签署的授权委托书。授权委托书应载明代理人的姓名或者名称、代理事项、具体权限、期限和相关事项。</w:t>
      </w:r>
    </w:p>
    <w:p w14:paraId="2990DA41">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3.质疑供应商若对项目的某一分包进行质疑，质疑函中应列明具体分包号。</w:t>
      </w:r>
    </w:p>
    <w:p w14:paraId="142D4EE9">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4.质疑函的质疑事项应具体、明确，并有必要的事实依据和法律依据。</w:t>
      </w:r>
    </w:p>
    <w:p w14:paraId="620943FE">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5.质疑函的质疑请求应与质疑事项相关。</w:t>
      </w:r>
    </w:p>
    <w:p w14:paraId="76082E60">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6.质疑供应商为自然人的，质疑函应由本人签字；质疑供应商为法人或者其他组织的，质疑函应由法定代表人、主要负责人，或者其授权代表签字或者盖章，并加盖公章。</w:t>
      </w:r>
    </w:p>
    <w:p w14:paraId="1ACD98AA">
      <w:pPr>
        <w:widowControl/>
        <w:ind w:firstLine="560" w:firstLineChars="200"/>
        <w:jc w:val="left"/>
        <w:rPr>
          <w:rFonts w:hint="eastAsia" w:ascii="方正仿宋_GBK" w:hAnsi="方正仿宋_GBK" w:eastAsia="方正仿宋_GBK" w:cs="方正仿宋_GBK"/>
          <w:color w:val="auto"/>
          <w:sz w:val="28"/>
          <w:szCs w:val="28"/>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embedRegular r:id="rId1" w:fontKey="{C4EDC306-8928-4907-8835-1244D2768A11}"/>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75507">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098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0980" cy="131445"/>
                      </a:xfrm>
                      <a:prstGeom prst="rect">
                        <a:avLst/>
                      </a:prstGeom>
                      <a:noFill/>
                      <a:ln>
                        <a:noFill/>
                      </a:ln>
                    </wps:spPr>
                    <wps:txbx>
                      <w:txbxContent>
                        <w:p w14:paraId="2FDA555C">
                          <w:pPr>
                            <w:pStyle w:val="26"/>
                          </w:pPr>
                          <w:r>
                            <w:fldChar w:fldCharType="begin"/>
                          </w:r>
                          <w:r>
                            <w:instrText xml:space="preserve"> PAGE  \* MERGEFORMAT </w:instrText>
                          </w:r>
                          <w:r>
                            <w:fldChar w:fldCharType="separate"/>
                          </w:r>
                          <w:r>
                            <w:t>25</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0.35pt;width:17.4pt;mso-position-horizontal:center;mso-position-horizontal-relative:margin;z-index:251659264;mso-width-relative:page;mso-height-relative:page;" filled="f" stroked="f" coordsize="21600,21600" o:gfxdata="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0FxZNIAAAADAQAADwAAAAAAAAABACAAAAAiAAAAZHJzL2Rvd25yZXYu&#10;eG1sUEsBAhQAFAAAAAgAh07iQNXPUYrIAQAAjQMAAA4AAAAAAAAAAQAgAAAAIQEAAGRycy9lMm9E&#10;b2MueG1sUEsFBgAAAAAGAAYAWQEAAFsFAAAAAA==&#10;">
              <v:fill on="f" focussize="0,0"/>
              <v:stroke on="f"/>
              <v:imagedata o:title=""/>
              <o:lock v:ext="edit" aspectratio="f"/>
              <v:textbox inset="0mm,0mm,0mm,0mm" style="mso-fit-shape-to-text:t;">
                <w:txbxContent>
                  <w:p w14:paraId="2FDA555C">
                    <w:pPr>
                      <w:pStyle w:val="2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D64F5">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A3F37"/>
    <w:multiLevelType w:val="multilevel"/>
    <w:tmpl w:val="38DA3F37"/>
    <w:lvl w:ilvl="0" w:tentative="0">
      <w:start w:val="1"/>
      <w:numFmt w:val="bullet"/>
      <w:pStyle w:val="127"/>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803">
    <w15:presenceInfo w15:providerId="WPS Office" w15:userId="6625850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 w:name="KGWebUrl" w:val="http://jszfcg.jsczt.cn/jszc/gateWay/joffice/office?access_token=300b1800-803d-425e-b7b3-99806d8150e4"/>
    <w:docVar w:name="KSO_WPS_MARK_KEY" w:val="dc9524e9-0d5f-4bc5-b642-c69acf49d3a8"/>
  </w:docVars>
  <w:rsids>
    <w:rsidRoot w:val="00172A27"/>
    <w:rsid w:val="00000546"/>
    <w:rsid w:val="00000AB2"/>
    <w:rsid w:val="00001556"/>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35B6"/>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13A7"/>
    <w:rsid w:val="00071E47"/>
    <w:rsid w:val="00071F57"/>
    <w:rsid w:val="0007260D"/>
    <w:rsid w:val="00073424"/>
    <w:rsid w:val="00073BED"/>
    <w:rsid w:val="00074988"/>
    <w:rsid w:val="0007540B"/>
    <w:rsid w:val="00075842"/>
    <w:rsid w:val="00076AE9"/>
    <w:rsid w:val="00076F71"/>
    <w:rsid w:val="0007742F"/>
    <w:rsid w:val="0008009E"/>
    <w:rsid w:val="0008018D"/>
    <w:rsid w:val="00081396"/>
    <w:rsid w:val="00082843"/>
    <w:rsid w:val="00082CBF"/>
    <w:rsid w:val="00083333"/>
    <w:rsid w:val="000839F1"/>
    <w:rsid w:val="00084436"/>
    <w:rsid w:val="00084DE0"/>
    <w:rsid w:val="00085157"/>
    <w:rsid w:val="00085D79"/>
    <w:rsid w:val="00085EFE"/>
    <w:rsid w:val="00085F42"/>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58DC"/>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55E"/>
    <w:rsid w:val="000D4848"/>
    <w:rsid w:val="000D4C7D"/>
    <w:rsid w:val="000D53CE"/>
    <w:rsid w:val="000D5A2E"/>
    <w:rsid w:val="000D5A42"/>
    <w:rsid w:val="000D5B2C"/>
    <w:rsid w:val="000D63AA"/>
    <w:rsid w:val="000D682C"/>
    <w:rsid w:val="000D6D29"/>
    <w:rsid w:val="000D7507"/>
    <w:rsid w:val="000D78B0"/>
    <w:rsid w:val="000D7E1A"/>
    <w:rsid w:val="000E0BDF"/>
    <w:rsid w:val="000E13C5"/>
    <w:rsid w:val="000E190A"/>
    <w:rsid w:val="000E29B5"/>
    <w:rsid w:val="000E3129"/>
    <w:rsid w:val="000E3178"/>
    <w:rsid w:val="000E386B"/>
    <w:rsid w:val="000E3BA3"/>
    <w:rsid w:val="000E458D"/>
    <w:rsid w:val="000E66B5"/>
    <w:rsid w:val="000E6876"/>
    <w:rsid w:val="000E69A2"/>
    <w:rsid w:val="000E6D6C"/>
    <w:rsid w:val="000E76D0"/>
    <w:rsid w:val="000E7DCC"/>
    <w:rsid w:val="000F07A2"/>
    <w:rsid w:val="000F11C4"/>
    <w:rsid w:val="000F1FA3"/>
    <w:rsid w:val="000F3E9B"/>
    <w:rsid w:val="000F4096"/>
    <w:rsid w:val="000F4358"/>
    <w:rsid w:val="000F4E0F"/>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AFB"/>
    <w:rsid w:val="00117E6F"/>
    <w:rsid w:val="00122C11"/>
    <w:rsid w:val="00123015"/>
    <w:rsid w:val="001231D6"/>
    <w:rsid w:val="00126278"/>
    <w:rsid w:val="00130180"/>
    <w:rsid w:val="001305D4"/>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4AE9"/>
    <w:rsid w:val="00145A1C"/>
    <w:rsid w:val="001462E0"/>
    <w:rsid w:val="00146479"/>
    <w:rsid w:val="00146643"/>
    <w:rsid w:val="00147766"/>
    <w:rsid w:val="00152826"/>
    <w:rsid w:val="001546EC"/>
    <w:rsid w:val="0015474F"/>
    <w:rsid w:val="00154AF5"/>
    <w:rsid w:val="001550C0"/>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2A27"/>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10A"/>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4E0"/>
    <w:rsid w:val="001A4E8F"/>
    <w:rsid w:val="001A51B7"/>
    <w:rsid w:val="001A57C2"/>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E72E5"/>
    <w:rsid w:val="001F1467"/>
    <w:rsid w:val="001F1694"/>
    <w:rsid w:val="001F16AE"/>
    <w:rsid w:val="001F1D43"/>
    <w:rsid w:val="001F2610"/>
    <w:rsid w:val="001F34D5"/>
    <w:rsid w:val="001F358D"/>
    <w:rsid w:val="001F466D"/>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7FA"/>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5A7A"/>
    <w:rsid w:val="002567F6"/>
    <w:rsid w:val="00256976"/>
    <w:rsid w:val="00256EF8"/>
    <w:rsid w:val="00257303"/>
    <w:rsid w:val="002574B8"/>
    <w:rsid w:val="00260643"/>
    <w:rsid w:val="002610E8"/>
    <w:rsid w:val="002625F8"/>
    <w:rsid w:val="002629C0"/>
    <w:rsid w:val="002630CD"/>
    <w:rsid w:val="0026343B"/>
    <w:rsid w:val="00263475"/>
    <w:rsid w:val="00263FB2"/>
    <w:rsid w:val="002642D6"/>
    <w:rsid w:val="0026460E"/>
    <w:rsid w:val="0026460F"/>
    <w:rsid w:val="00264B46"/>
    <w:rsid w:val="00264E34"/>
    <w:rsid w:val="00264FD3"/>
    <w:rsid w:val="0026519F"/>
    <w:rsid w:val="002655B1"/>
    <w:rsid w:val="0026568D"/>
    <w:rsid w:val="0026582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E4"/>
    <w:rsid w:val="0029448F"/>
    <w:rsid w:val="002953BA"/>
    <w:rsid w:val="002973FD"/>
    <w:rsid w:val="00297900"/>
    <w:rsid w:val="002A0A5B"/>
    <w:rsid w:val="002A11B9"/>
    <w:rsid w:val="002A1226"/>
    <w:rsid w:val="002A156B"/>
    <w:rsid w:val="002A2121"/>
    <w:rsid w:val="002A221F"/>
    <w:rsid w:val="002A27C2"/>
    <w:rsid w:val="002A28DD"/>
    <w:rsid w:val="002A31EB"/>
    <w:rsid w:val="002A36AA"/>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688F"/>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19E"/>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82B"/>
    <w:rsid w:val="00314A90"/>
    <w:rsid w:val="00314C91"/>
    <w:rsid w:val="00317669"/>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28C0"/>
    <w:rsid w:val="0033346D"/>
    <w:rsid w:val="00333606"/>
    <w:rsid w:val="00333C74"/>
    <w:rsid w:val="00333F95"/>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5C5"/>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00"/>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63F"/>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D59CF"/>
    <w:rsid w:val="003E017B"/>
    <w:rsid w:val="003E154C"/>
    <w:rsid w:val="003E3316"/>
    <w:rsid w:val="003E36FF"/>
    <w:rsid w:val="003E3A6B"/>
    <w:rsid w:val="003E3FE6"/>
    <w:rsid w:val="003E4653"/>
    <w:rsid w:val="003E4C9C"/>
    <w:rsid w:val="003E5334"/>
    <w:rsid w:val="003E5B3D"/>
    <w:rsid w:val="003E5F84"/>
    <w:rsid w:val="003E6B15"/>
    <w:rsid w:val="003E6C59"/>
    <w:rsid w:val="003E6E66"/>
    <w:rsid w:val="003E71C6"/>
    <w:rsid w:val="003E75C3"/>
    <w:rsid w:val="003E7911"/>
    <w:rsid w:val="003E7EB7"/>
    <w:rsid w:val="003F1302"/>
    <w:rsid w:val="003F18D9"/>
    <w:rsid w:val="003F1DF8"/>
    <w:rsid w:val="003F2792"/>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4D39"/>
    <w:rsid w:val="004260D0"/>
    <w:rsid w:val="0043032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956"/>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5BB"/>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D5EDE"/>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292E"/>
    <w:rsid w:val="00523930"/>
    <w:rsid w:val="00524276"/>
    <w:rsid w:val="005243FD"/>
    <w:rsid w:val="005250D8"/>
    <w:rsid w:val="005250E0"/>
    <w:rsid w:val="00525373"/>
    <w:rsid w:val="005263BF"/>
    <w:rsid w:val="005279E2"/>
    <w:rsid w:val="00530D01"/>
    <w:rsid w:val="00533196"/>
    <w:rsid w:val="005347D0"/>
    <w:rsid w:val="005365CA"/>
    <w:rsid w:val="00536991"/>
    <w:rsid w:val="00536EFE"/>
    <w:rsid w:val="00537500"/>
    <w:rsid w:val="00540316"/>
    <w:rsid w:val="0054065A"/>
    <w:rsid w:val="00540EB0"/>
    <w:rsid w:val="00541004"/>
    <w:rsid w:val="00541053"/>
    <w:rsid w:val="00542949"/>
    <w:rsid w:val="00542CF0"/>
    <w:rsid w:val="005467BF"/>
    <w:rsid w:val="00546EEA"/>
    <w:rsid w:val="00547737"/>
    <w:rsid w:val="005501FD"/>
    <w:rsid w:val="005505B1"/>
    <w:rsid w:val="00551BF3"/>
    <w:rsid w:val="00553F39"/>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35AC"/>
    <w:rsid w:val="00575A5E"/>
    <w:rsid w:val="00575EC7"/>
    <w:rsid w:val="00576784"/>
    <w:rsid w:val="0057779B"/>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1E63"/>
    <w:rsid w:val="005A2016"/>
    <w:rsid w:val="005A2EA2"/>
    <w:rsid w:val="005A3504"/>
    <w:rsid w:val="005A559E"/>
    <w:rsid w:val="005A60E5"/>
    <w:rsid w:val="005A6C6C"/>
    <w:rsid w:val="005A74D4"/>
    <w:rsid w:val="005A78C1"/>
    <w:rsid w:val="005A7F48"/>
    <w:rsid w:val="005B09CF"/>
    <w:rsid w:val="005B1402"/>
    <w:rsid w:val="005B1C57"/>
    <w:rsid w:val="005B3D9B"/>
    <w:rsid w:val="005B55B2"/>
    <w:rsid w:val="005B71E3"/>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3E73"/>
    <w:rsid w:val="005F4FAA"/>
    <w:rsid w:val="005F5C7F"/>
    <w:rsid w:val="006015AD"/>
    <w:rsid w:val="006023B5"/>
    <w:rsid w:val="0060456C"/>
    <w:rsid w:val="006046E5"/>
    <w:rsid w:val="006048EE"/>
    <w:rsid w:val="00607499"/>
    <w:rsid w:val="00607679"/>
    <w:rsid w:val="00612F49"/>
    <w:rsid w:val="0061417D"/>
    <w:rsid w:val="0061547A"/>
    <w:rsid w:val="00616D1C"/>
    <w:rsid w:val="00616FD4"/>
    <w:rsid w:val="00621416"/>
    <w:rsid w:val="0062198B"/>
    <w:rsid w:val="00623A9E"/>
    <w:rsid w:val="0062417D"/>
    <w:rsid w:val="00625AFB"/>
    <w:rsid w:val="00626796"/>
    <w:rsid w:val="0062722E"/>
    <w:rsid w:val="00633086"/>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4BC"/>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46F"/>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3983"/>
    <w:rsid w:val="006A4770"/>
    <w:rsid w:val="006A4FB4"/>
    <w:rsid w:val="006A534B"/>
    <w:rsid w:val="006A68F1"/>
    <w:rsid w:val="006A6A75"/>
    <w:rsid w:val="006A6C5C"/>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215F"/>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A31"/>
    <w:rsid w:val="00702D60"/>
    <w:rsid w:val="00702F14"/>
    <w:rsid w:val="0070302C"/>
    <w:rsid w:val="007037B5"/>
    <w:rsid w:val="00703865"/>
    <w:rsid w:val="00704125"/>
    <w:rsid w:val="0070429A"/>
    <w:rsid w:val="00704BAD"/>
    <w:rsid w:val="00705055"/>
    <w:rsid w:val="00706023"/>
    <w:rsid w:val="00706370"/>
    <w:rsid w:val="00706C55"/>
    <w:rsid w:val="00707165"/>
    <w:rsid w:val="00707232"/>
    <w:rsid w:val="0071105F"/>
    <w:rsid w:val="00711215"/>
    <w:rsid w:val="0071139A"/>
    <w:rsid w:val="0071149B"/>
    <w:rsid w:val="007121B2"/>
    <w:rsid w:val="00713D30"/>
    <w:rsid w:val="00714BC8"/>
    <w:rsid w:val="0071583B"/>
    <w:rsid w:val="0071661C"/>
    <w:rsid w:val="007168E1"/>
    <w:rsid w:val="00720101"/>
    <w:rsid w:val="007206C8"/>
    <w:rsid w:val="0072078A"/>
    <w:rsid w:val="007213D7"/>
    <w:rsid w:val="007216E2"/>
    <w:rsid w:val="0072221F"/>
    <w:rsid w:val="00722441"/>
    <w:rsid w:val="0072334E"/>
    <w:rsid w:val="0072356B"/>
    <w:rsid w:val="00723ACC"/>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049"/>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2293"/>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2AEC"/>
    <w:rsid w:val="007963DB"/>
    <w:rsid w:val="00796F1B"/>
    <w:rsid w:val="00797A4E"/>
    <w:rsid w:val="00797C4E"/>
    <w:rsid w:val="007A0307"/>
    <w:rsid w:val="007A043A"/>
    <w:rsid w:val="007A142B"/>
    <w:rsid w:val="007A1CBE"/>
    <w:rsid w:val="007A3148"/>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28C"/>
    <w:rsid w:val="007C29A3"/>
    <w:rsid w:val="007C2CA3"/>
    <w:rsid w:val="007C2E9A"/>
    <w:rsid w:val="007C3230"/>
    <w:rsid w:val="007C3527"/>
    <w:rsid w:val="007C57CB"/>
    <w:rsid w:val="007C5BAD"/>
    <w:rsid w:val="007C5DDE"/>
    <w:rsid w:val="007C60DB"/>
    <w:rsid w:val="007C6147"/>
    <w:rsid w:val="007C6AD5"/>
    <w:rsid w:val="007C6C85"/>
    <w:rsid w:val="007C72FF"/>
    <w:rsid w:val="007C7827"/>
    <w:rsid w:val="007C795E"/>
    <w:rsid w:val="007C7DAB"/>
    <w:rsid w:val="007D23CA"/>
    <w:rsid w:val="007D28A8"/>
    <w:rsid w:val="007D34F2"/>
    <w:rsid w:val="007D3E13"/>
    <w:rsid w:val="007D42C2"/>
    <w:rsid w:val="007D4A85"/>
    <w:rsid w:val="007D4C90"/>
    <w:rsid w:val="007D602B"/>
    <w:rsid w:val="007D64DA"/>
    <w:rsid w:val="007D6B19"/>
    <w:rsid w:val="007D6D9A"/>
    <w:rsid w:val="007D7074"/>
    <w:rsid w:val="007D767F"/>
    <w:rsid w:val="007E09EE"/>
    <w:rsid w:val="007E0F13"/>
    <w:rsid w:val="007E1294"/>
    <w:rsid w:val="007E19D6"/>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3CE"/>
    <w:rsid w:val="00805BAE"/>
    <w:rsid w:val="00806F20"/>
    <w:rsid w:val="0080771F"/>
    <w:rsid w:val="00810010"/>
    <w:rsid w:val="00810595"/>
    <w:rsid w:val="008108D3"/>
    <w:rsid w:val="00810D6B"/>
    <w:rsid w:val="00811840"/>
    <w:rsid w:val="00811995"/>
    <w:rsid w:val="00811B41"/>
    <w:rsid w:val="00812A0B"/>
    <w:rsid w:val="0081389D"/>
    <w:rsid w:val="0081484F"/>
    <w:rsid w:val="008148FE"/>
    <w:rsid w:val="00814D78"/>
    <w:rsid w:val="00816A3D"/>
    <w:rsid w:val="0081734C"/>
    <w:rsid w:val="00817506"/>
    <w:rsid w:val="0082029A"/>
    <w:rsid w:val="00820BB0"/>
    <w:rsid w:val="008212A9"/>
    <w:rsid w:val="00821573"/>
    <w:rsid w:val="00821FB3"/>
    <w:rsid w:val="00822D58"/>
    <w:rsid w:val="0082317E"/>
    <w:rsid w:val="00823C06"/>
    <w:rsid w:val="008252BC"/>
    <w:rsid w:val="0082546F"/>
    <w:rsid w:val="00825AB3"/>
    <w:rsid w:val="00827110"/>
    <w:rsid w:val="008275B9"/>
    <w:rsid w:val="008318FD"/>
    <w:rsid w:val="00831B6F"/>
    <w:rsid w:val="00831D42"/>
    <w:rsid w:val="00832700"/>
    <w:rsid w:val="00832C60"/>
    <w:rsid w:val="008343B3"/>
    <w:rsid w:val="00834B17"/>
    <w:rsid w:val="00837CF4"/>
    <w:rsid w:val="008407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6A9A"/>
    <w:rsid w:val="008573EF"/>
    <w:rsid w:val="00857571"/>
    <w:rsid w:val="0086108F"/>
    <w:rsid w:val="0086125B"/>
    <w:rsid w:val="0086208A"/>
    <w:rsid w:val="00863197"/>
    <w:rsid w:val="00863727"/>
    <w:rsid w:val="00863975"/>
    <w:rsid w:val="00863B00"/>
    <w:rsid w:val="00865553"/>
    <w:rsid w:val="0086641F"/>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517"/>
    <w:rsid w:val="0089753A"/>
    <w:rsid w:val="00897982"/>
    <w:rsid w:val="008A1082"/>
    <w:rsid w:val="008A13B2"/>
    <w:rsid w:val="008A15B7"/>
    <w:rsid w:val="008A4388"/>
    <w:rsid w:val="008A56CA"/>
    <w:rsid w:val="008A58B2"/>
    <w:rsid w:val="008A619E"/>
    <w:rsid w:val="008A629E"/>
    <w:rsid w:val="008A75AE"/>
    <w:rsid w:val="008B08A9"/>
    <w:rsid w:val="008B0C26"/>
    <w:rsid w:val="008B103A"/>
    <w:rsid w:val="008B2510"/>
    <w:rsid w:val="008B2773"/>
    <w:rsid w:val="008B4F47"/>
    <w:rsid w:val="008B5247"/>
    <w:rsid w:val="008B585F"/>
    <w:rsid w:val="008B5BDB"/>
    <w:rsid w:val="008C0765"/>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42"/>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896"/>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826B2"/>
    <w:rsid w:val="0098378B"/>
    <w:rsid w:val="00983CD0"/>
    <w:rsid w:val="009858BF"/>
    <w:rsid w:val="009867F7"/>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35E"/>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24A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DFC"/>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B0"/>
    <w:rsid w:val="00A414D0"/>
    <w:rsid w:val="00A416DA"/>
    <w:rsid w:val="00A42407"/>
    <w:rsid w:val="00A42683"/>
    <w:rsid w:val="00A433FE"/>
    <w:rsid w:val="00A43A10"/>
    <w:rsid w:val="00A44493"/>
    <w:rsid w:val="00A451F1"/>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5D0"/>
    <w:rsid w:val="00A708B7"/>
    <w:rsid w:val="00A71173"/>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1A56"/>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3627"/>
    <w:rsid w:val="00AB3E86"/>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70B"/>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AFB"/>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49D2"/>
    <w:rsid w:val="00B2505F"/>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476AA"/>
    <w:rsid w:val="00B50265"/>
    <w:rsid w:val="00B50BAC"/>
    <w:rsid w:val="00B5107D"/>
    <w:rsid w:val="00B51284"/>
    <w:rsid w:val="00B519C5"/>
    <w:rsid w:val="00B531C3"/>
    <w:rsid w:val="00B53A07"/>
    <w:rsid w:val="00B5466F"/>
    <w:rsid w:val="00B55126"/>
    <w:rsid w:val="00B551DA"/>
    <w:rsid w:val="00B5533E"/>
    <w:rsid w:val="00B555CA"/>
    <w:rsid w:val="00B55B05"/>
    <w:rsid w:val="00B573C7"/>
    <w:rsid w:val="00B577C5"/>
    <w:rsid w:val="00B60A6F"/>
    <w:rsid w:val="00B60E4F"/>
    <w:rsid w:val="00B61197"/>
    <w:rsid w:val="00B6175A"/>
    <w:rsid w:val="00B62C0C"/>
    <w:rsid w:val="00B62C59"/>
    <w:rsid w:val="00B62CFD"/>
    <w:rsid w:val="00B64334"/>
    <w:rsid w:val="00B6584F"/>
    <w:rsid w:val="00B65F94"/>
    <w:rsid w:val="00B66498"/>
    <w:rsid w:val="00B67D26"/>
    <w:rsid w:val="00B71734"/>
    <w:rsid w:val="00B71859"/>
    <w:rsid w:val="00B733AC"/>
    <w:rsid w:val="00B742A1"/>
    <w:rsid w:val="00B754DE"/>
    <w:rsid w:val="00B76806"/>
    <w:rsid w:val="00B84014"/>
    <w:rsid w:val="00B84A70"/>
    <w:rsid w:val="00B84DE6"/>
    <w:rsid w:val="00B864F5"/>
    <w:rsid w:val="00B86DE2"/>
    <w:rsid w:val="00B87D27"/>
    <w:rsid w:val="00B87EC7"/>
    <w:rsid w:val="00B9038A"/>
    <w:rsid w:val="00B90B19"/>
    <w:rsid w:val="00B91592"/>
    <w:rsid w:val="00B91EC8"/>
    <w:rsid w:val="00B935DF"/>
    <w:rsid w:val="00B93A32"/>
    <w:rsid w:val="00B94686"/>
    <w:rsid w:val="00B94850"/>
    <w:rsid w:val="00B94F21"/>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238"/>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3A4"/>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4988"/>
    <w:rsid w:val="00C056A2"/>
    <w:rsid w:val="00C05CAA"/>
    <w:rsid w:val="00C0766D"/>
    <w:rsid w:val="00C07826"/>
    <w:rsid w:val="00C07B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87498"/>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3E3A"/>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6ABD"/>
    <w:rsid w:val="00CE6D76"/>
    <w:rsid w:val="00CF03C9"/>
    <w:rsid w:val="00CF0990"/>
    <w:rsid w:val="00CF14E4"/>
    <w:rsid w:val="00CF1AD6"/>
    <w:rsid w:val="00CF1BB0"/>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20DD"/>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01EF"/>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3B2"/>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9C9"/>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84C"/>
    <w:rsid w:val="00DC4D48"/>
    <w:rsid w:val="00DC5443"/>
    <w:rsid w:val="00DC5C38"/>
    <w:rsid w:val="00DC6C28"/>
    <w:rsid w:val="00DC6E4F"/>
    <w:rsid w:val="00DC79C8"/>
    <w:rsid w:val="00DC7A4F"/>
    <w:rsid w:val="00DD0259"/>
    <w:rsid w:val="00DD030C"/>
    <w:rsid w:val="00DD046A"/>
    <w:rsid w:val="00DD0A89"/>
    <w:rsid w:val="00DD12A5"/>
    <w:rsid w:val="00DD34AD"/>
    <w:rsid w:val="00DD3FD4"/>
    <w:rsid w:val="00DD58F5"/>
    <w:rsid w:val="00DD6A3D"/>
    <w:rsid w:val="00DE3733"/>
    <w:rsid w:val="00DE38EE"/>
    <w:rsid w:val="00DE42BC"/>
    <w:rsid w:val="00DE4D1C"/>
    <w:rsid w:val="00DE5425"/>
    <w:rsid w:val="00DE67F0"/>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34F2"/>
    <w:rsid w:val="00E2415E"/>
    <w:rsid w:val="00E2481B"/>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1D46"/>
    <w:rsid w:val="00E6215E"/>
    <w:rsid w:val="00E63785"/>
    <w:rsid w:val="00E64291"/>
    <w:rsid w:val="00E643BF"/>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3E5E"/>
    <w:rsid w:val="00EA44E9"/>
    <w:rsid w:val="00EA4B2C"/>
    <w:rsid w:val="00EA6022"/>
    <w:rsid w:val="00EA6C85"/>
    <w:rsid w:val="00EA78F6"/>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6C3"/>
    <w:rsid w:val="00EC4774"/>
    <w:rsid w:val="00EC5EF6"/>
    <w:rsid w:val="00EC6042"/>
    <w:rsid w:val="00EC669F"/>
    <w:rsid w:val="00EC7751"/>
    <w:rsid w:val="00ED05F6"/>
    <w:rsid w:val="00ED2410"/>
    <w:rsid w:val="00ED3ADF"/>
    <w:rsid w:val="00ED553C"/>
    <w:rsid w:val="00ED555E"/>
    <w:rsid w:val="00ED633A"/>
    <w:rsid w:val="00ED7610"/>
    <w:rsid w:val="00ED7758"/>
    <w:rsid w:val="00ED7877"/>
    <w:rsid w:val="00EE0840"/>
    <w:rsid w:val="00EE0DBB"/>
    <w:rsid w:val="00EE10F4"/>
    <w:rsid w:val="00EE1D10"/>
    <w:rsid w:val="00EE2FBF"/>
    <w:rsid w:val="00EE36DC"/>
    <w:rsid w:val="00EE6A7B"/>
    <w:rsid w:val="00EE711D"/>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259C"/>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016C"/>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603C"/>
    <w:rsid w:val="00F47751"/>
    <w:rsid w:val="00F5077B"/>
    <w:rsid w:val="00F50D08"/>
    <w:rsid w:val="00F53648"/>
    <w:rsid w:val="00F5567F"/>
    <w:rsid w:val="00F56142"/>
    <w:rsid w:val="00F56CA7"/>
    <w:rsid w:val="00F57412"/>
    <w:rsid w:val="00F60E85"/>
    <w:rsid w:val="00F6142D"/>
    <w:rsid w:val="00F6226B"/>
    <w:rsid w:val="00F62354"/>
    <w:rsid w:val="00F62963"/>
    <w:rsid w:val="00F62C06"/>
    <w:rsid w:val="00F63779"/>
    <w:rsid w:val="00F63BDE"/>
    <w:rsid w:val="00F64573"/>
    <w:rsid w:val="00F64F15"/>
    <w:rsid w:val="00F6580A"/>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64FF"/>
    <w:rsid w:val="00F9796B"/>
    <w:rsid w:val="00F97F30"/>
    <w:rsid w:val="00FA03E0"/>
    <w:rsid w:val="00FA1F06"/>
    <w:rsid w:val="00FA23F7"/>
    <w:rsid w:val="00FA317D"/>
    <w:rsid w:val="00FA3372"/>
    <w:rsid w:val="00FA4E2D"/>
    <w:rsid w:val="00FA5CDA"/>
    <w:rsid w:val="00FA7701"/>
    <w:rsid w:val="00FB03A2"/>
    <w:rsid w:val="00FB04CD"/>
    <w:rsid w:val="00FB0889"/>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89D"/>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1032C9"/>
    <w:rsid w:val="01477BCB"/>
    <w:rsid w:val="0165774F"/>
    <w:rsid w:val="017513A9"/>
    <w:rsid w:val="01B11E35"/>
    <w:rsid w:val="01C62B3E"/>
    <w:rsid w:val="028407B3"/>
    <w:rsid w:val="02A04479"/>
    <w:rsid w:val="02F2197A"/>
    <w:rsid w:val="03665B50"/>
    <w:rsid w:val="03E62EB1"/>
    <w:rsid w:val="03EC63C9"/>
    <w:rsid w:val="0413149A"/>
    <w:rsid w:val="0422003D"/>
    <w:rsid w:val="042913CB"/>
    <w:rsid w:val="04FF7556"/>
    <w:rsid w:val="054E19A4"/>
    <w:rsid w:val="05771562"/>
    <w:rsid w:val="05852CF4"/>
    <w:rsid w:val="05927A85"/>
    <w:rsid w:val="060F639F"/>
    <w:rsid w:val="06222576"/>
    <w:rsid w:val="066E7569"/>
    <w:rsid w:val="06B37672"/>
    <w:rsid w:val="078F3BF1"/>
    <w:rsid w:val="080E26A1"/>
    <w:rsid w:val="088C088F"/>
    <w:rsid w:val="096961E0"/>
    <w:rsid w:val="09C1409A"/>
    <w:rsid w:val="09C86F91"/>
    <w:rsid w:val="0A743D85"/>
    <w:rsid w:val="0B6065BA"/>
    <w:rsid w:val="0B961C47"/>
    <w:rsid w:val="0BD55F69"/>
    <w:rsid w:val="0C152235"/>
    <w:rsid w:val="0C3B6140"/>
    <w:rsid w:val="0CD848B8"/>
    <w:rsid w:val="0D504342"/>
    <w:rsid w:val="0D870F11"/>
    <w:rsid w:val="0DB02216"/>
    <w:rsid w:val="0DC5128C"/>
    <w:rsid w:val="0DD9114E"/>
    <w:rsid w:val="0E0408E9"/>
    <w:rsid w:val="0E1664AC"/>
    <w:rsid w:val="0E1C525D"/>
    <w:rsid w:val="0E260891"/>
    <w:rsid w:val="0E725164"/>
    <w:rsid w:val="0EFE4AC2"/>
    <w:rsid w:val="0F8C22AE"/>
    <w:rsid w:val="101F37A7"/>
    <w:rsid w:val="10B606F1"/>
    <w:rsid w:val="10D02C05"/>
    <w:rsid w:val="10D34B99"/>
    <w:rsid w:val="110732FE"/>
    <w:rsid w:val="115B2DE0"/>
    <w:rsid w:val="11802A9D"/>
    <w:rsid w:val="11A27ED6"/>
    <w:rsid w:val="11D14F29"/>
    <w:rsid w:val="12A065D5"/>
    <w:rsid w:val="12B207DE"/>
    <w:rsid w:val="12C66037"/>
    <w:rsid w:val="12D91221"/>
    <w:rsid w:val="134C6EF1"/>
    <w:rsid w:val="13693592"/>
    <w:rsid w:val="137E6AE5"/>
    <w:rsid w:val="13C366E3"/>
    <w:rsid w:val="143F0797"/>
    <w:rsid w:val="1451773B"/>
    <w:rsid w:val="149418A3"/>
    <w:rsid w:val="14C0689A"/>
    <w:rsid w:val="14CB202B"/>
    <w:rsid w:val="14CD3A88"/>
    <w:rsid w:val="14EB5FBC"/>
    <w:rsid w:val="15702678"/>
    <w:rsid w:val="159113BF"/>
    <w:rsid w:val="161A6DC6"/>
    <w:rsid w:val="163F0643"/>
    <w:rsid w:val="16BA66D8"/>
    <w:rsid w:val="16C50244"/>
    <w:rsid w:val="172A2E7A"/>
    <w:rsid w:val="172C1744"/>
    <w:rsid w:val="17476AD5"/>
    <w:rsid w:val="176651A7"/>
    <w:rsid w:val="17846D4B"/>
    <w:rsid w:val="17B2302E"/>
    <w:rsid w:val="17B23574"/>
    <w:rsid w:val="18345ABA"/>
    <w:rsid w:val="1851727E"/>
    <w:rsid w:val="186A5405"/>
    <w:rsid w:val="18932E60"/>
    <w:rsid w:val="189645C0"/>
    <w:rsid w:val="18C82B09"/>
    <w:rsid w:val="18DA146E"/>
    <w:rsid w:val="18FB5139"/>
    <w:rsid w:val="192F2B88"/>
    <w:rsid w:val="194B16A1"/>
    <w:rsid w:val="19762565"/>
    <w:rsid w:val="19AF5A77"/>
    <w:rsid w:val="19B74463"/>
    <w:rsid w:val="19BC232B"/>
    <w:rsid w:val="1A4505F1"/>
    <w:rsid w:val="1A7E4FCF"/>
    <w:rsid w:val="1A8211B0"/>
    <w:rsid w:val="1A8A42CA"/>
    <w:rsid w:val="1B217338"/>
    <w:rsid w:val="1B2A593E"/>
    <w:rsid w:val="1B3D037C"/>
    <w:rsid w:val="1B4C36BB"/>
    <w:rsid w:val="1B5A5C6B"/>
    <w:rsid w:val="1BAB6C8D"/>
    <w:rsid w:val="1C591711"/>
    <w:rsid w:val="1C6F2165"/>
    <w:rsid w:val="1C7539D5"/>
    <w:rsid w:val="1C7F0946"/>
    <w:rsid w:val="1C93342E"/>
    <w:rsid w:val="1CBD1967"/>
    <w:rsid w:val="1D0936F0"/>
    <w:rsid w:val="1D126FDD"/>
    <w:rsid w:val="1D2F75FB"/>
    <w:rsid w:val="1D8B05A9"/>
    <w:rsid w:val="1DCA664E"/>
    <w:rsid w:val="1DEE0E67"/>
    <w:rsid w:val="1DF12B02"/>
    <w:rsid w:val="1E3F080B"/>
    <w:rsid w:val="1E450182"/>
    <w:rsid w:val="1E5D0198"/>
    <w:rsid w:val="1EDA53E2"/>
    <w:rsid w:val="1EE07F7F"/>
    <w:rsid w:val="1F4F72C9"/>
    <w:rsid w:val="1F5327B5"/>
    <w:rsid w:val="1FA977BF"/>
    <w:rsid w:val="1FC3402A"/>
    <w:rsid w:val="1FE94A78"/>
    <w:rsid w:val="20083BF5"/>
    <w:rsid w:val="206E2E3C"/>
    <w:rsid w:val="207D005D"/>
    <w:rsid w:val="20C95670"/>
    <w:rsid w:val="20D06740"/>
    <w:rsid w:val="20EF0E4F"/>
    <w:rsid w:val="20FB4104"/>
    <w:rsid w:val="21050673"/>
    <w:rsid w:val="213F215E"/>
    <w:rsid w:val="21493877"/>
    <w:rsid w:val="214F7FD4"/>
    <w:rsid w:val="216D6944"/>
    <w:rsid w:val="21EF2BF7"/>
    <w:rsid w:val="2217457B"/>
    <w:rsid w:val="22245171"/>
    <w:rsid w:val="22386288"/>
    <w:rsid w:val="22503C1D"/>
    <w:rsid w:val="227B3D94"/>
    <w:rsid w:val="227C521C"/>
    <w:rsid w:val="229B4DEB"/>
    <w:rsid w:val="234731C4"/>
    <w:rsid w:val="239E5129"/>
    <w:rsid w:val="241067BA"/>
    <w:rsid w:val="24400E1F"/>
    <w:rsid w:val="247D51DF"/>
    <w:rsid w:val="247E0175"/>
    <w:rsid w:val="248520D7"/>
    <w:rsid w:val="25755DC7"/>
    <w:rsid w:val="257A1221"/>
    <w:rsid w:val="258F538D"/>
    <w:rsid w:val="25A22BFB"/>
    <w:rsid w:val="26441671"/>
    <w:rsid w:val="26755F3B"/>
    <w:rsid w:val="26A839AE"/>
    <w:rsid w:val="26E0484D"/>
    <w:rsid w:val="27264850"/>
    <w:rsid w:val="27443528"/>
    <w:rsid w:val="27482DA8"/>
    <w:rsid w:val="27595274"/>
    <w:rsid w:val="280B0CBD"/>
    <w:rsid w:val="28174256"/>
    <w:rsid w:val="28312E15"/>
    <w:rsid w:val="283C1DD8"/>
    <w:rsid w:val="28E87C1A"/>
    <w:rsid w:val="29080D00"/>
    <w:rsid w:val="29DB6899"/>
    <w:rsid w:val="2A0C4820"/>
    <w:rsid w:val="2A494F4A"/>
    <w:rsid w:val="2A510C9C"/>
    <w:rsid w:val="2A6C52BE"/>
    <w:rsid w:val="2A805769"/>
    <w:rsid w:val="2A831E2D"/>
    <w:rsid w:val="2ADA11FD"/>
    <w:rsid w:val="2AE03E77"/>
    <w:rsid w:val="2B02634F"/>
    <w:rsid w:val="2B4104F9"/>
    <w:rsid w:val="2BB03D3C"/>
    <w:rsid w:val="2C0734F1"/>
    <w:rsid w:val="2C1D6BD5"/>
    <w:rsid w:val="2C546A99"/>
    <w:rsid w:val="2CA44507"/>
    <w:rsid w:val="2CBB4208"/>
    <w:rsid w:val="2CDC0F6F"/>
    <w:rsid w:val="2CE46631"/>
    <w:rsid w:val="2CFD7770"/>
    <w:rsid w:val="2D3A16A4"/>
    <w:rsid w:val="2D606C10"/>
    <w:rsid w:val="2D6D5C07"/>
    <w:rsid w:val="2D7A3971"/>
    <w:rsid w:val="2EB8264A"/>
    <w:rsid w:val="2F155F21"/>
    <w:rsid w:val="2FA87B82"/>
    <w:rsid w:val="30143F05"/>
    <w:rsid w:val="30235B53"/>
    <w:rsid w:val="30F85AFE"/>
    <w:rsid w:val="31996FDB"/>
    <w:rsid w:val="321D7FAE"/>
    <w:rsid w:val="322643C9"/>
    <w:rsid w:val="32383A46"/>
    <w:rsid w:val="327C79C0"/>
    <w:rsid w:val="3296737C"/>
    <w:rsid w:val="32D84909"/>
    <w:rsid w:val="33305A23"/>
    <w:rsid w:val="337A31A4"/>
    <w:rsid w:val="33842D58"/>
    <w:rsid w:val="33C2377D"/>
    <w:rsid w:val="33E6570C"/>
    <w:rsid w:val="33F14B85"/>
    <w:rsid w:val="34293A3F"/>
    <w:rsid w:val="347673CF"/>
    <w:rsid w:val="348E47AF"/>
    <w:rsid w:val="34DF325D"/>
    <w:rsid w:val="35444772"/>
    <w:rsid w:val="356F2C99"/>
    <w:rsid w:val="36297FEC"/>
    <w:rsid w:val="364C66D0"/>
    <w:rsid w:val="36566100"/>
    <w:rsid w:val="365F17D9"/>
    <w:rsid w:val="36806E56"/>
    <w:rsid w:val="36E763F9"/>
    <w:rsid w:val="36FA25D0"/>
    <w:rsid w:val="376947B8"/>
    <w:rsid w:val="3795459A"/>
    <w:rsid w:val="384C2872"/>
    <w:rsid w:val="3947656F"/>
    <w:rsid w:val="39560B33"/>
    <w:rsid w:val="39657518"/>
    <w:rsid w:val="398840B5"/>
    <w:rsid w:val="39A8171C"/>
    <w:rsid w:val="39C05876"/>
    <w:rsid w:val="39EA702F"/>
    <w:rsid w:val="3AB234E7"/>
    <w:rsid w:val="3ABA54C6"/>
    <w:rsid w:val="3ABF56FA"/>
    <w:rsid w:val="3B1855C6"/>
    <w:rsid w:val="3B58559D"/>
    <w:rsid w:val="3BC57B8F"/>
    <w:rsid w:val="3BCA5316"/>
    <w:rsid w:val="3BE056F1"/>
    <w:rsid w:val="3BE159ED"/>
    <w:rsid w:val="3C1F7ED7"/>
    <w:rsid w:val="3C2B4FD9"/>
    <w:rsid w:val="3C4953F6"/>
    <w:rsid w:val="3C7A15FE"/>
    <w:rsid w:val="3C9C54B2"/>
    <w:rsid w:val="3CB745C8"/>
    <w:rsid w:val="3CB75C8C"/>
    <w:rsid w:val="3CD842BA"/>
    <w:rsid w:val="3CED04E1"/>
    <w:rsid w:val="3D154364"/>
    <w:rsid w:val="3D3922A2"/>
    <w:rsid w:val="3D734A47"/>
    <w:rsid w:val="3D92781D"/>
    <w:rsid w:val="3DAB77F5"/>
    <w:rsid w:val="3DCC2C13"/>
    <w:rsid w:val="3DE82198"/>
    <w:rsid w:val="3E2D1234"/>
    <w:rsid w:val="3E846C23"/>
    <w:rsid w:val="3E884A7C"/>
    <w:rsid w:val="3EA07B02"/>
    <w:rsid w:val="3EAD0CC4"/>
    <w:rsid w:val="3EE649B0"/>
    <w:rsid w:val="3EFE4C27"/>
    <w:rsid w:val="3F33033C"/>
    <w:rsid w:val="3F3B0C9D"/>
    <w:rsid w:val="3FBB6674"/>
    <w:rsid w:val="3FDD1D9F"/>
    <w:rsid w:val="3FDF4001"/>
    <w:rsid w:val="3FF20EF0"/>
    <w:rsid w:val="3FF81C6C"/>
    <w:rsid w:val="40023ED6"/>
    <w:rsid w:val="403C7BA3"/>
    <w:rsid w:val="409273C5"/>
    <w:rsid w:val="409A272E"/>
    <w:rsid w:val="40AB1B96"/>
    <w:rsid w:val="40AC57AD"/>
    <w:rsid w:val="40C95B0C"/>
    <w:rsid w:val="40DA0D7C"/>
    <w:rsid w:val="40E02836"/>
    <w:rsid w:val="4116259D"/>
    <w:rsid w:val="4137558E"/>
    <w:rsid w:val="41724CF5"/>
    <w:rsid w:val="418A2378"/>
    <w:rsid w:val="41E37EB6"/>
    <w:rsid w:val="42C86C2C"/>
    <w:rsid w:val="42E74704"/>
    <w:rsid w:val="43422FC4"/>
    <w:rsid w:val="434B5F61"/>
    <w:rsid w:val="448D5F45"/>
    <w:rsid w:val="449F4435"/>
    <w:rsid w:val="45092B28"/>
    <w:rsid w:val="451166B5"/>
    <w:rsid w:val="45325A24"/>
    <w:rsid w:val="45970786"/>
    <w:rsid w:val="45BE0526"/>
    <w:rsid w:val="45CC091B"/>
    <w:rsid w:val="45E76415"/>
    <w:rsid w:val="463D6035"/>
    <w:rsid w:val="46521F1E"/>
    <w:rsid w:val="46B87BDD"/>
    <w:rsid w:val="46D5554A"/>
    <w:rsid w:val="46E850EA"/>
    <w:rsid w:val="46F94504"/>
    <w:rsid w:val="471A6376"/>
    <w:rsid w:val="476F2186"/>
    <w:rsid w:val="47C83729"/>
    <w:rsid w:val="47F807CD"/>
    <w:rsid w:val="48472F17"/>
    <w:rsid w:val="484D39DA"/>
    <w:rsid w:val="48590EF7"/>
    <w:rsid w:val="48620222"/>
    <w:rsid w:val="48952302"/>
    <w:rsid w:val="48B06C95"/>
    <w:rsid w:val="48BD16AF"/>
    <w:rsid w:val="490C7D41"/>
    <w:rsid w:val="495649FA"/>
    <w:rsid w:val="4A204B14"/>
    <w:rsid w:val="4A69067C"/>
    <w:rsid w:val="4AB12DCF"/>
    <w:rsid w:val="4AB40015"/>
    <w:rsid w:val="4AE31F58"/>
    <w:rsid w:val="4B054C48"/>
    <w:rsid w:val="4B0D3348"/>
    <w:rsid w:val="4B31189E"/>
    <w:rsid w:val="4B406CC7"/>
    <w:rsid w:val="4BA426B2"/>
    <w:rsid w:val="4C71597A"/>
    <w:rsid w:val="4D4C4DB0"/>
    <w:rsid w:val="4D690508"/>
    <w:rsid w:val="4DB43081"/>
    <w:rsid w:val="4DB52828"/>
    <w:rsid w:val="4DFB054F"/>
    <w:rsid w:val="4E21448E"/>
    <w:rsid w:val="4EA40E15"/>
    <w:rsid w:val="4EC90CCF"/>
    <w:rsid w:val="4EE014EC"/>
    <w:rsid w:val="4EEA5B05"/>
    <w:rsid w:val="4F0D339E"/>
    <w:rsid w:val="4F2B6026"/>
    <w:rsid w:val="4F46700B"/>
    <w:rsid w:val="4F4A7C2E"/>
    <w:rsid w:val="4F6C1739"/>
    <w:rsid w:val="4F7C445D"/>
    <w:rsid w:val="4FAA3D56"/>
    <w:rsid w:val="4FAC0CFF"/>
    <w:rsid w:val="4FB542D4"/>
    <w:rsid w:val="50916485"/>
    <w:rsid w:val="509A7021"/>
    <w:rsid w:val="50A63F9F"/>
    <w:rsid w:val="50FF32D2"/>
    <w:rsid w:val="51044A52"/>
    <w:rsid w:val="510B4369"/>
    <w:rsid w:val="51424ECF"/>
    <w:rsid w:val="51550EA9"/>
    <w:rsid w:val="517E39D7"/>
    <w:rsid w:val="519A542A"/>
    <w:rsid w:val="51CB6BEB"/>
    <w:rsid w:val="51CD4715"/>
    <w:rsid w:val="51EE06FB"/>
    <w:rsid w:val="52016BD2"/>
    <w:rsid w:val="52603BA0"/>
    <w:rsid w:val="527B0E1B"/>
    <w:rsid w:val="52D47D21"/>
    <w:rsid w:val="537230CA"/>
    <w:rsid w:val="53D6609D"/>
    <w:rsid w:val="53FC6ACE"/>
    <w:rsid w:val="54147B52"/>
    <w:rsid w:val="54660E4D"/>
    <w:rsid w:val="5484665D"/>
    <w:rsid w:val="54E95397"/>
    <w:rsid w:val="558D5808"/>
    <w:rsid w:val="55961626"/>
    <w:rsid w:val="564D060A"/>
    <w:rsid w:val="56BC5F12"/>
    <w:rsid w:val="56D95720"/>
    <w:rsid w:val="57155A40"/>
    <w:rsid w:val="575A2A2C"/>
    <w:rsid w:val="575C1CC8"/>
    <w:rsid w:val="5780763F"/>
    <w:rsid w:val="57B40121"/>
    <w:rsid w:val="580C532F"/>
    <w:rsid w:val="586A6BDB"/>
    <w:rsid w:val="586D2BCD"/>
    <w:rsid w:val="587961F1"/>
    <w:rsid w:val="58832326"/>
    <w:rsid w:val="58A957AC"/>
    <w:rsid w:val="58D06B21"/>
    <w:rsid w:val="58DF56BC"/>
    <w:rsid w:val="595B4CF8"/>
    <w:rsid w:val="596811C3"/>
    <w:rsid w:val="59A2740C"/>
    <w:rsid w:val="59B75A38"/>
    <w:rsid w:val="59BB08D8"/>
    <w:rsid w:val="5A160809"/>
    <w:rsid w:val="5A5D7CC7"/>
    <w:rsid w:val="5AB7186C"/>
    <w:rsid w:val="5AF133E1"/>
    <w:rsid w:val="5C0E0B8D"/>
    <w:rsid w:val="5C673325"/>
    <w:rsid w:val="5C757E7F"/>
    <w:rsid w:val="5CCB3F43"/>
    <w:rsid w:val="5D5D591D"/>
    <w:rsid w:val="5D783CDA"/>
    <w:rsid w:val="5E67546A"/>
    <w:rsid w:val="5E7509F3"/>
    <w:rsid w:val="5F0A6F31"/>
    <w:rsid w:val="5F2658AB"/>
    <w:rsid w:val="5F41229A"/>
    <w:rsid w:val="5F6E2ADA"/>
    <w:rsid w:val="5FC4513D"/>
    <w:rsid w:val="5FC51DA0"/>
    <w:rsid w:val="60602BF4"/>
    <w:rsid w:val="6080745F"/>
    <w:rsid w:val="6131633F"/>
    <w:rsid w:val="616F47F8"/>
    <w:rsid w:val="61D92C5E"/>
    <w:rsid w:val="62982F8C"/>
    <w:rsid w:val="62EF64B1"/>
    <w:rsid w:val="62F7618C"/>
    <w:rsid w:val="63AD56B0"/>
    <w:rsid w:val="63DF4596"/>
    <w:rsid w:val="63F14444"/>
    <w:rsid w:val="642F4DB7"/>
    <w:rsid w:val="644B5969"/>
    <w:rsid w:val="64AA756E"/>
    <w:rsid w:val="64AC28AC"/>
    <w:rsid w:val="64D0523F"/>
    <w:rsid w:val="64D43BB1"/>
    <w:rsid w:val="65037FF2"/>
    <w:rsid w:val="65926EDA"/>
    <w:rsid w:val="65AA7225"/>
    <w:rsid w:val="65D07218"/>
    <w:rsid w:val="661965E1"/>
    <w:rsid w:val="664A6DB3"/>
    <w:rsid w:val="667446D6"/>
    <w:rsid w:val="668533B4"/>
    <w:rsid w:val="67527824"/>
    <w:rsid w:val="67661BC6"/>
    <w:rsid w:val="67A7735B"/>
    <w:rsid w:val="68021003"/>
    <w:rsid w:val="68024095"/>
    <w:rsid w:val="68137D28"/>
    <w:rsid w:val="6864090D"/>
    <w:rsid w:val="68E819D9"/>
    <w:rsid w:val="692D1AE1"/>
    <w:rsid w:val="696B5AAF"/>
    <w:rsid w:val="698F4691"/>
    <w:rsid w:val="69903460"/>
    <w:rsid w:val="699851AD"/>
    <w:rsid w:val="69B67D29"/>
    <w:rsid w:val="6BE83A33"/>
    <w:rsid w:val="6C113D26"/>
    <w:rsid w:val="6C1B20C5"/>
    <w:rsid w:val="6C3311BD"/>
    <w:rsid w:val="6C717FC7"/>
    <w:rsid w:val="6D0A10DE"/>
    <w:rsid w:val="6D4E6DD0"/>
    <w:rsid w:val="6DD100F1"/>
    <w:rsid w:val="6E2A65EF"/>
    <w:rsid w:val="6E3B4867"/>
    <w:rsid w:val="6E7354E8"/>
    <w:rsid w:val="6EA66D41"/>
    <w:rsid w:val="6F3A26E8"/>
    <w:rsid w:val="6F50760F"/>
    <w:rsid w:val="6F881EDF"/>
    <w:rsid w:val="702E686B"/>
    <w:rsid w:val="706F0D4A"/>
    <w:rsid w:val="70981225"/>
    <w:rsid w:val="70BE7462"/>
    <w:rsid w:val="71937888"/>
    <w:rsid w:val="719E4CA8"/>
    <w:rsid w:val="71B30A46"/>
    <w:rsid w:val="72217C03"/>
    <w:rsid w:val="725B4129"/>
    <w:rsid w:val="726841E6"/>
    <w:rsid w:val="733221CE"/>
    <w:rsid w:val="7366378E"/>
    <w:rsid w:val="74445654"/>
    <w:rsid w:val="74461453"/>
    <w:rsid w:val="74BF306B"/>
    <w:rsid w:val="74DD43BC"/>
    <w:rsid w:val="752821B9"/>
    <w:rsid w:val="752D5343"/>
    <w:rsid w:val="75457105"/>
    <w:rsid w:val="75846F2D"/>
    <w:rsid w:val="75C60B79"/>
    <w:rsid w:val="75CF60A7"/>
    <w:rsid w:val="76AB70C1"/>
    <w:rsid w:val="76AD3FF9"/>
    <w:rsid w:val="76D252C8"/>
    <w:rsid w:val="76FA2A99"/>
    <w:rsid w:val="7771546F"/>
    <w:rsid w:val="777D4BE9"/>
    <w:rsid w:val="779A3579"/>
    <w:rsid w:val="77D10621"/>
    <w:rsid w:val="77F51D1A"/>
    <w:rsid w:val="78092C74"/>
    <w:rsid w:val="78E201F2"/>
    <w:rsid w:val="794C1B10"/>
    <w:rsid w:val="795F350D"/>
    <w:rsid w:val="79866C7A"/>
    <w:rsid w:val="79895EAC"/>
    <w:rsid w:val="799236E7"/>
    <w:rsid w:val="79993AD1"/>
    <w:rsid w:val="79BC7FBE"/>
    <w:rsid w:val="7A04260F"/>
    <w:rsid w:val="7AA428F7"/>
    <w:rsid w:val="7B312AF7"/>
    <w:rsid w:val="7B4616B5"/>
    <w:rsid w:val="7B5C32EC"/>
    <w:rsid w:val="7C1525C8"/>
    <w:rsid w:val="7C8D40C6"/>
    <w:rsid w:val="7C8F68E3"/>
    <w:rsid w:val="7CA227A5"/>
    <w:rsid w:val="7CF92B0D"/>
    <w:rsid w:val="7CFC140B"/>
    <w:rsid w:val="7D094F84"/>
    <w:rsid w:val="7D155246"/>
    <w:rsid w:val="7D2B0B2C"/>
    <w:rsid w:val="7D652500"/>
    <w:rsid w:val="7D68356F"/>
    <w:rsid w:val="7D730CDE"/>
    <w:rsid w:val="7DBA31B2"/>
    <w:rsid w:val="7DC2406E"/>
    <w:rsid w:val="7DD17CDB"/>
    <w:rsid w:val="7E2911F2"/>
    <w:rsid w:val="7E4B67C3"/>
    <w:rsid w:val="7ED56104"/>
    <w:rsid w:val="7EEF18BB"/>
    <w:rsid w:val="7F295485"/>
    <w:rsid w:val="7F9FD69F"/>
    <w:rsid w:val="7FE54D11"/>
    <w:rsid w:val="7FF81F25"/>
    <w:rsid w:val="7FFD0D27"/>
    <w:rsid w:val="BCFF7E4B"/>
    <w:rsid w:val="FFFB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5"/>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46"/>
    <w:qFormat/>
    <w:uiPriority w:val="0"/>
    <w:pPr>
      <w:keepNext/>
      <w:keepLines/>
      <w:spacing w:before="260" w:after="260" w:line="416" w:lineRule="auto"/>
      <w:outlineLvl w:val="2"/>
    </w:pPr>
    <w:rPr>
      <w:b/>
      <w:bCs/>
      <w:kern w:val="0"/>
      <w:sz w:val="32"/>
      <w:szCs w:val="32"/>
    </w:rPr>
  </w:style>
  <w:style w:type="paragraph" w:styleId="8">
    <w:name w:val="heading 4"/>
    <w:basedOn w:val="1"/>
    <w:next w:val="1"/>
    <w:link w:val="47"/>
    <w:qFormat/>
    <w:uiPriority w:val="0"/>
    <w:pPr>
      <w:keepNext/>
      <w:jc w:val="center"/>
      <w:outlineLvl w:val="3"/>
    </w:pPr>
    <w:rPr>
      <w:rFonts w:eastAsia="新宋体"/>
      <w:kern w:val="0"/>
      <w:sz w:val="30"/>
      <w:szCs w:val="21"/>
    </w:rPr>
  </w:style>
  <w:style w:type="paragraph" w:styleId="9">
    <w:name w:val="heading 5"/>
    <w:basedOn w:val="1"/>
    <w:next w:val="1"/>
    <w:link w:val="48"/>
    <w:qFormat/>
    <w:uiPriority w:val="0"/>
    <w:pPr>
      <w:keepNext/>
      <w:keepLines/>
      <w:spacing w:before="280" w:after="290" w:line="376" w:lineRule="auto"/>
      <w:outlineLvl w:val="4"/>
    </w:pPr>
    <w:rPr>
      <w:b/>
      <w:bCs/>
      <w:kern w:val="0"/>
      <w:sz w:val="28"/>
      <w:szCs w:val="28"/>
    </w:rPr>
  </w:style>
  <w:style w:type="paragraph" w:styleId="10">
    <w:name w:val="heading 6"/>
    <w:basedOn w:val="1"/>
    <w:next w:val="1"/>
    <w:link w:val="49"/>
    <w:qFormat/>
    <w:uiPriority w:val="0"/>
    <w:pPr>
      <w:keepNext/>
      <w:jc w:val="center"/>
      <w:outlineLvl w:val="5"/>
    </w:pPr>
    <w:rPr>
      <w:b/>
      <w:kern w:val="0"/>
      <w:sz w:val="44"/>
      <w:szCs w:val="20"/>
    </w:rPr>
  </w:style>
  <w:style w:type="paragraph" w:styleId="11">
    <w:name w:val="heading 7"/>
    <w:basedOn w:val="1"/>
    <w:next w:val="1"/>
    <w:link w:val="50"/>
    <w:qFormat/>
    <w:uiPriority w:val="0"/>
    <w:pPr>
      <w:keepNext/>
      <w:keepLines/>
      <w:spacing w:before="240" w:after="64" w:line="320" w:lineRule="auto"/>
      <w:outlineLvl w:val="6"/>
    </w:pPr>
    <w:rPr>
      <w:b/>
      <w:bCs/>
      <w:kern w:val="0"/>
      <w:sz w:val="24"/>
    </w:rPr>
  </w:style>
  <w:style w:type="paragraph" w:styleId="12">
    <w:name w:val="heading 8"/>
    <w:basedOn w:val="1"/>
    <w:next w:val="1"/>
    <w:link w:val="51"/>
    <w:qFormat/>
    <w:uiPriority w:val="0"/>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52"/>
    <w:qFormat/>
    <w:uiPriority w:val="0"/>
    <w:pPr>
      <w:keepNext/>
      <w:keepLines/>
      <w:spacing w:before="240" w:after="64" w:line="320" w:lineRule="auto"/>
      <w:outlineLvl w:val="8"/>
    </w:pPr>
    <w:rPr>
      <w:rFonts w:ascii="Arial" w:hAnsi="Arial" w:eastAsia="黑体"/>
      <w:kern w:val="0"/>
      <w:sz w:val="24"/>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pPr>
  </w:style>
  <w:style w:type="paragraph" w:styleId="3">
    <w:name w:val="Body Text Indent"/>
    <w:basedOn w:val="1"/>
    <w:next w:val="4"/>
    <w:link w:val="58"/>
    <w:qFormat/>
    <w:uiPriority w:val="0"/>
    <w:pPr>
      <w:ind w:left="765"/>
    </w:pPr>
    <w:rPr>
      <w:rFonts w:ascii="仿宋_GB2312" w:eastAsia="仿宋_GB2312"/>
      <w:kern w:val="0"/>
      <w:sz w:val="28"/>
      <w:szCs w:val="20"/>
    </w:rPr>
  </w:style>
  <w:style w:type="paragraph" w:styleId="4">
    <w:name w:val="envelope return"/>
    <w:basedOn w:val="1"/>
    <w:unhideWhenUsed/>
    <w:qFormat/>
    <w:uiPriority w:val="99"/>
    <w:pPr>
      <w:snapToGrid w:val="0"/>
    </w:pPr>
    <w:rPr>
      <w:rFonts w:ascii="Arial" w:hAnsi="Arial"/>
    </w:rPr>
  </w:style>
  <w:style w:type="paragraph" w:styleId="14">
    <w:name w:val="Note Heading"/>
    <w:basedOn w:val="1"/>
    <w:next w:val="1"/>
    <w:qFormat/>
    <w:uiPriority w:val="0"/>
    <w:rPr>
      <w:rFonts w:ascii="Verdana" w:hAnsi="Verdana"/>
      <w:szCs w:val="20"/>
    </w:rPr>
  </w:style>
  <w:style w:type="paragraph" w:styleId="15">
    <w:name w:val="Normal Indent"/>
    <w:basedOn w:val="1"/>
    <w:link w:val="53"/>
    <w:qFormat/>
    <w:uiPriority w:val="0"/>
    <w:pPr>
      <w:ind w:firstLine="420"/>
    </w:pPr>
    <w:rPr>
      <w:kern w:val="0"/>
      <w:sz w:val="20"/>
      <w:szCs w:val="20"/>
    </w:rPr>
  </w:style>
  <w:style w:type="paragraph" w:styleId="16">
    <w:name w:val="Document Map"/>
    <w:basedOn w:val="1"/>
    <w:link w:val="54"/>
    <w:semiHidden/>
    <w:qFormat/>
    <w:uiPriority w:val="0"/>
    <w:pPr>
      <w:shd w:val="clear" w:color="auto" w:fill="000080"/>
    </w:pPr>
    <w:rPr>
      <w:kern w:val="0"/>
      <w:sz w:val="20"/>
    </w:rPr>
  </w:style>
  <w:style w:type="paragraph" w:styleId="1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8">
    <w:name w:val="annotation text"/>
    <w:basedOn w:val="1"/>
    <w:link w:val="55"/>
    <w:unhideWhenUsed/>
    <w:qFormat/>
    <w:uiPriority w:val="99"/>
    <w:pPr>
      <w:jc w:val="left"/>
    </w:pPr>
  </w:style>
  <w:style w:type="paragraph" w:styleId="19">
    <w:name w:val="Body Text 3"/>
    <w:basedOn w:val="1"/>
    <w:link w:val="56"/>
    <w:qFormat/>
    <w:uiPriority w:val="0"/>
    <w:pPr>
      <w:spacing w:after="120"/>
    </w:pPr>
    <w:rPr>
      <w:kern w:val="0"/>
      <w:sz w:val="16"/>
      <w:szCs w:val="16"/>
    </w:rPr>
  </w:style>
  <w:style w:type="paragraph" w:styleId="20">
    <w:name w:val="Body Text"/>
    <w:basedOn w:val="1"/>
    <w:next w:val="1"/>
    <w:link w:val="57"/>
    <w:qFormat/>
    <w:uiPriority w:val="0"/>
    <w:rPr>
      <w:rFonts w:ascii="仿宋_GB2312" w:eastAsia="仿宋_GB2312"/>
      <w:kern w:val="0"/>
      <w:sz w:val="24"/>
      <w:szCs w:val="20"/>
    </w:rPr>
  </w:style>
  <w:style w:type="paragraph" w:styleId="21">
    <w:name w:val="Block Text"/>
    <w:basedOn w:val="1"/>
    <w:next w:val="20"/>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2">
    <w:name w:val="Plain Text"/>
    <w:basedOn w:val="1"/>
    <w:link w:val="59"/>
    <w:qFormat/>
    <w:uiPriority w:val="0"/>
    <w:rPr>
      <w:rFonts w:ascii="宋体" w:hAnsi="Courier New"/>
      <w:kern w:val="0"/>
      <w:sz w:val="20"/>
      <w:szCs w:val="21"/>
    </w:rPr>
  </w:style>
  <w:style w:type="paragraph" w:styleId="23">
    <w:name w:val="Date"/>
    <w:basedOn w:val="1"/>
    <w:next w:val="1"/>
    <w:link w:val="60"/>
    <w:qFormat/>
    <w:uiPriority w:val="0"/>
    <w:rPr>
      <w:kern w:val="0"/>
      <w:sz w:val="24"/>
      <w:szCs w:val="20"/>
    </w:rPr>
  </w:style>
  <w:style w:type="paragraph" w:styleId="24">
    <w:name w:val="Body Text Indent 2"/>
    <w:basedOn w:val="1"/>
    <w:link w:val="61"/>
    <w:qFormat/>
    <w:uiPriority w:val="0"/>
    <w:pPr>
      <w:spacing w:line="500" w:lineRule="exact"/>
      <w:ind w:firstLine="560" w:firstLineChars="200"/>
    </w:pPr>
    <w:rPr>
      <w:rFonts w:eastAsia="仿宋_GB2312"/>
      <w:kern w:val="0"/>
      <w:sz w:val="28"/>
      <w:szCs w:val="20"/>
    </w:rPr>
  </w:style>
  <w:style w:type="paragraph" w:styleId="25">
    <w:name w:val="Balloon Text"/>
    <w:basedOn w:val="1"/>
    <w:link w:val="62"/>
    <w:semiHidden/>
    <w:qFormat/>
    <w:uiPriority w:val="0"/>
    <w:rPr>
      <w:kern w:val="0"/>
      <w:sz w:val="18"/>
      <w:szCs w:val="18"/>
    </w:rPr>
  </w:style>
  <w:style w:type="paragraph" w:styleId="26">
    <w:name w:val="footer"/>
    <w:basedOn w:val="1"/>
    <w:link w:val="63"/>
    <w:qFormat/>
    <w:uiPriority w:val="99"/>
    <w:pPr>
      <w:tabs>
        <w:tab w:val="center" w:pos="4153"/>
        <w:tab w:val="right" w:pos="8306"/>
      </w:tabs>
      <w:snapToGrid w:val="0"/>
      <w:jc w:val="left"/>
    </w:pPr>
    <w:rPr>
      <w:kern w:val="0"/>
      <w:sz w:val="18"/>
      <w:szCs w:val="20"/>
    </w:rPr>
  </w:style>
  <w:style w:type="paragraph" w:styleId="27">
    <w:name w:val="header"/>
    <w:basedOn w:val="1"/>
    <w:link w:val="64"/>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semiHidden/>
    <w:qFormat/>
    <w:uiPriority w:val="0"/>
    <w:rPr>
      <w:sz w:val="24"/>
    </w:rPr>
  </w:style>
  <w:style w:type="paragraph" w:styleId="29">
    <w:name w:val="List"/>
    <w:basedOn w:val="1"/>
    <w:qFormat/>
    <w:uiPriority w:val="0"/>
    <w:pPr>
      <w:ind w:left="200" w:hanging="200" w:hangingChars="200"/>
    </w:pPr>
  </w:style>
  <w:style w:type="paragraph" w:styleId="30">
    <w:name w:val="Body Text Indent 3"/>
    <w:basedOn w:val="1"/>
    <w:next w:val="17"/>
    <w:link w:val="65"/>
    <w:qFormat/>
    <w:uiPriority w:val="0"/>
    <w:pPr>
      <w:spacing w:after="120"/>
      <w:ind w:left="420" w:leftChars="200"/>
    </w:pPr>
    <w:rPr>
      <w:kern w:val="0"/>
      <w:sz w:val="16"/>
      <w:szCs w:val="16"/>
    </w:rPr>
  </w:style>
  <w:style w:type="paragraph" w:styleId="31">
    <w:name w:val="Body Text 2"/>
    <w:basedOn w:val="1"/>
    <w:link w:val="66"/>
    <w:qFormat/>
    <w:uiPriority w:val="0"/>
    <w:pPr>
      <w:snapToGrid w:val="0"/>
    </w:pPr>
    <w:rPr>
      <w:b/>
      <w:bCs/>
      <w:kern w:val="0"/>
      <w:sz w:val="18"/>
    </w:rPr>
  </w:style>
  <w:style w:type="paragraph" w:styleId="32">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3">
    <w:name w:val="annotation subject"/>
    <w:basedOn w:val="18"/>
    <w:next w:val="18"/>
    <w:link w:val="67"/>
    <w:unhideWhenUsed/>
    <w:qFormat/>
    <w:uiPriority w:val="99"/>
    <w:rPr>
      <w:b/>
      <w:bCs/>
    </w:rPr>
  </w:style>
  <w:style w:type="paragraph" w:styleId="34">
    <w:name w:val="Body Text First Indent"/>
    <w:basedOn w:val="20"/>
    <w:link w:val="68"/>
    <w:qFormat/>
    <w:uiPriority w:val="0"/>
    <w:pPr>
      <w:spacing w:after="120"/>
      <w:ind w:firstLine="420" w:firstLineChars="100"/>
    </w:pPr>
    <w:rPr>
      <w:rFonts w:ascii="Times New Roman" w:eastAsia="宋体"/>
      <w:szCs w:val="24"/>
    </w:rPr>
  </w:style>
  <w:style w:type="paragraph" w:styleId="35">
    <w:name w:val="Body Text First Indent 2"/>
    <w:basedOn w:val="3"/>
    <w:next w:val="30"/>
    <w:unhideWhenUsed/>
    <w:qFormat/>
    <w:uiPriority w:val="99"/>
    <w:pPr>
      <w:ind w:firstLine="200" w:firstLineChars="200"/>
    </w:pPr>
  </w:style>
  <w:style w:type="table" w:styleId="37">
    <w:name w:val="Table Grid"/>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bCs/>
    </w:rPr>
  </w:style>
  <w:style w:type="character" w:styleId="40">
    <w:name w:val="page number"/>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unhideWhenUsed/>
    <w:qFormat/>
    <w:uiPriority w:val="99"/>
    <w:rPr>
      <w:sz w:val="21"/>
      <w:szCs w:val="21"/>
    </w:rPr>
  </w:style>
  <w:style w:type="character" w:customStyle="1" w:styleId="44">
    <w:name w:val="标题 1 Char"/>
    <w:link w:val="5"/>
    <w:qFormat/>
    <w:uiPriority w:val="0"/>
    <w:rPr>
      <w:rFonts w:ascii="Times New Roman" w:hAnsi="Times New Roman" w:eastAsia="宋体" w:cs="Times New Roman"/>
      <w:b/>
      <w:bCs/>
      <w:kern w:val="44"/>
      <w:sz w:val="44"/>
      <w:szCs w:val="44"/>
    </w:rPr>
  </w:style>
  <w:style w:type="character" w:customStyle="1" w:styleId="45">
    <w:name w:val="标题 2 Char"/>
    <w:link w:val="6"/>
    <w:qFormat/>
    <w:uiPriority w:val="0"/>
    <w:rPr>
      <w:rFonts w:ascii="Arial" w:hAnsi="Arial" w:eastAsia="黑体" w:cs="Times New Roman"/>
      <w:b/>
      <w:bCs/>
      <w:sz w:val="32"/>
      <w:szCs w:val="32"/>
    </w:rPr>
  </w:style>
  <w:style w:type="character" w:customStyle="1" w:styleId="46">
    <w:name w:val="标题 3 Char"/>
    <w:link w:val="7"/>
    <w:qFormat/>
    <w:uiPriority w:val="0"/>
    <w:rPr>
      <w:rFonts w:ascii="Times New Roman" w:hAnsi="Times New Roman" w:eastAsia="宋体" w:cs="Times New Roman"/>
      <w:b/>
      <w:bCs/>
      <w:sz w:val="32"/>
      <w:szCs w:val="32"/>
    </w:rPr>
  </w:style>
  <w:style w:type="character" w:customStyle="1" w:styleId="47">
    <w:name w:val="标题 4 Char"/>
    <w:link w:val="8"/>
    <w:qFormat/>
    <w:uiPriority w:val="0"/>
    <w:rPr>
      <w:rFonts w:ascii="Times New Roman" w:hAnsi="Times New Roman" w:eastAsia="新宋体" w:cs="Times New Roman"/>
      <w:sz w:val="30"/>
      <w:szCs w:val="21"/>
    </w:rPr>
  </w:style>
  <w:style w:type="character" w:customStyle="1" w:styleId="48">
    <w:name w:val="标题 5 Char"/>
    <w:link w:val="9"/>
    <w:qFormat/>
    <w:uiPriority w:val="0"/>
    <w:rPr>
      <w:rFonts w:ascii="Times New Roman" w:hAnsi="Times New Roman" w:eastAsia="宋体" w:cs="Times New Roman"/>
      <w:b/>
      <w:bCs/>
      <w:sz w:val="28"/>
      <w:szCs w:val="28"/>
    </w:rPr>
  </w:style>
  <w:style w:type="character" w:customStyle="1" w:styleId="49">
    <w:name w:val="标题 6 Char"/>
    <w:link w:val="10"/>
    <w:qFormat/>
    <w:uiPriority w:val="0"/>
    <w:rPr>
      <w:rFonts w:ascii="Times New Roman" w:hAnsi="Times New Roman" w:eastAsia="宋体" w:cs="Times New Roman"/>
      <w:b/>
      <w:sz w:val="44"/>
      <w:szCs w:val="20"/>
    </w:rPr>
  </w:style>
  <w:style w:type="character" w:customStyle="1" w:styleId="50">
    <w:name w:val="标题 7 Char"/>
    <w:link w:val="11"/>
    <w:qFormat/>
    <w:uiPriority w:val="0"/>
    <w:rPr>
      <w:rFonts w:ascii="Times New Roman" w:hAnsi="Times New Roman" w:eastAsia="宋体" w:cs="Times New Roman"/>
      <w:b/>
      <w:bCs/>
      <w:sz w:val="24"/>
      <w:szCs w:val="24"/>
    </w:rPr>
  </w:style>
  <w:style w:type="character" w:customStyle="1" w:styleId="51">
    <w:name w:val="标题 8 Char"/>
    <w:link w:val="12"/>
    <w:qFormat/>
    <w:uiPriority w:val="0"/>
    <w:rPr>
      <w:rFonts w:ascii="Arial" w:hAnsi="Arial" w:eastAsia="黑体" w:cs="Times New Roman"/>
      <w:sz w:val="24"/>
      <w:szCs w:val="24"/>
    </w:rPr>
  </w:style>
  <w:style w:type="character" w:customStyle="1" w:styleId="52">
    <w:name w:val="标题 9 Char"/>
    <w:link w:val="13"/>
    <w:qFormat/>
    <w:uiPriority w:val="0"/>
    <w:rPr>
      <w:rFonts w:ascii="Arial" w:hAnsi="Arial" w:eastAsia="黑体" w:cs="Times New Roman"/>
      <w:sz w:val="24"/>
      <w:szCs w:val="21"/>
    </w:rPr>
  </w:style>
  <w:style w:type="character" w:customStyle="1" w:styleId="53">
    <w:name w:val="正文缩进 Char"/>
    <w:link w:val="15"/>
    <w:qFormat/>
    <w:uiPriority w:val="0"/>
    <w:rPr>
      <w:rFonts w:ascii="Times New Roman" w:hAnsi="Times New Roman" w:eastAsia="宋体" w:cs="Times New Roman"/>
      <w:kern w:val="0"/>
      <w:sz w:val="20"/>
      <w:szCs w:val="20"/>
    </w:rPr>
  </w:style>
  <w:style w:type="character" w:customStyle="1" w:styleId="54">
    <w:name w:val="文档结构图 Char"/>
    <w:link w:val="16"/>
    <w:semiHidden/>
    <w:qFormat/>
    <w:uiPriority w:val="0"/>
    <w:rPr>
      <w:szCs w:val="24"/>
      <w:shd w:val="clear" w:color="auto" w:fill="000080"/>
    </w:rPr>
  </w:style>
  <w:style w:type="character" w:customStyle="1" w:styleId="55">
    <w:name w:val="批注文字 Char"/>
    <w:link w:val="18"/>
    <w:qFormat/>
    <w:uiPriority w:val="99"/>
    <w:rPr>
      <w:kern w:val="2"/>
      <w:sz w:val="21"/>
      <w:szCs w:val="24"/>
    </w:rPr>
  </w:style>
  <w:style w:type="character" w:customStyle="1" w:styleId="56">
    <w:name w:val="正文文本 3 Char"/>
    <w:link w:val="19"/>
    <w:qFormat/>
    <w:uiPriority w:val="0"/>
    <w:rPr>
      <w:rFonts w:ascii="Times New Roman" w:hAnsi="Times New Roman" w:eastAsia="宋体" w:cs="Times New Roman"/>
      <w:sz w:val="16"/>
      <w:szCs w:val="16"/>
    </w:rPr>
  </w:style>
  <w:style w:type="character" w:customStyle="1" w:styleId="57">
    <w:name w:val="正文文本 Char"/>
    <w:link w:val="20"/>
    <w:qFormat/>
    <w:uiPriority w:val="0"/>
    <w:rPr>
      <w:rFonts w:ascii="仿宋_GB2312" w:hAnsi="Times New Roman" w:eastAsia="仿宋_GB2312" w:cs="Times New Roman"/>
      <w:sz w:val="24"/>
      <w:szCs w:val="20"/>
    </w:rPr>
  </w:style>
  <w:style w:type="character" w:customStyle="1" w:styleId="58">
    <w:name w:val="正文文本缩进 Char"/>
    <w:link w:val="3"/>
    <w:qFormat/>
    <w:uiPriority w:val="0"/>
    <w:rPr>
      <w:rFonts w:ascii="仿宋_GB2312" w:hAnsi="Times New Roman" w:eastAsia="仿宋_GB2312" w:cs="Times New Roman"/>
      <w:sz w:val="28"/>
      <w:szCs w:val="20"/>
    </w:rPr>
  </w:style>
  <w:style w:type="character" w:customStyle="1" w:styleId="59">
    <w:name w:val="纯文本 Char"/>
    <w:link w:val="22"/>
    <w:qFormat/>
    <w:uiPriority w:val="0"/>
    <w:rPr>
      <w:rFonts w:ascii="宋体" w:hAnsi="Courier New" w:eastAsia="宋体" w:cs="Courier New"/>
      <w:szCs w:val="21"/>
    </w:rPr>
  </w:style>
  <w:style w:type="character" w:customStyle="1" w:styleId="60">
    <w:name w:val="日期 Char"/>
    <w:link w:val="23"/>
    <w:qFormat/>
    <w:uiPriority w:val="0"/>
    <w:rPr>
      <w:rFonts w:ascii="Times New Roman" w:hAnsi="Times New Roman" w:eastAsia="宋体" w:cs="Times New Roman"/>
      <w:sz w:val="24"/>
      <w:szCs w:val="20"/>
    </w:rPr>
  </w:style>
  <w:style w:type="character" w:customStyle="1" w:styleId="61">
    <w:name w:val="正文文本缩进 2 Char"/>
    <w:link w:val="24"/>
    <w:qFormat/>
    <w:uiPriority w:val="0"/>
    <w:rPr>
      <w:rFonts w:ascii="Times New Roman" w:hAnsi="Times New Roman" w:eastAsia="仿宋_GB2312" w:cs="Times New Roman"/>
      <w:sz w:val="28"/>
      <w:szCs w:val="20"/>
    </w:rPr>
  </w:style>
  <w:style w:type="character" w:customStyle="1" w:styleId="62">
    <w:name w:val="批注框文本 Char"/>
    <w:link w:val="25"/>
    <w:semiHidden/>
    <w:qFormat/>
    <w:uiPriority w:val="0"/>
    <w:rPr>
      <w:sz w:val="18"/>
      <w:szCs w:val="18"/>
    </w:rPr>
  </w:style>
  <w:style w:type="character" w:customStyle="1" w:styleId="63">
    <w:name w:val="页脚 Char"/>
    <w:link w:val="26"/>
    <w:qFormat/>
    <w:uiPriority w:val="99"/>
    <w:rPr>
      <w:rFonts w:ascii="Times New Roman" w:hAnsi="Times New Roman" w:eastAsia="宋体" w:cs="Times New Roman"/>
      <w:sz w:val="18"/>
      <w:szCs w:val="20"/>
    </w:rPr>
  </w:style>
  <w:style w:type="character" w:customStyle="1" w:styleId="64">
    <w:name w:val="页眉 Char"/>
    <w:link w:val="27"/>
    <w:qFormat/>
    <w:uiPriority w:val="0"/>
    <w:rPr>
      <w:rFonts w:ascii="Times New Roman" w:hAnsi="Times New Roman" w:eastAsia="宋体" w:cs="Times New Roman"/>
      <w:sz w:val="18"/>
      <w:szCs w:val="18"/>
    </w:rPr>
  </w:style>
  <w:style w:type="character" w:customStyle="1" w:styleId="65">
    <w:name w:val="正文文本缩进 3 Char"/>
    <w:link w:val="30"/>
    <w:qFormat/>
    <w:uiPriority w:val="0"/>
    <w:rPr>
      <w:rFonts w:ascii="Times New Roman" w:hAnsi="Times New Roman" w:eastAsia="宋体" w:cs="Times New Roman"/>
      <w:sz w:val="16"/>
      <w:szCs w:val="16"/>
    </w:rPr>
  </w:style>
  <w:style w:type="character" w:customStyle="1" w:styleId="66">
    <w:name w:val="正文文本 2 Char"/>
    <w:link w:val="31"/>
    <w:qFormat/>
    <w:uiPriority w:val="0"/>
    <w:rPr>
      <w:rFonts w:ascii="Times New Roman" w:hAnsi="Times New Roman" w:eastAsia="宋体" w:cs="Times New Roman"/>
      <w:b/>
      <w:bCs/>
      <w:sz w:val="18"/>
      <w:szCs w:val="24"/>
    </w:rPr>
  </w:style>
  <w:style w:type="character" w:customStyle="1" w:styleId="67">
    <w:name w:val="批注主题 Char"/>
    <w:link w:val="33"/>
    <w:semiHidden/>
    <w:qFormat/>
    <w:uiPriority w:val="99"/>
    <w:rPr>
      <w:b/>
      <w:bCs/>
      <w:kern w:val="2"/>
      <w:sz w:val="21"/>
      <w:szCs w:val="24"/>
    </w:rPr>
  </w:style>
  <w:style w:type="character" w:customStyle="1" w:styleId="68">
    <w:name w:val="正文首行缩进 Char"/>
    <w:link w:val="34"/>
    <w:qFormat/>
    <w:uiPriority w:val="0"/>
    <w:rPr>
      <w:rFonts w:ascii="Times New Roman" w:hAnsi="Times New Roman" w:eastAsia="宋体" w:cs="Times New Roman"/>
      <w:sz w:val="24"/>
      <w:szCs w:val="24"/>
    </w:rPr>
  </w:style>
  <w:style w:type="paragraph" w:customStyle="1" w:styleId="69">
    <w:name w:val="无间隔1"/>
    <w:qFormat/>
    <w:uiPriority w:val="0"/>
    <w:rPr>
      <w:rFonts w:ascii="Times New Roman" w:hAnsi="Times New Roman" w:eastAsia="宋体" w:cs="Calibri"/>
      <w:sz w:val="22"/>
      <w:lang w:val="en-US" w:eastAsia="zh-CN" w:bidi="ar-SA"/>
    </w:rPr>
  </w:style>
  <w:style w:type="paragraph" w:customStyle="1" w:styleId="70">
    <w:name w:val="正文1"/>
    <w:next w:val="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1">
    <w:name w:val="style4"/>
    <w:basedOn w:val="1"/>
    <w:next w:val="72"/>
    <w:qFormat/>
    <w:uiPriority w:val="0"/>
    <w:pPr>
      <w:widowControl/>
      <w:spacing w:before="280" w:after="280"/>
    </w:pPr>
    <w:rPr>
      <w:rFonts w:ascii="宋体"/>
      <w:sz w:val="18"/>
    </w:rPr>
  </w:style>
  <w:style w:type="paragraph" w:customStyle="1" w:styleId="7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73">
    <w:name w:val="font11"/>
    <w:qFormat/>
    <w:uiPriority w:val="0"/>
    <w:rPr>
      <w:rFonts w:hint="eastAsia" w:ascii="宋体" w:hAnsi="宋体" w:eastAsia="宋体" w:cs="宋体"/>
      <w:color w:val="000000"/>
      <w:sz w:val="24"/>
      <w:szCs w:val="24"/>
      <w:u w:val="none"/>
    </w:rPr>
  </w:style>
  <w:style w:type="character" w:customStyle="1" w:styleId="74">
    <w:name w:val="font41"/>
    <w:qFormat/>
    <w:uiPriority w:val="0"/>
    <w:rPr>
      <w:rFonts w:hint="eastAsia" w:ascii="宋体" w:hAnsi="宋体" w:eastAsia="宋体" w:cs="宋体"/>
      <w:color w:val="FFCC00"/>
      <w:sz w:val="24"/>
      <w:szCs w:val="24"/>
      <w:u w:val="none"/>
    </w:rPr>
  </w:style>
  <w:style w:type="character" w:customStyle="1" w:styleId="75">
    <w:name w:val="样式 ssss + 宋体 五号1 Char"/>
    <w:link w:val="76"/>
    <w:qFormat/>
    <w:uiPriority w:val="0"/>
    <w:rPr>
      <w:rFonts w:ascii="宋体" w:hAnsi="宋体" w:eastAsia="宋体" w:cs="Times New Roman"/>
      <w:sz w:val="24"/>
      <w:szCs w:val="24"/>
    </w:rPr>
  </w:style>
  <w:style w:type="paragraph" w:customStyle="1" w:styleId="76">
    <w:name w:val="样式 ssss + 宋体 五号1"/>
    <w:basedOn w:val="77"/>
    <w:link w:val="75"/>
    <w:qFormat/>
    <w:uiPriority w:val="0"/>
    <w:rPr>
      <w:rFonts w:ascii="宋体" w:hAnsi="宋体"/>
    </w:rPr>
  </w:style>
  <w:style w:type="paragraph" w:customStyle="1" w:styleId="77">
    <w:name w:val="ssss"/>
    <w:basedOn w:val="1"/>
    <w:link w:val="78"/>
    <w:qFormat/>
    <w:uiPriority w:val="0"/>
    <w:pPr>
      <w:spacing w:line="360" w:lineRule="auto"/>
      <w:ind w:firstLine="480" w:firstLineChars="200"/>
    </w:pPr>
    <w:rPr>
      <w:kern w:val="0"/>
      <w:sz w:val="24"/>
    </w:rPr>
  </w:style>
  <w:style w:type="character" w:customStyle="1" w:styleId="78">
    <w:name w:val="ssss Char1"/>
    <w:link w:val="77"/>
    <w:qFormat/>
    <w:uiPriority w:val="0"/>
    <w:rPr>
      <w:rFonts w:ascii="Times New Roman" w:hAnsi="Times New Roman" w:eastAsia="宋体" w:cs="Times New Roman"/>
      <w:sz w:val="24"/>
      <w:szCs w:val="24"/>
    </w:rPr>
  </w:style>
  <w:style w:type="character" w:customStyle="1" w:styleId="79">
    <w:name w:val="font01"/>
    <w:qFormat/>
    <w:uiPriority w:val="0"/>
    <w:rPr>
      <w:rFonts w:hint="eastAsia" w:ascii="宋体" w:hAnsi="宋体" w:eastAsia="宋体" w:cs="宋体"/>
      <w:color w:val="FF0000"/>
      <w:sz w:val="24"/>
      <w:szCs w:val="24"/>
      <w:u w:val="none"/>
    </w:rPr>
  </w:style>
  <w:style w:type="character" w:customStyle="1" w:styleId="80">
    <w:name w:val="point_normal1"/>
    <w:qFormat/>
    <w:uiPriority w:val="0"/>
    <w:rPr>
      <w:rFonts w:hint="default" w:ascii="Arial" w:hAnsi="Arial" w:cs="Arial"/>
      <w:sz w:val="16"/>
      <w:szCs w:val="16"/>
    </w:rPr>
  </w:style>
  <w:style w:type="character" w:customStyle="1" w:styleId="81">
    <w:name w:val="列出段落 Char"/>
    <w:link w:val="82"/>
    <w:qFormat/>
    <w:locked/>
    <w:uiPriority w:val="99"/>
  </w:style>
  <w:style w:type="paragraph" w:styleId="82">
    <w:name w:val="List Paragraph"/>
    <w:basedOn w:val="1"/>
    <w:link w:val="81"/>
    <w:qFormat/>
    <w:uiPriority w:val="99"/>
    <w:pPr>
      <w:ind w:firstLine="420" w:firstLineChars="200"/>
    </w:pPr>
    <w:rPr>
      <w:kern w:val="0"/>
      <w:sz w:val="20"/>
      <w:szCs w:val="20"/>
    </w:rPr>
  </w:style>
  <w:style w:type="character" w:customStyle="1" w:styleId="83">
    <w:name w:val="文档结构图 Char1"/>
    <w:semiHidden/>
    <w:qFormat/>
    <w:uiPriority w:val="99"/>
    <w:rPr>
      <w:rFonts w:ascii="宋体" w:hAnsi="Times New Roman" w:eastAsia="宋体" w:cs="Times New Roman"/>
      <w:sz w:val="18"/>
      <w:szCs w:val="18"/>
    </w:rPr>
  </w:style>
  <w:style w:type="character" w:customStyle="1" w:styleId="84">
    <w:name w:val="普通正文 Char"/>
    <w:link w:val="85"/>
    <w:qFormat/>
    <w:uiPriority w:val="0"/>
    <w:rPr>
      <w:rFonts w:ascii="Arial" w:hAnsi="Arial"/>
      <w:sz w:val="24"/>
      <w:szCs w:val="24"/>
    </w:rPr>
  </w:style>
  <w:style w:type="paragraph" w:customStyle="1" w:styleId="85">
    <w:name w:val="普通正文"/>
    <w:basedOn w:val="1"/>
    <w:link w:val="84"/>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6">
    <w:name w:val="FA正文 Char"/>
    <w:link w:val="87"/>
    <w:qFormat/>
    <w:uiPriority w:val="0"/>
    <w:rPr>
      <w:rFonts w:ascii="宋体" w:hAnsi="宋体" w:eastAsia="宋体" w:cs="Times New Roman"/>
      <w:sz w:val="28"/>
      <w:szCs w:val="28"/>
    </w:rPr>
  </w:style>
  <w:style w:type="paragraph" w:customStyle="1" w:styleId="87">
    <w:name w:val="FA正文"/>
    <w:basedOn w:val="1"/>
    <w:link w:val="86"/>
    <w:qFormat/>
    <w:uiPriority w:val="0"/>
    <w:pPr>
      <w:tabs>
        <w:tab w:val="left" w:pos="3375"/>
      </w:tabs>
      <w:spacing w:line="440" w:lineRule="atLeast"/>
      <w:ind w:firstLine="538" w:firstLineChars="192"/>
    </w:pPr>
    <w:rPr>
      <w:rFonts w:ascii="宋体" w:hAnsi="宋体"/>
      <w:kern w:val="0"/>
      <w:sz w:val="28"/>
      <w:szCs w:val="28"/>
    </w:rPr>
  </w:style>
  <w:style w:type="character" w:customStyle="1" w:styleId="88">
    <w:name w:val="正文缩进2格 Char"/>
    <w:link w:val="89"/>
    <w:qFormat/>
    <w:uiPriority w:val="0"/>
    <w:rPr>
      <w:rFonts w:ascii="仿宋_GB2312" w:hAnsi="宋体" w:eastAsia="仿宋_GB2312" w:cs="Times New Roman"/>
      <w:sz w:val="31"/>
      <w:szCs w:val="28"/>
    </w:rPr>
  </w:style>
  <w:style w:type="paragraph" w:customStyle="1" w:styleId="89">
    <w:name w:val="正文缩进2格"/>
    <w:basedOn w:val="1"/>
    <w:link w:val="88"/>
    <w:qFormat/>
    <w:uiPriority w:val="0"/>
    <w:pPr>
      <w:spacing w:line="600" w:lineRule="exact"/>
      <w:ind w:firstLine="639" w:firstLineChars="206"/>
    </w:pPr>
    <w:rPr>
      <w:rFonts w:ascii="仿宋_GB2312" w:hAnsi="宋体" w:eastAsia="仿宋_GB2312"/>
      <w:kern w:val="0"/>
      <w:sz w:val="31"/>
      <w:szCs w:val="28"/>
    </w:rPr>
  </w:style>
  <w:style w:type="character" w:customStyle="1" w:styleId="90">
    <w:name w:val="cn_text1"/>
    <w:qFormat/>
    <w:uiPriority w:val="0"/>
    <w:rPr>
      <w:rFonts w:hint="default" w:ascii="ˎ̥" w:hAnsi="ˎ̥"/>
      <w:color w:val="003399"/>
      <w:spacing w:val="15"/>
      <w:sz w:val="18"/>
      <w:szCs w:val="18"/>
    </w:rPr>
  </w:style>
  <w:style w:type="character" w:customStyle="1" w:styleId="91">
    <w:name w:val="ssss Char"/>
    <w:qFormat/>
    <w:uiPriority w:val="0"/>
    <w:rPr>
      <w:rFonts w:eastAsia="宋体"/>
      <w:kern w:val="2"/>
      <w:sz w:val="24"/>
      <w:szCs w:val="24"/>
      <w:lang w:val="en-US" w:eastAsia="zh-CN" w:bidi="ar-SA"/>
    </w:rPr>
  </w:style>
  <w:style w:type="character" w:customStyle="1" w:styleId="92">
    <w:name w:val="标题 4 Char1"/>
    <w:qFormat/>
    <w:uiPriority w:val="0"/>
    <w:rPr>
      <w:rFonts w:ascii="Arial" w:hAnsi="Arial" w:eastAsia="黑体"/>
      <w:b/>
      <w:bCs/>
      <w:kern w:val="2"/>
      <w:sz w:val="28"/>
      <w:szCs w:val="28"/>
      <w:lang w:val="en-US" w:eastAsia="zh-CN" w:bidi="ar-SA"/>
    </w:rPr>
  </w:style>
  <w:style w:type="character" w:customStyle="1" w:styleId="93">
    <w:name w:val="列表段落 字符"/>
    <w:qFormat/>
    <w:uiPriority w:val="34"/>
    <w:rPr>
      <w:rFonts w:ascii="Calibri" w:hAnsi="Calibri"/>
      <w:kern w:val="2"/>
      <w:sz w:val="21"/>
      <w:szCs w:val="22"/>
    </w:r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样式 正文文本缩进 3 + 四号"/>
    <w:basedOn w:val="30"/>
    <w:qFormat/>
    <w:uiPriority w:val="0"/>
    <w:pPr>
      <w:spacing w:after="0" w:line="360" w:lineRule="auto"/>
      <w:ind w:left="0" w:leftChars="0" w:firstLine="437"/>
    </w:pPr>
    <w:rPr>
      <w:sz w:val="24"/>
      <w:szCs w:val="21"/>
    </w:rPr>
  </w:style>
  <w:style w:type="paragraph" w:customStyle="1" w:styleId="96">
    <w:name w:val="Default"/>
    <w:basedOn w:val="1"/>
    <w:qFormat/>
    <w:uiPriority w:val="0"/>
    <w:pPr>
      <w:autoSpaceDE w:val="0"/>
      <w:autoSpaceDN w:val="0"/>
      <w:adjustRightInd w:val="0"/>
      <w:jc w:val="left"/>
    </w:pPr>
    <w:rPr>
      <w:rFonts w:ascii="Arial" w:hAnsi="Arial" w:eastAsia="PMingLiU"/>
      <w:kern w:val="0"/>
      <w:sz w:val="20"/>
      <w:szCs w:val="20"/>
    </w:rPr>
  </w:style>
  <w:style w:type="paragraph" w:customStyle="1" w:styleId="9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98">
    <w:name w:val="正文缩进1"/>
    <w:basedOn w:val="1"/>
    <w:qFormat/>
    <w:uiPriority w:val="0"/>
    <w:pPr>
      <w:widowControl/>
      <w:ind w:firstLine="420"/>
      <w:jc w:val="left"/>
    </w:pPr>
    <w:rPr>
      <w:kern w:val="0"/>
    </w:rPr>
  </w:style>
  <w:style w:type="paragraph" w:customStyle="1" w:styleId="99">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0">
    <w:name w:val="样式 样式 ssss + 宋体 五号 + 首行缩进:  2 字符"/>
    <w:basedOn w:val="101"/>
    <w:qFormat/>
    <w:uiPriority w:val="0"/>
    <w:pPr>
      <w:ind w:firstLine="480"/>
    </w:pPr>
  </w:style>
  <w:style w:type="paragraph" w:customStyle="1" w:styleId="101">
    <w:name w:val="样式 ssss + 宋体 五号"/>
    <w:basedOn w:val="77"/>
    <w:qFormat/>
    <w:uiPriority w:val="0"/>
    <w:pPr>
      <w:ind w:firstLine="420"/>
    </w:pPr>
    <w:rPr>
      <w:rFonts w:ascii="宋体" w:hAnsi="宋体" w:cs="宋体"/>
      <w:szCs w:val="20"/>
    </w:rPr>
  </w:style>
  <w:style w:type="paragraph" w:customStyle="1" w:styleId="102">
    <w:name w:val="Char Char Char Char"/>
    <w:basedOn w:val="1"/>
    <w:qFormat/>
    <w:uiPriority w:val="0"/>
    <w:rPr>
      <w:rFonts w:ascii="Tahoma" w:hAnsi="Tahoma"/>
      <w:sz w:val="24"/>
      <w:szCs w:val="20"/>
    </w:rPr>
  </w:style>
  <w:style w:type="paragraph" w:customStyle="1" w:styleId="10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05">
    <w:name w:val="标题-----3"/>
    <w:basedOn w:val="7"/>
    <w:qFormat/>
    <w:uiPriority w:val="0"/>
    <w:pPr>
      <w:spacing w:before="0" w:after="0" w:line="240" w:lineRule="auto"/>
      <w:outlineLvl w:val="0"/>
    </w:pPr>
    <w:rPr>
      <w:rFonts w:ascii="宋体" w:hAnsi="宋体"/>
      <w:b w:val="0"/>
      <w:bCs w:val="0"/>
      <w:sz w:val="28"/>
      <w:szCs w:val="28"/>
    </w:rPr>
  </w:style>
  <w:style w:type="paragraph" w:customStyle="1" w:styleId="106">
    <w:name w:val="Char Char Char Char Char Char Char Char Char Char Char Char Char"/>
    <w:basedOn w:val="1"/>
    <w:qFormat/>
    <w:uiPriority w:val="0"/>
  </w:style>
  <w:style w:type="paragraph" w:customStyle="1" w:styleId="107">
    <w:name w:val="表格正文"/>
    <w:basedOn w:val="1"/>
    <w:qFormat/>
    <w:uiPriority w:val="0"/>
    <w:pPr>
      <w:spacing w:line="360" w:lineRule="auto"/>
      <w:jc w:val="left"/>
    </w:pPr>
    <w:rPr>
      <w:rFonts w:ascii="Calibri" w:hAnsi="Calibri"/>
      <w:color w:val="000000"/>
      <w:szCs w:val="28"/>
    </w:rPr>
  </w:style>
  <w:style w:type="paragraph" w:customStyle="1" w:styleId="108">
    <w:name w:val="Char Char Char Char1"/>
    <w:basedOn w:val="1"/>
    <w:qFormat/>
    <w:uiPriority w:val="0"/>
    <w:rPr>
      <w:rFonts w:ascii="Tahoma" w:hAnsi="Tahoma"/>
      <w:sz w:val="24"/>
      <w:szCs w:val="20"/>
    </w:rPr>
  </w:style>
  <w:style w:type="paragraph" w:customStyle="1" w:styleId="109">
    <w:name w:val="Char Char Char"/>
    <w:basedOn w:val="1"/>
    <w:qFormat/>
    <w:uiPriority w:val="0"/>
    <w:rPr>
      <w:rFonts w:ascii="Tahoma" w:hAnsi="Tahoma"/>
      <w:sz w:val="24"/>
      <w:szCs w:val="20"/>
    </w:rPr>
  </w:style>
  <w:style w:type="paragraph" w:customStyle="1" w:styleId="110">
    <w:name w:val="样式 ssss + 居中"/>
    <w:basedOn w:val="77"/>
    <w:qFormat/>
    <w:uiPriority w:val="0"/>
    <w:pPr>
      <w:jc w:val="center"/>
    </w:pPr>
    <w:rPr>
      <w:rFonts w:cs="宋体"/>
      <w:szCs w:val="20"/>
    </w:rPr>
  </w:style>
  <w:style w:type="paragraph" w:customStyle="1" w:styleId="111">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Char"/>
    <w:basedOn w:val="1"/>
    <w:qFormat/>
    <w:uiPriority w:val="0"/>
    <w:rPr>
      <w:rFonts w:ascii="Tahoma" w:hAnsi="Tahoma"/>
      <w:sz w:val="24"/>
      <w:szCs w:val="20"/>
    </w:rPr>
  </w:style>
  <w:style w:type="paragraph" w:customStyle="1" w:styleId="113">
    <w:name w:val="列出段落1"/>
    <w:basedOn w:val="1"/>
    <w:qFormat/>
    <w:uiPriority w:val="34"/>
    <w:pPr>
      <w:widowControl/>
      <w:ind w:left="720"/>
      <w:contextualSpacing/>
      <w:jc w:val="left"/>
    </w:pPr>
    <w:rPr>
      <w:kern w:val="0"/>
      <w:sz w:val="24"/>
      <w:lang w:eastAsia="en-US" w:bidi="en-US"/>
    </w:rPr>
  </w:style>
  <w:style w:type="paragraph" w:customStyle="1" w:styleId="114">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5">
    <w:name w:val="样式8"/>
    <w:basedOn w:val="10"/>
    <w:qFormat/>
    <w:uiPriority w:val="0"/>
    <w:pPr>
      <w:tabs>
        <w:tab w:val="left" w:pos="1152"/>
      </w:tabs>
    </w:pPr>
  </w:style>
  <w:style w:type="paragraph" w:customStyle="1" w:styleId="116">
    <w:name w:val="标题------4"/>
    <w:basedOn w:val="8"/>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7">
    <w:name w:val="Char Char 字元 字元 字元 Char Char Char Char"/>
    <w:basedOn w:val="1"/>
    <w:qFormat/>
    <w:uiPriority w:val="0"/>
    <w:pPr>
      <w:adjustRightInd w:val="0"/>
      <w:spacing w:line="360" w:lineRule="auto"/>
    </w:pPr>
    <w:rPr>
      <w:kern w:val="0"/>
      <w:sz w:val="24"/>
      <w:szCs w:val="20"/>
    </w:rPr>
  </w:style>
  <w:style w:type="paragraph" w:customStyle="1" w:styleId="118">
    <w:name w:val="Char Char Char Char Char Char Char Char Char Char Char Char Char1"/>
    <w:basedOn w:val="1"/>
    <w:qFormat/>
    <w:uiPriority w:val="0"/>
    <w:rPr>
      <w:sz w:val="24"/>
    </w:rPr>
  </w:style>
  <w:style w:type="paragraph" w:customStyle="1" w:styleId="11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表格"/>
    <w:basedOn w:val="1"/>
    <w:qFormat/>
    <w:uiPriority w:val="0"/>
    <w:rPr>
      <w:rFonts w:ascii="Arial" w:hAnsi="Arial"/>
      <w:sz w:val="24"/>
    </w:rPr>
  </w:style>
  <w:style w:type="paragraph" w:customStyle="1" w:styleId="12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样式1"/>
    <w:basedOn w:val="1"/>
    <w:qFormat/>
    <w:uiPriority w:val="0"/>
    <w:pPr>
      <w:spacing w:before="120" w:after="120" w:line="360" w:lineRule="auto"/>
      <w:ind w:firstLine="480" w:firstLineChars="200"/>
    </w:pPr>
    <w:rPr>
      <w:sz w:val="24"/>
      <w:szCs w:val="20"/>
    </w:rPr>
  </w:style>
  <w:style w:type="paragraph" w:customStyle="1" w:styleId="1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5">
    <w:name w:val="Char Char Char Char Char Char Char Char Char Char"/>
    <w:basedOn w:val="1"/>
    <w:qFormat/>
    <w:uiPriority w:val="0"/>
    <w:rPr>
      <w:rFonts w:ascii="Tahoma" w:hAnsi="Tahoma"/>
      <w:sz w:val="24"/>
      <w:szCs w:val="20"/>
    </w:rPr>
  </w:style>
  <w:style w:type="paragraph" w:customStyle="1" w:styleId="126">
    <w:name w:val="Char1"/>
    <w:basedOn w:val="1"/>
    <w:qFormat/>
    <w:uiPriority w:val="0"/>
    <w:pPr>
      <w:tabs>
        <w:tab w:val="left" w:pos="360"/>
      </w:tabs>
    </w:pPr>
    <w:rPr>
      <w:sz w:val="24"/>
    </w:rPr>
  </w:style>
  <w:style w:type="paragraph" w:customStyle="1" w:styleId="127">
    <w:name w:val="Header2"/>
    <w:basedOn w:val="1"/>
    <w:qFormat/>
    <w:uiPriority w:val="0"/>
    <w:pPr>
      <w:numPr>
        <w:ilvl w:val="0"/>
        <w:numId w:val="1"/>
      </w:numPr>
    </w:pPr>
  </w:style>
  <w:style w:type="paragraph" w:customStyle="1" w:styleId="128">
    <w:name w:val="普通(网站) Cha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9">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DAS正文"/>
    <w:basedOn w:val="1"/>
    <w:qFormat/>
    <w:uiPriority w:val="0"/>
    <w:pPr>
      <w:spacing w:line="360" w:lineRule="auto"/>
      <w:ind w:right="181" w:firstLine="480" w:firstLineChars="200"/>
    </w:pPr>
    <w:rPr>
      <w:rFonts w:ascii="Verdana" w:hAnsi="Verdana"/>
      <w:sz w:val="24"/>
      <w:szCs w:val="20"/>
    </w:rPr>
  </w:style>
  <w:style w:type="table" w:customStyle="1" w:styleId="131">
    <w:name w:val="网格型1"/>
    <w:basedOn w:val="3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font51"/>
    <w:qFormat/>
    <w:uiPriority w:val="0"/>
    <w:rPr>
      <w:rFonts w:hint="default" w:ascii="Times New Roman" w:hAnsi="Times New Roman" w:cs="Times New Roman"/>
      <w:color w:val="000000"/>
      <w:sz w:val="20"/>
      <w:szCs w:val="20"/>
      <w:u w:val="none"/>
    </w:rPr>
  </w:style>
  <w:style w:type="character" w:customStyle="1" w:styleId="133">
    <w:name w:val="font61"/>
    <w:qFormat/>
    <w:uiPriority w:val="0"/>
    <w:rPr>
      <w:rFonts w:hint="default" w:ascii="Times New Roman" w:hAnsi="Times New Roman" w:cs="Times New Roman"/>
      <w:color w:val="000000"/>
      <w:sz w:val="21"/>
      <w:szCs w:val="21"/>
      <w:u w:val="none"/>
    </w:rPr>
  </w:style>
  <w:style w:type="character" w:customStyle="1" w:styleId="134">
    <w:name w:val="font71"/>
    <w:qFormat/>
    <w:uiPriority w:val="0"/>
    <w:rPr>
      <w:rFonts w:hint="eastAsia" w:ascii="宋体" w:hAnsi="宋体" w:eastAsia="宋体" w:cs="宋体"/>
      <w:color w:val="000000"/>
      <w:sz w:val="22"/>
      <w:szCs w:val="22"/>
      <w:u w:val="none"/>
    </w:rPr>
  </w:style>
  <w:style w:type="paragraph" w:customStyle="1" w:styleId="135">
    <w:name w:val="表格CXH"/>
    <w:basedOn w:val="1"/>
    <w:qFormat/>
    <w:uiPriority w:val="0"/>
    <w:pPr>
      <w:spacing w:line="276" w:lineRule="auto"/>
    </w:pPr>
    <w:rPr>
      <w:rFonts w:ascii="等线" w:hAnsi="等线"/>
    </w:rPr>
  </w:style>
  <w:style w:type="paragraph" w:customStyle="1" w:styleId="136">
    <w:name w:val="首行缩进"/>
    <w:basedOn w:val="1"/>
    <w:qFormat/>
    <w:uiPriority w:val="0"/>
    <w:pPr>
      <w:ind w:firstLine="480" w:firstLineChars="200"/>
    </w:pPr>
    <w:rPr>
      <w:szCs w:val="20"/>
      <w:lang w:val="zh-CN"/>
    </w:rPr>
  </w:style>
  <w:style w:type="paragraph" w:customStyle="1" w:styleId="137">
    <w:name w:val="sh3"/>
    <w:basedOn w:val="1"/>
    <w:qFormat/>
    <w:uiPriority w:val="0"/>
    <w:pPr>
      <w:spacing w:line="460" w:lineRule="exact"/>
      <w:jc w:val="left"/>
    </w:pPr>
    <w:rPr>
      <w:rFonts w:ascii="宋体" w:hAnsi="宋体"/>
      <w:b/>
      <w:szCs w:val="21"/>
    </w:rPr>
  </w:style>
  <w:style w:type="paragraph" w:customStyle="1" w:styleId="138">
    <w:name w:val="批注文字1"/>
    <w:basedOn w:val="1"/>
    <w:unhideWhenUsed/>
    <w:qFormat/>
    <w:uiPriority w:val="99"/>
    <w:pPr>
      <w:jc w:val="left"/>
    </w:pPr>
  </w:style>
  <w:style w:type="paragraph" w:customStyle="1" w:styleId="139">
    <w:name w:val="Table Paragraph"/>
    <w:basedOn w:val="1"/>
    <w:qFormat/>
    <w:uiPriority w:val="0"/>
    <w:pPr>
      <w:autoSpaceDE w:val="0"/>
      <w:autoSpaceDN w:val="0"/>
      <w:adjustRightInd w:val="0"/>
      <w:jc w:val="left"/>
    </w:pPr>
    <w:rPr>
      <w:kern w:val="0"/>
      <w:sz w:val="24"/>
    </w:rPr>
  </w:style>
  <w:style w:type="paragraph" w:customStyle="1" w:styleId="14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9158</Words>
  <Characters>9749</Characters>
  <Lines>112</Lines>
  <Paragraphs>31</Paragraphs>
  <TotalTime>92</TotalTime>
  <ScaleCrop>false</ScaleCrop>
  <LinksUpToDate>false</LinksUpToDate>
  <CharactersWithSpaces>9823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2024-01-20T06:00:00Z</dcterms:created>
  <dc:creator>User</dc:creator>
  <cp:lastModifiedBy>0803</cp:lastModifiedBy>
  <cp:lastPrinted>2025-04-09T01:31:00Z</cp:lastPrinted>
  <dcterms:modified xsi:type="dcterms:W3CDTF">2025-04-24T08:35:01Z</dcterms:modified>
  <dc:title>南通市Ⅹ项目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3C26526DDE8B4FBF8452E37FE5A1478E_13</vt:lpwstr>
  </property>
  <property fmtid="{D5CDD505-2E9C-101B-9397-08002B2CF9AE}" pid="4" name="KSOTemplateDocerSaveRecord">
    <vt:lpwstr>eyJoZGlkIjoiYWUwNmZkNDQxZTk1MjIzMDk3MmJlZmIyYWI1ODA2MzIiLCJ1c2VySWQiOiIxNDYxNDUyNDQ3In0=</vt:lpwstr>
  </property>
</Properties>
</file>